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ackground w:color="ffffff">
    <v:background id="_x0000_s1025" o:bwmode="white" filled="t"/>
  </w:background>
  <w:body>
    <w:p/>
    <w:p/>
    <w:p/>
    <w:p/>
    <w:p/>
    <w:p/>
    <w:p/>
    <w:p/>
    <w:p/>
    <w:p>
      <w:pPr>
        <w:jc w:val="center"/>
        <w:rPr>
          <w:rFonts w:ascii="Arial" w:eastAsia="Arial" w:hAnsi="Arial" w:cs="Arial"/>
          <w:b/>
          <w:color w:val="000000"/>
          <w:sz w:val="36"/>
        </w:rPr>
      </w:pPr>
      <w:r>
        <w:rPr>
          <w:rFonts w:ascii="Arial" w:eastAsia="Arial" w:hAnsi="Arial" w:cs="Arial"/>
          <w:b/>
          <w:color w:val="000000"/>
          <w:sz w:val="36"/>
        </w:rPr>
        <w:t>IAR Manual</w:t>
      </w:r>
    </w:p>
    <w:p>
      <w:pPr>
        <w:jc w:val="center"/>
        <w:rPr>
          <w:rFonts w:ascii="Arial" w:eastAsia="Arial" w:hAnsi="Arial" w:cs="Arial"/>
          <w:b/>
          <w:color w:val="000000"/>
          <w:sz w:val="36"/>
        </w:rPr>
      </w:pPr>
    </w:p>
    <w:p>
      <w:pPr>
        <w:jc w:val="center"/>
        <w:rPr>
          <w:rFonts w:ascii="Arial" w:eastAsia="Arial" w:hAnsi="Arial" w:cs="Arial"/>
          <w:b/>
          <w:color w:val="000000"/>
          <w:sz w:val="36"/>
        </w:rPr>
      </w:pPr>
      <w:r>
        <w:rPr>
          <w:rFonts w:ascii="Arial" w:eastAsia="Arial" w:hAnsi="Arial" w:cs="Arial"/>
          <w:b/>
          <w:color w:val="000000"/>
          <w:sz w:val="36"/>
        </w:rPr>
        <w:t>KCD Financial</w:t>
      </w:r>
    </w:p>
    <w:p>
      <w:pPr>
        <w:jc w:val="center"/>
        <w:rPr>
          <w:rFonts w:ascii="Arial" w:eastAsia="Arial" w:hAnsi="Arial" w:cs="Arial"/>
          <w:b/>
          <w:color w:val="000000"/>
          <w:sz w:val="36"/>
        </w:rPr>
      </w:pPr>
    </w:p>
    <w:p>
      <w:pPr>
        <w:jc w:val="center"/>
        <w:rPr>
          <w:rFonts w:ascii="Arial" w:eastAsia="Arial" w:hAnsi="Arial" w:cs="Arial"/>
          <w:b/>
          <w:color w:val="000000"/>
          <w:sz w:val="36"/>
        </w:rPr>
      </w:pPr>
    </w:p>
    <w:p>
      <w:pPr>
        <w:jc w:val="center"/>
        <w:rPr>
          <w:rFonts w:ascii="Arial" w:eastAsia="Arial" w:hAnsi="Arial" w:cs="Arial"/>
          <w:b/>
          <w:color w:val="000000"/>
          <w:sz w:val="36"/>
        </w:rPr>
      </w:pPr>
    </w:p>
    <w:p>
      <w:pPr>
        <w:jc w:val="center"/>
        <w:rPr>
          <w:rFonts w:ascii="Arial" w:eastAsia="Arial" w:hAnsi="Arial" w:cs="Arial"/>
          <w:b/>
          <w:color w:val="000000"/>
          <w:sz w:val="24"/>
        </w:rPr>
      </w:pPr>
      <w:r>
        <w:rPr>
          <w:rFonts w:ascii="Arial" w:eastAsia="Arial" w:hAnsi="Arial" w:cs="Arial"/>
          <w:b/>
          <w:color w:val="000000"/>
          <w:sz w:val="24"/>
        </w:rPr>
        <w:t>Effective: July 16, 2026</w:t>
      </w:r>
    </w:p>
    <w:p>
      <w:pPr>
        <w:jc w:val="center"/>
        <w:rPr>
          <w:rFonts w:ascii="Arial" w:eastAsia="Arial" w:hAnsi="Arial" w:cs="Arial"/>
          <w:b/>
          <w:color w:val="000000"/>
          <w:sz w:val="24"/>
        </w:rPr>
      </w:pPr>
    </w:p>
    <w:p>
      <w:pPr>
        <w:jc w:val="center"/>
        <w:rPr>
          <w:rFonts w:ascii="Arial" w:eastAsia="Arial" w:hAnsi="Arial" w:cs="Arial"/>
          <w:b/>
          <w:color w:val="000000"/>
          <w:sz w:val="24"/>
        </w:rPr>
      </w:pPr>
    </w:p>
    <w:p>
      <w:pPr>
        <w:rPr>
          <w:rFonts w:ascii="Arial" w:eastAsia="Arial" w:hAnsi="Arial" w:cs="Arial"/>
          <w:b/>
          <w:color w:val="000000"/>
          <w:sz w:val="24"/>
        </w:rPr>
        <w:sectPr>
          <w:pgSz w:w="12240" w:h="15840"/>
          <w:pgMar w:top="1200" w:right="1152" w:bottom="1200" w:left="1152" w:header="400" w:footer="360" w:gutter="0"/>
          <w:cols w:space="720"/>
          <w:docGrid w:linePitch="360"/>
        </w:sectPr>
      </w:pPr>
      <w:r>
        <w:rPr>
          <w:rFonts w:ascii="Arial" w:eastAsia="Arial" w:hAnsi="Arial" w:cs="Arial"/>
          <w:b/>
          <w:color w:val="000000"/>
          <w:sz w:val="24"/>
        </w:rPr>
        <w:t xml:space="preserve"> </w:t>
      </w:r>
    </w:p>
    <w:p/>
    <w:p>
      <w:pPr>
        <w:jc w:val="center"/>
        <w:rPr>
          <w:rFonts w:ascii="Arial" w:eastAsia="Arial" w:hAnsi="Arial" w:cs="Arial"/>
          <w:b/>
          <w:color w:val="000000"/>
          <w:sz w:val="32"/>
        </w:rPr>
      </w:pPr>
      <w:r>
        <w:rPr>
          <w:rFonts w:ascii="Arial" w:eastAsia="Arial" w:hAnsi="Arial" w:cs="Arial"/>
          <w:b/>
          <w:color w:val="000000"/>
          <w:sz w:val="32"/>
        </w:rPr>
        <w:t>TABLE OF CONTENTS</w:t>
      </w:r>
    </w:p>
    <w:p>
      <w:pPr>
        <w:jc w:val="center"/>
        <w:rPr>
          <w:rFonts w:ascii="Arial" w:eastAsia="Arial" w:hAnsi="Arial" w:cs="Arial"/>
          <w:b/>
          <w:color w:val="000000"/>
          <w:sz w:val="32"/>
        </w:rPr>
      </w:pPr>
    </w:p>
    <w:p>
      <w:pPr>
        <w:pStyle w:val="TOC1"/>
        <w:tabs>
          <w:tab w:val="right" w:leader="dot" w:pos="9926"/>
        </w:tabs>
        <w:rPr>
          <w:rFonts w:ascii="Calibri" w:hAnsi="Calibri"/>
          <w:noProof/>
          <w:sz w:val="22"/>
        </w:rPr>
      </w:pPr>
      <w:r>
        <w:rPr>
          <w:rFonts w:ascii="Arial" w:eastAsia="Arial" w:hAnsi="Arial" w:cs="Arial"/>
          <w:b w:val="0"/>
          <w:color w:val="000000"/>
          <w:sz w:val="20"/>
        </w:rPr>
        <w:fldChar w:fldCharType="begin"/>
      </w:r>
      <w:r>
        <w:rPr>
          <w:rFonts w:ascii="Arial" w:eastAsia="Arial" w:hAnsi="Arial" w:cs="Arial"/>
          <w:b w:val="0"/>
          <w:color w:val="000000"/>
          <w:sz w:val="20"/>
        </w:rPr>
        <w:instrText xml:space="preserve">TOC \h \t "Heading 1,1,Heading 2,2,Heading 3,3,Non_Heading 1,1" </w:instrText>
      </w:r>
      <w:r>
        <w:rPr>
          <w:rFonts w:ascii="Arial" w:eastAsia="Arial" w:hAnsi="Arial" w:cs="Arial"/>
          <w:b w:val="0"/>
          <w:color w:val="000000"/>
          <w:sz w:val="20"/>
        </w:rPr>
        <w:fldChar w:fldCharType="separate"/>
      </w:r>
      <w:hyperlink w:anchor="_Toc256000000" w:history="1">
        <w:r>
          <w:rPr>
            <w:rStyle w:val="Hyperlink"/>
          </w:rPr>
          <w:t>1 INTRODUCTION</w:t>
        </w:r>
        <w:r>
          <w:tab/>
        </w:r>
        <w:r>
          <w:fldChar w:fldCharType="begin"/>
        </w:r>
        <w:r>
          <w:instrText xml:space="preserve"> PAGEREF _Toc256000000 \h </w:instrText>
        </w:r>
        <w:r>
          <w:fldChar w:fldCharType="separate"/>
        </w:r>
        <w:r>
          <w:t>1</w:t>
        </w:r>
        <w:r>
          <w:fldChar w:fldCharType="end"/>
        </w:r>
      </w:hyperlink>
    </w:p>
    <w:p>
      <w:pPr>
        <w:pStyle w:val="TOC2"/>
        <w:tabs>
          <w:tab w:val="right" w:leader="dot" w:pos="9926"/>
        </w:tabs>
        <w:rPr>
          <w:rFonts w:ascii="Calibri" w:hAnsi="Calibri"/>
          <w:noProof/>
          <w:sz w:val="22"/>
        </w:rPr>
      </w:pPr>
      <w:hyperlink w:anchor="_Toc256000001" w:history="1">
        <w:r>
          <w:rPr>
            <w:rStyle w:val="Hyperlink"/>
          </w:rPr>
          <w:t>1.1 Testimonials and Endorsements</w:t>
        </w:r>
        <w:r>
          <w:tab/>
        </w:r>
        <w:r>
          <w:fldChar w:fldCharType="begin"/>
        </w:r>
        <w:r>
          <w:instrText xml:space="preserve"> PAGEREF _Toc256000001 \h </w:instrText>
        </w:r>
        <w:r>
          <w:fldChar w:fldCharType="separate"/>
        </w:r>
        <w:r>
          <w:t>1</w:t>
        </w:r>
        <w:r>
          <w:fldChar w:fldCharType="end"/>
        </w:r>
      </w:hyperlink>
    </w:p>
    <w:p>
      <w:pPr>
        <w:pStyle w:val="TOC2"/>
        <w:tabs>
          <w:tab w:val="right" w:leader="dot" w:pos="9926"/>
        </w:tabs>
        <w:rPr>
          <w:rFonts w:ascii="Calibri" w:hAnsi="Calibri"/>
          <w:noProof/>
          <w:sz w:val="22"/>
        </w:rPr>
      </w:pPr>
      <w:hyperlink w:anchor="_Toc256000002" w:history="1">
        <w:r>
          <w:rPr>
            <w:rStyle w:val="Hyperlink"/>
          </w:rPr>
          <w:t>1.2 Inclusion of Top Performing and Least Performing Current and Past Specific Recommendations in Advertisements</w:t>
        </w:r>
        <w:r>
          <w:tab/>
        </w:r>
        <w:r>
          <w:fldChar w:fldCharType="begin"/>
        </w:r>
        <w:r>
          <w:instrText xml:space="preserve"> PAGEREF _Toc256000002 \h </w:instrText>
        </w:r>
        <w:r>
          <w:fldChar w:fldCharType="separate"/>
        </w:r>
        <w:r>
          <w:t>3</w:t>
        </w:r>
        <w:r>
          <w:fldChar w:fldCharType="end"/>
        </w:r>
      </w:hyperlink>
    </w:p>
    <w:p>
      <w:pPr>
        <w:pStyle w:val="TOC1"/>
        <w:tabs>
          <w:tab w:val="right" w:leader="dot" w:pos="9926"/>
        </w:tabs>
        <w:rPr>
          <w:rFonts w:ascii="Calibri" w:hAnsi="Calibri"/>
          <w:noProof/>
          <w:sz w:val="22"/>
        </w:rPr>
      </w:pPr>
      <w:hyperlink w:anchor="_Toc256000003" w:history="1">
        <w:r>
          <w:rPr>
            <w:rStyle w:val="Hyperlink"/>
          </w:rPr>
          <w:t>2 NEW CLIENTS AND ANTI-MONEY LAUNDERING</w:t>
        </w:r>
        <w:r>
          <w:tab/>
        </w:r>
        <w:r>
          <w:fldChar w:fldCharType="begin"/>
        </w:r>
        <w:r>
          <w:instrText xml:space="preserve"> PAGEREF _Toc256000003 \h </w:instrText>
        </w:r>
        <w:r>
          <w:fldChar w:fldCharType="separate"/>
        </w:r>
        <w:r>
          <w:t>7</w:t>
        </w:r>
        <w:r>
          <w:fldChar w:fldCharType="end"/>
        </w:r>
      </w:hyperlink>
    </w:p>
    <w:p>
      <w:pPr>
        <w:pStyle w:val="TOC2"/>
        <w:tabs>
          <w:tab w:val="right" w:leader="dot" w:pos="9926"/>
        </w:tabs>
        <w:rPr>
          <w:rFonts w:ascii="Calibri" w:hAnsi="Calibri"/>
          <w:noProof/>
          <w:sz w:val="22"/>
        </w:rPr>
      </w:pPr>
      <w:hyperlink w:anchor="_Toc256000004" w:history="1">
        <w:r>
          <w:rPr>
            <w:rStyle w:val="Hyperlink"/>
          </w:rPr>
          <w:t>Introduction</w:t>
        </w:r>
        <w:r>
          <w:tab/>
        </w:r>
        <w:r>
          <w:fldChar w:fldCharType="begin"/>
        </w:r>
        <w:r>
          <w:instrText xml:space="preserve"> PAGEREF _Toc256000004 \h </w:instrText>
        </w:r>
        <w:r>
          <w:fldChar w:fldCharType="separate"/>
        </w:r>
        <w:r>
          <w:t>7</w:t>
        </w:r>
        <w:r>
          <w:fldChar w:fldCharType="end"/>
        </w:r>
      </w:hyperlink>
    </w:p>
    <w:p>
      <w:pPr>
        <w:pStyle w:val="TOC2"/>
        <w:tabs>
          <w:tab w:val="right" w:leader="dot" w:pos="9926"/>
        </w:tabs>
        <w:rPr>
          <w:rFonts w:ascii="Calibri" w:hAnsi="Calibri"/>
          <w:noProof/>
          <w:sz w:val="22"/>
        </w:rPr>
      </w:pPr>
      <w:hyperlink w:anchor="_Toc256000005" w:history="1">
        <w:r>
          <w:rPr>
            <w:rStyle w:val="Hyperlink"/>
          </w:rPr>
          <w:t>2.1 Compliance Reference Chart</w:t>
        </w:r>
        <w:r>
          <w:tab/>
        </w:r>
        <w:r>
          <w:fldChar w:fldCharType="begin"/>
        </w:r>
        <w:r>
          <w:instrText xml:space="preserve"> PAGEREF _Toc256000005 \h </w:instrText>
        </w:r>
        <w:r>
          <w:fldChar w:fldCharType="separate"/>
        </w:r>
        <w:r>
          <w:t>7</w:t>
        </w:r>
        <w:r>
          <w:fldChar w:fldCharType="end"/>
        </w:r>
      </w:hyperlink>
    </w:p>
    <w:p>
      <w:pPr>
        <w:pStyle w:val="TOC2"/>
        <w:tabs>
          <w:tab w:val="right" w:leader="dot" w:pos="9926"/>
        </w:tabs>
        <w:rPr>
          <w:rFonts w:ascii="Calibri" w:hAnsi="Calibri"/>
          <w:noProof/>
          <w:sz w:val="22"/>
        </w:rPr>
      </w:pPr>
      <w:hyperlink w:anchor="_Toc256000006" w:history="1">
        <w:r>
          <w:rPr>
            <w:rStyle w:val="Hyperlink"/>
          </w:rPr>
          <w:t>2.2 Policy</w:t>
        </w:r>
        <w:r>
          <w:tab/>
        </w:r>
        <w:r>
          <w:fldChar w:fldCharType="begin"/>
        </w:r>
        <w:r>
          <w:instrText xml:space="preserve"> PAGEREF _Toc256000006 \h </w:instrText>
        </w:r>
        <w:r>
          <w:fldChar w:fldCharType="separate"/>
        </w:r>
        <w:r>
          <w:t>8</w:t>
        </w:r>
        <w:r>
          <w:fldChar w:fldCharType="end"/>
        </w:r>
      </w:hyperlink>
    </w:p>
    <w:p>
      <w:pPr>
        <w:pStyle w:val="TOC2"/>
        <w:tabs>
          <w:tab w:val="right" w:leader="dot" w:pos="9926"/>
        </w:tabs>
        <w:rPr>
          <w:rFonts w:ascii="Calibri" w:hAnsi="Calibri"/>
          <w:noProof/>
          <w:sz w:val="22"/>
        </w:rPr>
      </w:pPr>
      <w:hyperlink w:anchor="_Toc256000007" w:history="1">
        <w:r>
          <w:rPr>
            <w:rStyle w:val="Hyperlink"/>
          </w:rPr>
          <w:t>2.3 Procedures</w:t>
        </w:r>
        <w:r>
          <w:tab/>
        </w:r>
        <w:r>
          <w:fldChar w:fldCharType="begin"/>
        </w:r>
        <w:r>
          <w:instrText xml:space="preserve"> PAGEREF _Toc256000007 \h </w:instrText>
        </w:r>
        <w:r>
          <w:fldChar w:fldCharType="separate"/>
        </w:r>
        <w:r>
          <w:t>8</w:t>
        </w:r>
        <w:r>
          <w:fldChar w:fldCharType="end"/>
        </w:r>
      </w:hyperlink>
    </w:p>
    <w:p>
      <w:pPr>
        <w:pStyle w:val="TOC3"/>
        <w:tabs>
          <w:tab w:val="right" w:leader="dot" w:pos="9926"/>
        </w:tabs>
        <w:rPr>
          <w:rFonts w:ascii="Calibri" w:hAnsi="Calibri"/>
          <w:noProof/>
          <w:sz w:val="22"/>
        </w:rPr>
      </w:pPr>
      <w:hyperlink w:anchor="_Toc256000008" w:history="1">
        <w:r>
          <w:rPr>
            <w:rStyle w:val="Hyperlink"/>
          </w:rPr>
          <w:t>2.3.1 Opening Client Accounts</w:t>
        </w:r>
        <w:r>
          <w:tab/>
        </w:r>
        <w:r>
          <w:fldChar w:fldCharType="begin"/>
        </w:r>
        <w:r>
          <w:instrText xml:space="preserve"> PAGEREF _Toc256000008 \h </w:instrText>
        </w:r>
        <w:r>
          <w:fldChar w:fldCharType="separate"/>
        </w:r>
        <w:r>
          <w:t>8</w:t>
        </w:r>
        <w:r>
          <w:fldChar w:fldCharType="end"/>
        </w:r>
      </w:hyperlink>
    </w:p>
    <w:p>
      <w:pPr>
        <w:pStyle w:val="TOC3"/>
        <w:tabs>
          <w:tab w:val="right" w:leader="dot" w:pos="9926"/>
        </w:tabs>
        <w:rPr>
          <w:rFonts w:ascii="Calibri" w:hAnsi="Calibri"/>
          <w:noProof/>
          <w:sz w:val="22"/>
        </w:rPr>
      </w:pPr>
      <w:hyperlink w:anchor="_Toc256000009" w:history="1">
        <w:r>
          <w:rPr>
            <w:rStyle w:val="Hyperlink"/>
          </w:rPr>
          <w:t>2.3.2 Investment Advisory Contract</w:t>
        </w:r>
        <w:r>
          <w:tab/>
        </w:r>
        <w:r>
          <w:fldChar w:fldCharType="begin"/>
        </w:r>
        <w:r>
          <w:instrText xml:space="preserve"> PAGEREF _Toc256000009 \h </w:instrText>
        </w:r>
        <w:r>
          <w:fldChar w:fldCharType="separate"/>
        </w:r>
        <w:r>
          <w:t>13</w:t>
        </w:r>
        <w:r>
          <w:fldChar w:fldCharType="end"/>
        </w:r>
      </w:hyperlink>
    </w:p>
    <w:p>
      <w:pPr>
        <w:pStyle w:val="TOC3"/>
        <w:tabs>
          <w:tab w:val="right" w:leader="dot" w:pos="9926"/>
        </w:tabs>
        <w:rPr>
          <w:rFonts w:ascii="Calibri" w:hAnsi="Calibri"/>
          <w:noProof/>
          <w:sz w:val="22"/>
        </w:rPr>
      </w:pPr>
      <w:hyperlink w:anchor="_Toc256000010" w:history="1">
        <w:r>
          <w:rPr>
            <w:rStyle w:val="Hyperlink"/>
          </w:rPr>
          <w:t>2.3.3 Anti-Money Laundering Notice</w:t>
        </w:r>
        <w:r>
          <w:tab/>
        </w:r>
        <w:r>
          <w:fldChar w:fldCharType="begin"/>
        </w:r>
        <w:r>
          <w:instrText xml:space="preserve"> PAGEREF _Toc256000010 \h </w:instrText>
        </w:r>
        <w:r>
          <w:fldChar w:fldCharType="separate"/>
        </w:r>
        <w:r>
          <w:t>13</w:t>
        </w:r>
        <w:r>
          <w:fldChar w:fldCharType="end"/>
        </w:r>
      </w:hyperlink>
    </w:p>
    <w:p>
      <w:pPr>
        <w:pStyle w:val="TOC3"/>
        <w:tabs>
          <w:tab w:val="right" w:leader="dot" w:pos="9926"/>
        </w:tabs>
        <w:rPr>
          <w:rFonts w:ascii="Calibri" w:hAnsi="Calibri"/>
          <w:noProof/>
          <w:sz w:val="22"/>
        </w:rPr>
      </w:pPr>
      <w:hyperlink w:anchor="_Toc256000011" w:history="1">
        <w:r>
          <w:rPr>
            <w:rStyle w:val="Hyperlink"/>
          </w:rPr>
          <w:t>2.3.4 Privacy Notice</w:t>
        </w:r>
        <w:r>
          <w:tab/>
        </w:r>
        <w:r>
          <w:fldChar w:fldCharType="begin"/>
        </w:r>
        <w:r>
          <w:instrText xml:space="preserve"> PAGEREF _Toc256000011 \h </w:instrText>
        </w:r>
        <w:r>
          <w:fldChar w:fldCharType="separate"/>
        </w:r>
        <w:r>
          <w:t>13</w:t>
        </w:r>
        <w:r>
          <w:fldChar w:fldCharType="end"/>
        </w:r>
      </w:hyperlink>
    </w:p>
    <w:p>
      <w:pPr>
        <w:pStyle w:val="TOC3"/>
        <w:tabs>
          <w:tab w:val="right" w:leader="dot" w:pos="9926"/>
        </w:tabs>
        <w:rPr>
          <w:rFonts w:ascii="Calibri" w:hAnsi="Calibri"/>
          <w:noProof/>
          <w:sz w:val="22"/>
        </w:rPr>
      </w:pPr>
      <w:hyperlink w:anchor="_Toc256000012" w:history="1">
        <w:r>
          <w:rPr>
            <w:rStyle w:val="Hyperlink"/>
          </w:rPr>
          <w:t>2.3.5 Form ADV Delivery</w:t>
        </w:r>
        <w:r>
          <w:tab/>
        </w:r>
        <w:r>
          <w:fldChar w:fldCharType="begin"/>
        </w:r>
        <w:r>
          <w:instrText xml:space="preserve"> PAGEREF _Toc256000012 \h </w:instrText>
        </w:r>
        <w:r>
          <w:fldChar w:fldCharType="separate"/>
        </w:r>
        <w:r>
          <w:t>14</w:t>
        </w:r>
        <w:r>
          <w:fldChar w:fldCharType="end"/>
        </w:r>
      </w:hyperlink>
    </w:p>
    <w:p>
      <w:pPr>
        <w:pStyle w:val="TOC3"/>
        <w:tabs>
          <w:tab w:val="right" w:leader="dot" w:pos="9926"/>
        </w:tabs>
        <w:rPr>
          <w:rFonts w:ascii="Calibri" w:hAnsi="Calibri"/>
          <w:noProof/>
          <w:sz w:val="22"/>
        </w:rPr>
      </w:pPr>
      <w:hyperlink w:anchor="_Toc256000013" w:history="1">
        <w:r>
          <w:rPr>
            <w:rStyle w:val="Hyperlink"/>
          </w:rPr>
          <w:t>2.3.6 Relationship Summary (Form CRS) Initial Delivery</w:t>
        </w:r>
        <w:r>
          <w:tab/>
        </w:r>
        <w:r>
          <w:fldChar w:fldCharType="begin"/>
        </w:r>
        <w:r>
          <w:instrText xml:space="preserve"> PAGEREF _Toc256000013 \h </w:instrText>
        </w:r>
        <w:r>
          <w:fldChar w:fldCharType="separate"/>
        </w:r>
        <w:r>
          <w:t>14</w:t>
        </w:r>
        <w:r>
          <w:fldChar w:fldCharType="end"/>
        </w:r>
      </w:hyperlink>
    </w:p>
    <w:p>
      <w:pPr>
        <w:pStyle w:val="TOC3"/>
        <w:tabs>
          <w:tab w:val="right" w:leader="dot" w:pos="9926"/>
        </w:tabs>
        <w:rPr>
          <w:rFonts w:ascii="Calibri" w:hAnsi="Calibri"/>
          <w:noProof/>
          <w:sz w:val="22"/>
        </w:rPr>
      </w:pPr>
      <w:hyperlink w:anchor="_Toc256000014" w:history="1">
        <w:r>
          <w:rPr>
            <w:rStyle w:val="Hyperlink"/>
          </w:rPr>
          <w:t>2.3.7 Approval and Delivery of Client Account Forms</w:t>
        </w:r>
        <w:r>
          <w:tab/>
        </w:r>
        <w:r>
          <w:fldChar w:fldCharType="begin"/>
        </w:r>
        <w:r>
          <w:instrText xml:space="preserve"> PAGEREF _Toc256000014 \h </w:instrText>
        </w:r>
        <w:r>
          <w:fldChar w:fldCharType="separate"/>
        </w:r>
        <w:r>
          <w:t>14</w:t>
        </w:r>
        <w:r>
          <w:fldChar w:fldCharType="end"/>
        </w:r>
      </w:hyperlink>
    </w:p>
    <w:p>
      <w:pPr>
        <w:pStyle w:val="TOC3"/>
        <w:tabs>
          <w:tab w:val="right" w:leader="dot" w:pos="9926"/>
        </w:tabs>
        <w:rPr>
          <w:rFonts w:ascii="Calibri" w:hAnsi="Calibri"/>
          <w:noProof/>
          <w:sz w:val="22"/>
        </w:rPr>
      </w:pPr>
      <w:hyperlink w:anchor="_Toc256000015" w:history="1">
        <w:r>
          <w:rPr>
            <w:rStyle w:val="Hyperlink"/>
          </w:rPr>
          <w:t>2.3.8 Funding Account</w:t>
        </w:r>
        <w:r>
          <w:tab/>
        </w:r>
        <w:r>
          <w:fldChar w:fldCharType="begin"/>
        </w:r>
        <w:r>
          <w:instrText xml:space="preserve"> PAGEREF _Toc256000015 \h </w:instrText>
        </w:r>
        <w:r>
          <w:fldChar w:fldCharType="separate"/>
        </w:r>
        <w:r>
          <w:t>15</w:t>
        </w:r>
        <w:r>
          <w:fldChar w:fldCharType="end"/>
        </w:r>
      </w:hyperlink>
    </w:p>
    <w:p>
      <w:pPr>
        <w:pStyle w:val="TOC3"/>
        <w:tabs>
          <w:tab w:val="right" w:leader="dot" w:pos="9926"/>
        </w:tabs>
        <w:rPr>
          <w:rFonts w:ascii="Calibri" w:hAnsi="Calibri"/>
          <w:noProof/>
          <w:sz w:val="22"/>
        </w:rPr>
      </w:pPr>
      <w:hyperlink w:anchor="_Toc256000016" w:history="1">
        <w:r>
          <w:rPr>
            <w:rStyle w:val="Hyperlink"/>
          </w:rPr>
          <w:t>2.3.9 Updating Client Files</w:t>
        </w:r>
        <w:r>
          <w:tab/>
        </w:r>
        <w:r>
          <w:fldChar w:fldCharType="begin"/>
        </w:r>
        <w:r>
          <w:instrText xml:space="preserve"> PAGEREF _Toc256000016 \h </w:instrText>
        </w:r>
        <w:r>
          <w:fldChar w:fldCharType="separate"/>
        </w:r>
        <w:r>
          <w:t>15</w:t>
        </w:r>
        <w:r>
          <w:fldChar w:fldCharType="end"/>
        </w:r>
      </w:hyperlink>
    </w:p>
    <w:p>
      <w:pPr>
        <w:pStyle w:val="TOC3"/>
        <w:tabs>
          <w:tab w:val="right" w:leader="dot" w:pos="9926"/>
        </w:tabs>
        <w:rPr>
          <w:rFonts w:ascii="Calibri" w:hAnsi="Calibri"/>
          <w:noProof/>
          <w:sz w:val="22"/>
        </w:rPr>
      </w:pPr>
      <w:hyperlink w:anchor="_Toc256000017" w:history="1">
        <w:r>
          <w:rPr>
            <w:rStyle w:val="Hyperlink"/>
          </w:rPr>
          <w:t>2.3.10 Detecting and Preventing Money Laundering</w:t>
        </w:r>
        <w:r>
          <w:tab/>
        </w:r>
        <w:r>
          <w:fldChar w:fldCharType="begin"/>
        </w:r>
        <w:r>
          <w:instrText xml:space="preserve"> PAGEREF _Toc256000017 \h </w:instrText>
        </w:r>
        <w:r>
          <w:fldChar w:fldCharType="separate"/>
        </w:r>
        <w:r>
          <w:t>15</w:t>
        </w:r>
        <w:r>
          <w:fldChar w:fldCharType="end"/>
        </w:r>
      </w:hyperlink>
    </w:p>
    <w:p>
      <w:pPr>
        <w:pStyle w:val="TOC2"/>
        <w:tabs>
          <w:tab w:val="right" w:leader="dot" w:pos="9926"/>
        </w:tabs>
        <w:rPr>
          <w:rFonts w:ascii="Calibri" w:hAnsi="Calibri"/>
          <w:noProof/>
          <w:sz w:val="22"/>
        </w:rPr>
      </w:pPr>
      <w:hyperlink w:anchor="_Toc256000018" w:history="1">
        <w:r>
          <w:rPr>
            <w:rStyle w:val="Hyperlink"/>
          </w:rPr>
          <w:t>2.4 Form ADV Disclosure</w:t>
        </w:r>
        <w:r>
          <w:tab/>
        </w:r>
        <w:r>
          <w:fldChar w:fldCharType="begin"/>
        </w:r>
        <w:r>
          <w:instrText xml:space="preserve"> PAGEREF _Toc256000018 \h </w:instrText>
        </w:r>
        <w:r>
          <w:fldChar w:fldCharType="separate"/>
        </w:r>
        <w:r>
          <w:t>16</w:t>
        </w:r>
        <w:r>
          <w:fldChar w:fldCharType="end"/>
        </w:r>
      </w:hyperlink>
    </w:p>
    <w:p>
      <w:pPr>
        <w:pStyle w:val="TOC2"/>
        <w:tabs>
          <w:tab w:val="right" w:leader="dot" w:pos="9926"/>
        </w:tabs>
        <w:rPr>
          <w:rFonts w:ascii="Calibri" w:hAnsi="Calibri"/>
          <w:noProof/>
          <w:sz w:val="22"/>
        </w:rPr>
      </w:pPr>
      <w:hyperlink w:anchor="_Toc256000019" w:history="1">
        <w:r>
          <w:rPr>
            <w:rStyle w:val="Hyperlink"/>
          </w:rPr>
          <w:t>2.5 Books and Records</w:t>
        </w:r>
        <w:r>
          <w:tab/>
        </w:r>
        <w:r>
          <w:fldChar w:fldCharType="begin"/>
        </w:r>
        <w:r>
          <w:instrText xml:space="preserve"> PAGEREF _Toc256000019 \h </w:instrText>
        </w:r>
        <w:r>
          <w:fldChar w:fldCharType="separate"/>
        </w:r>
        <w:r>
          <w:t>16</w:t>
        </w:r>
        <w:r>
          <w:fldChar w:fldCharType="end"/>
        </w:r>
      </w:hyperlink>
    </w:p>
    <w:p>
      <w:pPr>
        <w:pStyle w:val="TOC1"/>
        <w:tabs>
          <w:tab w:val="right" w:leader="dot" w:pos="9926"/>
        </w:tabs>
        <w:rPr>
          <w:rFonts w:ascii="Calibri" w:hAnsi="Calibri"/>
          <w:noProof/>
          <w:sz w:val="22"/>
        </w:rPr>
      </w:pPr>
      <w:hyperlink w:anchor="_Toc256000020" w:history="1">
        <w:r>
          <w:rPr>
            <w:rStyle w:val="Hyperlink"/>
          </w:rPr>
          <w:t>3 EXISTING CLIENTS AND PRIVACY PROCEDURES</w:t>
        </w:r>
        <w:r>
          <w:tab/>
        </w:r>
        <w:r>
          <w:fldChar w:fldCharType="begin"/>
        </w:r>
        <w:r>
          <w:instrText xml:space="preserve"> PAGEREF _Toc256000020 \h </w:instrText>
        </w:r>
        <w:r>
          <w:fldChar w:fldCharType="separate"/>
        </w:r>
        <w:r>
          <w:t>18</w:t>
        </w:r>
        <w:r>
          <w:fldChar w:fldCharType="end"/>
        </w:r>
      </w:hyperlink>
    </w:p>
    <w:p>
      <w:pPr>
        <w:pStyle w:val="TOC2"/>
        <w:tabs>
          <w:tab w:val="right" w:leader="dot" w:pos="9926"/>
        </w:tabs>
        <w:rPr>
          <w:rFonts w:ascii="Calibri" w:hAnsi="Calibri"/>
          <w:noProof/>
          <w:sz w:val="22"/>
        </w:rPr>
      </w:pPr>
      <w:hyperlink w:anchor="_Toc256000021" w:history="1">
        <w:r>
          <w:rPr>
            <w:rStyle w:val="Hyperlink"/>
          </w:rPr>
          <w:t>Introduction</w:t>
        </w:r>
        <w:r>
          <w:tab/>
        </w:r>
        <w:r>
          <w:fldChar w:fldCharType="begin"/>
        </w:r>
        <w:r>
          <w:instrText xml:space="preserve"> PAGEREF _Toc256000021 \h </w:instrText>
        </w:r>
        <w:r>
          <w:fldChar w:fldCharType="separate"/>
        </w:r>
        <w:r>
          <w:t>18</w:t>
        </w:r>
        <w:r>
          <w:fldChar w:fldCharType="end"/>
        </w:r>
      </w:hyperlink>
    </w:p>
    <w:p>
      <w:pPr>
        <w:pStyle w:val="TOC2"/>
        <w:tabs>
          <w:tab w:val="right" w:leader="dot" w:pos="9926"/>
        </w:tabs>
        <w:rPr>
          <w:rFonts w:ascii="Calibri" w:hAnsi="Calibri"/>
          <w:noProof/>
          <w:sz w:val="22"/>
        </w:rPr>
      </w:pPr>
      <w:hyperlink w:anchor="_Toc256000022" w:history="1">
        <w:r>
          <w:rPr>
            <w:rStyle w:val="Hyperlink"/>
          </w:rPr>
          <w:t>3.1 Compliance Reference Chart</w:t>
        </w:r>
        <w:r>
          <w:tab/>
        </w:r>
        <w:r>
          <w:fldChar w:fldCharType="begin"/>
        </w:r>
        <w:r>
          <w:instrText xml:space="preserve"> PAGEREF _Toc256000022 \h </w:instrText>
        </w:r>
        <w:r>
          <w:fldChar w:fldCharType="separate"/>
        </w:r>
        <w:r>
          <w:t>19</w:t>
        </w:r>
        <w:r>
          <w:fldChar w:fldCharType="end"/>
        </w:r>
      </w:hyperlink>
    </w:p>
    <w:p>
      <w:pPr>
        <w:pStyle w:val="TOC2"/>
        <w:tabs>
          <w:tab w:val="right" w:leader="dot" w:pos="9926"/>
        </w:tabs>
        <w:rPr>
          <w:rFonts w:ascii="Calibri" w:hAnsi="Calibri"/>
          <w:noProof/>
          <w:sz w:val="22"/>
        </w:rPr>
      </w:pPr>
      <w:hyperlink w:anchor="_Toc256000023" w:history="1">
        <w:r>
          <w:rPr>
            <w:rStyle w:val="Hyperlink"/>
          </w:rPr>
          <w:t>3.2 Policy</w:t>
        </w:r>
        <w:r>
          <w:tab/>
        </w:r>
        <w:r>
          <w:fldChar w:fldCharType="begin"/>
        </w:r>
        <w:r>
          <w:instrText xml:space="preserve"> PAGEREF _Toc256000023 \h </w:instrText>
        </w:r>
        <w:r>
          <w:fldChar w:fldCharType="separate"/>
        </w:r>
        <w:r>
          <w:t>19</w:t>
        </w:r>
        <w:r>
          <w:fldChar w:fldCharType="end"/>
        </w:r>
      </w:hyperlink>
    </w:p>
    <w:p>
      <w:pPr>
        <w:pStyle w:val="TOC2"/>
        <w:tabs>
          <w:tab w:val="right" w:leader="dot" w:pos="9926"/>
        </w:tabs>
        <w:rPr>
          <w:rFonts w:ascii="Calibri" w:hAnsi="Calibri"/>
          <w:noProof/>
          <w:sz w:val="22"/>
        </w:rPr>
      </w:pPr>
      <w:hyperlink w:anchor="_Toc256000024" w:history="1">
        <w:r>
          <w:rPr>
            <w:rStyle w:val="Hyperlink"/>
          </w:rPr>
          <w:t>3.3 Procedures</w:t>
        </w:r>
        <w:r>
          <w:tab/>
        </w:r>
        <w:r>
          <w:fldChar w:fldCharType="begin"/>
        </w:r>
        <w:r>
          <w:instrText xml:space="preserve"> PAGEREF _Toc256000024 \h </w:instrText>
        </w:r>
        <w:r>
          <w:fldChar w:fldCharType="separate"/>
        </w:r>
        <w:r>
          <w:t>19</w:t>
        </w:r>
        <w:r>
          <w:fldChar w:fldCharType="end"/>
        </w:r>
      </w:hyperlink>
    </w:p>
    <w:p>
      <w:pPr>
        <w:pStyle w:val="TOC3"/>
        <w:tabs>
          <w:tab w:val="right" w:leader="dot" w:pos="9926"/>
        </w:tabs>
        <w:rPr>
          <w:rFonts w:ascii="Calibri" w:hAnsi="Calibri"/>
          <w:noProof/>
          <w:sz w:val="22"/>
        </w:rPr>
      </w:pPr>
      <w:hyperlink w:anchor="_Toc256000025" w:history="1">
        <w:r>
          <w:rPr>
            <w:rStyle w:val="Hyperlink"/>
          </w:rPr>
          <w:t>3.3.1 Account Statements</w:t>
        </w:r>
        <w:r>
          <w:tab/>
        </w:r>
        <w:r>
          <w:fldChar w:fldCharType="begin"/>
        </w:r>
        <w:r>
          <w:instrText xml:space="preserve"> PAGEREF _Toc256000025 \h </w:instrText>
        </w:r>
        <w:r>
          <w:fldChar w:fldCharType="separate"/>
        </w:r>
        <w:r>
          <w:t>19</w:t>
        </w:r>
        <w:r>
          <w:fldChar w:fldCharType="end"/>
        </w:r>
      </w:hyperlink>
    </w:p>
    <w:p>
      <w:pPr>
        <w:pStyle w:val="TOC3"/>
        <w:tabs>
          <w:tab w:val="right" w:leader="dot" w:pos="9926"/>
        </w:tabs>
        <w:rPr>
          <w:rFonts w:ascii="Calibri" w:hAnsi="Calibri"/>
          <w:noProof/>
          <w:sz w:val="22"/>
        </w:rPr>
      </w:pPr>
      <w:hyperlink w:anchor="_Toc256000026" w:history="1">
        <w:r>
          <w:rPr>
            <w:rStyle w:val="Hyperlink"/>
          </w:rPr>
          <w:t>3.3.2 Address Changes</w:t>
        </w:r>
        <w:r>
          <w:tab/>
        </w:r>
        <w:r>
          <w:fldChar w:fldCharType="begin"/>
        </w:r>
        <w:r>
          <w:instrText xml:space="preserve"> PAGEREF _Toc256000026 \h </w:instrText>
        </w:r>
        <w:r>
          <w:fldChar w:fldCharType="separate"/>
        </w:r>
        <w:r>
          <w:t>20</w:t>
        </w:r>
        <w:r>
          <w:fldChar w:fldCharType="end"/>
        </w:r>
      </w:hyperlink>
    </w:p>
    <w:p>
      <w:pPr>
        <w:pStyle w:val="TOC3"/>
        <w:tabs>
          <w:tab w:val="right" w:leader="dot" w:pos="9926"/>
        </w:tabs>
        <w:rPr>
          <w:rFonts w:ascii="Calibri" w:hAnsi="Calibri"/>
          <w:noProof/>
          <w:sz w:val="22"/>
        </w:rPr>
      </w:pPr>
      <w:hyperlink w:anchor="_Toc256000027" w:history="1">
        <w:r>
          <w:rPr>
            <w:rStyle w:val="Hyperlink"/>
          </w:rPr>
          <w:t>3.3.3 Client Data</w:t>
        </w:r>
        <w:r>
          <w:tab/>
        </w:r>
        <w:r>
          <w:fldChar w:fldCharType="begin"/>
        </w:r>
        <w:r>
          <w:instrText xml:space="preserve"> PAGEREF _Toc256000027 \h </w:instrText>
        </w:r>
        <w:r>
          <w:fldChar w:fldCharType="separate"/>
        </w:r>
        <w:r>
          <w:t>20</w:t>
        </w:r>
        <w:r>
          <w:fldChar w:fldCharType="end"/>
        </w:r>
      </w:hyperlink>
    </w:p>
    <w:p>
      <w:pPr>
        <w:pStyle w:val="TOC3"/>
        <w:tabs>
          <w:tab w:val="right" w:leader="dot" w:pos="9926"/>
        </w:tabs>
        <w:rPr>
          <w:rFonts w:ascii="Calibri" w:hAnsi="Calibri"/>
          <w:noProof/>
          <w:sz w:val="22"/>
        </w:rPr>
      </w:pPr>
      <w:hyperlink w:anchor="_Toc256000028" w:history="1">
        <w:r>
          <w:rPr>
            <w:rStyle w:val="Hyperlink"/>
          </w:rPr>
          <w:t>3.3.4 Client Communications</w:t>
        </w:r>
        <w:r>
          <w:tab/>
        </w:r>
        <w:r>
          <w:fldChar w:fldCharType="begin"/>
        </w:r>
        <w:r>
          <w:instrText xml:space="preserve"> PAGEREF _Toc256000028 \h </w:instrText>
        </w:r>
        <w:r>
          <w:fldChar w:fldCharType="separate"/>
        </w:r>
        <w:r>
          <w:t>21</w:t>
        </w:r>
        <w:r>
          <w:fldChar w:fldCharType="end"/>
        </w:r>
      </w:hyperlink>
    </w:p>
    <w:p>
      <w:pPr>
        <w:pStyle w:val="TOC3"/>
        <w:tabs>
          <w:tab w:val="right" w:leader="dot" w:pos="9926"/>
        </w:tabs>
        <w:rPr>
          <w:rFonts w:ascii="Calibri" w:hAnsi="Calibri"/>
          <w:noProof/>
          <w:sz w:val="22"/>
        </w:rPr>
      </w:pPr>
      <w:hyperlink w:anchor="_Toc256000029" w:history="1">
        <w:r>
          <w:rPr>
            <w:rStyle w:val="Hyperlink"/>
          </w:rPr>
          <w:t>3.3.5 Fraud</w:t>
        </w:r>
        <w:r>
          <w:tab/>
        </w:r>
        <w:r>
          <w:fldChar w:fldCharType="begin"/>
        </w:r>
        <w:r>
          <w:instrText xml:space="preserve"> PAGEREF _Toc256000029 \h </w:instrText>
        </w:r>
        <w:r>
          <w:fldChar w:fldCharType="separate"/>
        </w:r>
        <w:r>
          <w:t>24</w:t>
        </w:r>
        <w:r>
          <w:fldChar w:fldCharType="end"/>
        </w:r>
      </w:hyperlink>
    </w:p>
    <w:p>
      <w:pPr>
        <w:pStyle w:val="TOC3"/>
        <w:tabs>
          <w:tab w:val="right" w:leader="dot" w:pos="9926"/>
        </w:tabs>
        <w:rPr>
          <w:rFonts w:ascii="Calibri" w:hAnsi="Calibri"/>
          <w:noProof/>
          <w:sz w:val="22"/>
        </w:rPr>
      </w:pPr>
      <w:hyperlink w:anchor="_Toc256000030" w:history="1">
        <w:r>
          <w:rPr>
            <w:rStyle w:val="Hyperlink"/>
          </w:rPr>
          <w:t>3.3.6 Client Complaints</w:t>
        </w:r>
        <w:r>
          <w:tab/>
        </w:r>
        <w:r>
          <w:fldChar w:fldCharType="begin"/>
        </w:r>
        <w:r>
          <w:instrText xml:space="preserve"> PAGEREF _Toc256000030 \h </w:instrText>
        </w:r>
        <w:r>
          <w:fldChar w:fldCharType="separate"/>
        </w:r>
        <w:r>
          <w:t>25</w:t>
        </w:r>
        <w:r>
          <w:fldChar w:fldCharType="end"/>
        </w:r>
      </w:hyperlink>
    </w:p>
    <w:p>
      <w:pPr>
        <w:pStyle w:val="TOC3"/>
        <w:tabs>
          <w:tab w:val="right" w:leader="dot" w:pos="9926"/>
        </w:tabs>
        <w:rPr>
          <w:rFonts w:ascii="Calibri" w:hAnsi="Calibri"/>
          <w:noProof/>
          <w:sz w:val="22"/>
        </w:rPr>
      </w:pPr>
      <w:hyperlink w:anchor="_Toc256000031" w:history="1">
        <w:r>
          <w:rPr>
            <w:rStyle w:val="Hyperlink"/>
          </w:rPr>
          <w:t>3.3.7 Errors</w:t>
        </w:r>
        <w:r>
          <w:tab/>
        </w:r>
        <w:r>
          <w:fldChar w:fldCharType="begin"/>
        </w:r>
        <w:r>
          <w:instrText xml:space="preserve"> PAGEREF _Toc256000031 \h </w:instrText>
        </w:r>
        <w:r>
          <w:fldChar w:fldCharType="separate"/>
        </w:r>
        <w:r>
          <w:t>26</w:t>
        </w:r>
        <w:r>
          <w:fldChar w:fldCharType="end"/>
        </w:r>
      </w:hyperlink>
    </w:p>
    <w:p>
      <w:pPr>
        <w:pStyle w:val="TOC3"/>
        <w:tabs>
          <w:tab w:val="right" w:leader="dot" w:pos="9926"/>
        </w:tabs>
        <w:rPr>
          <w:rFonts w:ascii="Calibri" w:hAnsi="Calibri"/>
          <w:noProof/>
          <w:sz w:val="22"/>
        </w:rPr>
      </w:pPr>
      <w:hyperlink w:anchor="_Toc256000032" w:history="1">
        <w:r>
          <w:rPr>
            <w:rStyle w:val="Hyperlink"/>
          </w:rPr>
          <w:t>3.3.8 Inactive Accounts</w:t>
        </w:r>
        <w:r>
          <w:tab/>
        </w:r>
        <w:r>
          <w:fldChar w:fldCharType="begin"/>
        </w:r>
        <w:r>
          <w:instrText xml:space="preserve"> PAGEREF _Toc256000032 \h </w:instrText>
        </w:r>
        <w:r>
          <w:fldChar w:fldCharType="separate"/>
        </w:r>
        <w:r>
          <w:t>26</w:t>
        </w:r>
        <w:r>
          <w:fldChar w:fldCharType="end"/>
        </w:r>
      </w:hyperlink>
    </w:p>
    <w:p>
      <w:pPr>
        <w:pStyle w:val="TOC3"/>
        <w:tabs>
          <w:tab w:val="right" w:leader="dot" w:pos="9926"/>
        </w:tabs>
        <w:rPr>
          <w:rFonts w:ascii="Calibri" w:hAnsi="Calibri"/>
          <w:noProof/>
          <w:sz w:val="22"/>
        </w:rPr>
      </w:pPr>
      <w:hyperlink w:anchor="_Toc256000033" w:history="1">
        <w:r>
          <w:rPr>
            <w:rStyle w:val="Hyperlink"/>
          </w:rPr>
          <w:t>3.3.9 Senior Clients</w:t>
        </w:r>
        <w:r>
          <w:tab/>
        </w:r>
        <w:r>
          <w:fldChar w:fldCharType="begin"/>
        </w:r>
        <w:r>
          <w:instrText xml:space="preserve"> PAGEREF _Toc256000033 \h </w:instrText>
        </w:r>
        <w:r>
          <w:fldChar w:fldCharType="separate"/>
        </w:r>
        <w:r>
          <w:t>26</w:t>
        </w:r>
        <w:r>
          <w:fldChar w:fldCharType="end"/>
        </w:r>
      </w:hyperlink>
    </w:p>
    <w:p>
      <w:pPr>
        <w:pStyle w:val="TOC3"/>
        <w:tabs>
          <w:tab w:val="right" w:leader="dot" w:pos="9926"/>
        </w:tabs>
        <w:rPr>
          <w:rFonts w:ascii="Calibri" w:hAnsi="Calibri"/>
          <w:noProof/>
          <w:sz w:val="22"/>
        </w:rPr>
      </w:pPr>
      <w:hyperlink w:anchor="_Toc256000034" w:history="1">
        <w:r>
          <w:rPr>
            <w:rStyle w:val="Hyperlink"/>
          </w:rPr>
          <w:t>3.3.10 Relationship Summary (Form CRS) Annual Delivery</w:t>
        </w:r>
        <w:r>
          <w:tab/>
        </w:r>
        <w:r>
          <w:fldChar w:fldCharType="begin"/>
        </w:r>
        <w:r>
          <w:instrText xml:space="preserve"> PAGEREF _Toc256000034 \h </w:instrText>
        </w:r>
        <w:r>
          <w:fldChar w:fldCharType="separate"/>
        </w:r>
        <w:r>
          <w:t>30</w:t>
        </w:r>
        <w:r>
          <w:fldChar w:fldCharType="end"/>
        </w:r>
      </w:hyperlink>
    </w:p>
    <w:p>
      <w:pPr>
        <w:pStyle w:val="TOC3"/>
        <w:tabs>
          <w:tab w:val="right" w:leader="dot" w:pos="9926"/>
        </w:tabs>
        <w:rPr>
          <w:rFonts w:ascii="Calibri" w:hAnsi="Calibri"/>
          <w:noProof/>
          <w:sz w:val="22"/>
        </w:rPr>
      </w:pPr>
      <w:hyperlink w:anchor="_Toc256000035" w:history="1">
        <w:r>
          <w:rPr>
            <w:rStyle w:val="Hyperlink"/>
          </w:rPr>
          <w:t>3.3.11 Annual Form ADV Delivery</w:t>
        </w:r>
        <w:r>
          <w:tab/>
        </w:r>
        <w:r>
          <w:fldChar w:fldCharType="begin"/>
        </w:r>
        <w:r>
          <w:instrText xml:space="preserve"> PAGEREF _Toc256000035 \h </w:instrText>
        </w:r>
        <w:r>
          <w:fldChar w:fldCharType="separate"/>
        </w:r>
        <w:r>
          <w:t>31</w:t>
        </w:r>
        <w:r>
          <w:fldChar w:fldCharType="end"/>
        </w:r>
      </w:hyperlink>
    </w:p>
    <w:p>
      <w:pPr>
        <w:pStyle w:val="TOC3"/>
        <w:tabs>
          <w:tab w:val="right" w:leader="dot" w:pos="9926"/>
        </w:tabs>
        <w:rPr>
          <w:rFonts w:ascii="Calibri" w:hAnsi="Calibri"/>
          <w:noProof/>
          <w:sz w:val="22"/>
        </w:rPr>
      </w:pPr>
      <w:hyperlink w:anchor="_Toc256000036" w:history="1">
        <w:r>
          <w:rPr>
            <w:rStyle w:val="Hyperlink"/>
          </w:rPr>
          <w:t>3.3.12 Privacy Procedures</w:t>
        </w:r>
        <w:r>
          <w:tab/>
        </w:r>
        <w:r>
          <w:fldChar w:fldCharType="begin"/>
        </w:r>
        <w:r>
          <w:instrText xml:space="preserve"> PAGEREF _Toc256000036 \h </w:instrText>
        </w:r>
        <w:r>
          <w:fldChar w:fldCharType="separate"/>
        </w:r>
        <w:r>
          <w:t>33</w:t>
        </w:r>
        <w:r>
          <w:fldChar w:fldCharType="end"/>
        </w:r>
      </w:hyperlink>
    </w:p>
    <w:p>
      <w:pPr>
        <w:pStyle w:val="TOC3"/>
        <w:tabs>
          <w:tab w:val="right" w:leader="dot" w:pos="9926"/>
        </w:tabs>
        <w:rPr>
          <w:rFonts w:ascii="Calibri" w:hAnsi="Calibri"/>
          <w:noProof/>
          <w:sz w:val="22"/>
        </w:rPr>
      </w:pPr>
      <w:hyperlink w:anchor="_Toc256000037" w:history="1">
        <w:r>
          <w:rPr>
            <w:rStyle w:val="Hyperlink"/>
          </w:rPr>
          <w:t>3.3.13 Former Clients</w:t>
        </w:r>
        <w:r>
          <w:tab/>
        </w:r>
        <w:r>
          <w:fldChar w:fldCharType="begin"/>
        </w:r>
        <w:r>
          <w:instrText xml:space="preserve"> PAGEREF _Toc256000037 \h </w:instrText>
        </w:r>
        <w:r>
          <w:fldChar w:fldCharType="separate"/>
        </w:r>
        <w:r>
          <w:t>40</w:t>
        </w:r>
        <w:r>
          <w:fldChar w:fldCharType="end"/>
        </w:r>
      </w:hyperlink>
    </w:p>
    <w:p>
      <w:pPr>
        <w:pStyle w:val="TOC3"/>
        <w:tabs>
          <w:tab w:val="right" w:leader="dot" w:pos="9926"/>
        </w:tabs>
        <w:rPr>
          <w:rFonts w:ascii="Calibri" w:hAnsi="Calibri"/>
          <w:noProof/>
          <w:sz w:val="22"/>
        </w:rPr>
      </w:pPr>
      <w:hyperlink w:anchor="_Toc256000038" w:history="1">
        <w:r>
          <w:rPr>
            <w:rStyle w:val="Hyperlink"/>
          </w:rPr>
          <w:t>3.3.14 Breaches of Security of Client Information</w:t>
        </w:r>
        <w:r>
          <w:tab/>
        </w:r>
        <w:r>
          <w:fldChar w:fldCharType="begin"/>
        </w:r>
        <w:r>
          <w:instrText xml:space="preserve"> PAGEREF _Toc256000038 \h </w:instrText>
        </w:r>
        <w:r>
          <w:fldChar w:fldCharType="separate"/>
        </w:r>
        <w:r>
          <w:t>41</w:t>
        </w:r>
        <w:r>
          <w:fldChar w:fldCharType="end"/>
        </w:r>
      </w:hyperlink>
    </w:p>
    <w:p>
      <w:pPr>
        <w:pStyle w:val="TOC3"/>
        <w:tabs>
          <w:tab w:val="right" w:leader="dot" w:pos="9926"/>
        </w:tabs>
        <w:rPr>
          <w:rFonts w:ascii="Calibri" w:hAnsi="Calibri"/>
          <w:noProof/>
          <w:sz w:val="22"/>
        </w:rPr>
      </w:pPr>
      <w:hyperlink w:anchor="_Toc256000039" w:history="1">
        <w:r>
          <w:rPr>
            <w:rStyle w:val="Hyperlink"/>
          </w:rPr>
          <w:t>3.3.15 Service Providers</w:t>
        </w:r>
        <w:r>
          <w:tab/>
        </w:r>
        <w:r>
          <w:fldChar w:fldCharType="begin"/>
        </w:r>
        <w:r>
          <w:instrText xml:space="preserve"> PAGEREF _Toc256000039 \h </w:instrText>
        </w:r>
        <w:r>
          <w:fldChar w:fldCharType="separate"/>
        </w:r>
        <w:r>
          <w:t>42</w:t>
        </w:r>
        <w:r>
          <w:fldChar w:fldCharType="end"/>
        </w:r>
      </w:hyperlink>
    </w:p>
    <w:p>
      <w:pPr>
        <w:pStyle w:val="TOC3"/>
        <w:tabs>
          <w:tab w:val="right" w:leader="dot" w:pos="9926"/>
        </w:tabs>
        <w:rPr>
          <w:rFonts w:ascii="Calibri" w:hAnsi="Calibri"/>
          <w:noProof/>
          <w:sz w:val="22"/>
        </w:rPr>
      </w:pPr>
      <w:hyperlink w:anchor="_Toc256000040" w:history="1">
        <w:r>
          <w:rPr>
            <w:rStyle w:val="Hyperlink"/>
          </w:rPr>
          <w:t>3.3.16 Disposal of Client Information</w:t>
        </w:r>
        <w:r>
          <w:tab/>
        </w:r>
        <w:r>
          <w:fldChar w:fldCharType="begin"/>
        </w:r>
        <w:r>
          <w:instrText xml:space="preserve"> PAGEREF _Toc256000040 \h </w:instrText>
        </w:r>
        <w:r>
          <w:fldChar w:fldCharType="separate"/>
        </w:r>
        <w:r>
          <w:t>42</w:t>
        </w:r>
        <w:r>
          <w:fldChar w:fldCharType="end"/>
        </w:r>
      </w:hyperlink>
    </w:p>
    <w:p>
      <w:pPr>
        <w:pStyle w:val="TOC3"/>
        <w:tabs>
          <w:tab w:val="right" w:leader="dot" w:pos="9926"/>
        </w:tabs>
        <w:rPr>
          <w:rFonts w:ascii="Calibri" w:hAnsi="Calibri"/>
          <w:noProof/>
          <w:sz w:val="22"/>
        </w:rPr>
      </w:pPr>
      <w:hyperlink w:anchor="_Toc256000041" w:history="1">
        <w:r>
          <w:rPr>
            <w:rStyle w:val="Hyperlink"/>
          </w:rPr>
          <w:t>3.3.17 Affiliate Marketing</w:t>
        </w:r>
        <w:r>
          <w:tab/>
        </w:r>
        <w:r>
          <w:fldChar w:fldCharType="begin"/>
        </w:r>
        <w:r>
          <w:instrText xml:space="preserve"> PAGEREF _Toc256000041 \h </w:instrText>
        </w:r>
        <w:r>
          <w:fldChar w:fldCharType="separate"/>
        </w:r>
        <w:r>
          <w:t>43</w:t>
        </w:r>
        <w:r>
          <w:fldChar w:fldCharType="end"/>
        </w:r>
      </w:hyperlink>
    </w:p>
    <w:p>
      <w:pPr>
        <w:pStyle w:val="TOC3"/>
        <w:tabs>
          <w:tab w:val="right" w:leader="dot" w:pos="9926"/>
        </w:tabs>
        <w:rPr>
          <w:rFonts w:ascii="Calibri" w:hAnsi="Calibri"/>
          <w:noProof/>
          <w:sz w:val="22"/>
        </w:rPr>
      </w:pPr>
      <w:hyperlink w:anchor="_Toc256000042" w:history="1">
        <w:r>
          <w:rPr>
            <w:rStyle w:val="Hyperlink"/>
          </w:rPr>
          <w:t>3.3.18 Lost Clients</w:t>
        </w:r>
        <w:r>
          <w:tab/>
        </w:r>
        <w:r>
          <w:fldChar w:fldCharType="begin"/>
        </w:r>
        <w:r>
          <w:instrText xml:space="preserve"> PAGEREF _Toc256000042 \h </w:instrText>
        </w:r>
        <w:r>
          <w:fldChar w:fldCharType="separate"/>
        </w:r>
        <w:r>
          <w:t>46</w:t>
        </w:r>
        <w:r>
          <w:fldChar w:fldCharType="end"/>
        </w:r>
      </w:hyperlink>
    </w:p>
    <w:p>
      <w:pPr>
        <w:pStyle w:val="TOC3"/>
        <w:tabs>
          <w:tab w:val="right" w:leader="dot" w:pos="9926"/>
        </w:tabs>
        <w:rPr>
          <w:rFonts w:ascii="Calibri" w:hAnsi="Calibri"/>
          <w:noProof/>
          <w:sz w:val="22"/>
        </w:rPr>
      </w:pPr>
      <w:hyperlink w:anchor="_Toc256000043" w:history="1">
        <w:r>
          <w:rPr>
            <w:rStyle w:val="Hyperlink"/>
          </w:rPr>
          <w:t>3.3.19 Selective Disclosure of Portfolio Information</w:t>
        </w:r>
        <w:r>
          <w:tab/>
        </w:r>
        <w:r>
          <w:fldChar w:fldCharType="begin"/>
        </w:r>
        <w:r>
          <w:instrText xml:space="preserve"> PAGEREF _Toc256000043 \h </w:instrText>
        </w:r>
        <w:r>
          <w:fldChar w:fldCharType="separate"/>
        </w:r>
        <w:r>
          <w:t>46</w:t>
        </w:r>
        <w:r>
          <w:fldChar w:fldCharType="end"/>
        </w:r>
      </w:hyperlink>
    </w:p>
    <w:p>
      <w:pPr>
        <w:pStyle w:val="TOC3"/>
        <w:tabs>
          <w:tab w:val="right" w:leader="dot" w:pos="9926"/>
        </w:tabs>
        <w:rPr>
          <w:rFonts w:ascii="Calibri" w:hAnsi="Calibri"/>
          <w:noProof/>
          <w:sz w:val="22"/>
        </w:rPr>
      </w:pPr>
      <w:hyperlink w:anchor="_Toc256000044" w:history="1">
        <w:r>
          <w:rPr>
            <w:rStyle w:val="Hyperlink"/>
          </w:rPr>
          <w:t>3.3.20 Identity Theft Prevention Program</w:t>
        </w:r>
        <w:r>
          <w:tab/>
        </w:r>
        <w:r>
          <w:fldChar w:fldCharType="begin"/>
        </w:r>
        <w:r>
          <w:instrText xml:space="preserve"> PAGEREF _Toc256000044 \h </w:instrText>
        </w:r>
        <w:r>
          <w:fldChar w:fldCharType="separate"/>
        </w:r>
        <w:r>
          <w:t>47</w:t>
        </w:r>
        <w:r>
          <w:fldChar w:fldCharType="end"/>
        </w:r>
      </w:hyperlink>
    </w:p>
    <w:p>
      <w:pPr>
        <w:pStyle w:val="TOC3"/>
        <w:tabs>
          <w:tab w:val="right" w:leader="dot" w:pos="9926"/>
        </w:tabs>
        <w:rPr>
          <w:rFonts w:ascii="Calibri" w:hAnsi="Calibri"/>
          <w:noProof/>
          <w:sz w:val="22"/>
        </w:rPr>
      </w:pPr>
      <w:hyperlink w:anchor="_Toc256000045" w:history="1">
        <w:r>
          <w:rPr>
            <w:rStyle w:val="Hyperlink"/>
          </w:rPr>
          <w:t>3.3.21 Cybersecurity</w:t>
        </w:r>
        <w:r>
          <w:tab/>
        </w:r>
        <w:r>
          <w:fldChar w:fldCharType="begin"/>
        </w:r>
        <w:r>
          <w:instrText xml:space="preserve"> PAGEREF _Toc256000045 \h </w:instrText>
        </w:r>
        <w:r>
          <w:fldChar w:fldCharType="separate"/>
        </w:r>
        <w:r>
          <w:t>54</w:t>
        </w:r>
        <w:r>
          <w:fldChar w:fldCharType="end"/>
        </w:r>
      </w:hyperlink>
    </w:p>
    <w:p>
      <w:pPr>
        <w:pStyle w:val="TOC3"/>
        <w:tabs>
          <w:tab w:val="right" w:leader="dot" w:pos="9926"/>
        </w:tabs>
        <w:rPr>
          <w:rFonts w:ascii="Calibri" w:hAnsi="Calibri"/>
          <w:noProof/>
          <w:sz w:val="22"/>
        </w:rPr>
      </w:pPr>
      <w:hyperlink w:anchor="_Toc256000046" w:history="1">
        <w:r>
          <w:rPr>
            <w:rStyle w:val="Hyperlink"/>
          </w:rPr>
          <w:t>3.3.22 Financial Advice from Multiple Professionals</w:t>
        </w:r>
        <w:r>
          <w:tab/>
        </w:r>
        <w:r>
          <w:fldChar w:fldCharType="begin"/>
        </w:r>
        <w:r>
          <w:instrText xml:space="preserve"> PAGEREF _Toc256000046 \h </w:instrText>
        </w:r>
        <w:r>
          <w:fldChar w:fldCharType="separate"/>
        </w:r>
        <w:r>
          <w:t>55</w:t>
        </w:r>
        <w:r>
          <w:fldChar w:fldCharType="end"/>
        </w:r>
      </w:hyperlink>
    </w:p>
    <w:p>
      <w:pPr>
        <w:pStyle w:val="TOC3"/>
        <w:tabs>
          <w:tab w:val="right" w:leader="dot" w:pos="9926"/>
        </w:tabs>
        <w:rPr>
          <w:rFonts w:ascii="Calibri" w:hAnsi="Calibri"/>
          <w:noProof/>
          <w:sz w:val="22"/>
        </w:rPr>
      </w:pPr>
      <w:hyperlink w:anchor="_Toc256000047" w:history="1">
        <w:r>
          <w:rPr>
            <w:rStyle w:val="Hyperlink"/>
          </w:rPr>
          <w:t>3.3.23 FATCA</w:t>
        </w:r>
        <w:r>
          <w:tab/>
        </w:r>
        <w:r>
          <w:fldChar w:fldCharType="begin"/>
        </w:r>
        <w:r>
          <w:instrText xml:space="preserve"> PAGEREF _Toc256000047 \h </w:instrText>
        </w:r>
        <w:r>
          <w:fldChar w:fldCharType="separate"/>
        </w:r>
        <w:r>
          <w:t>56</w:t>
        </w:r>
        <w:r>
          <w:fldChar w:fldCharType="end"/>
        </w:r>
      </w:hyperlink>
    </w:p>
    <w:p>
      <w:pPr>
        <w:pStyle w:val="TOC2"/>
        <w:tabs>
          <w:tab w:val="right" w:leader="dot" w:pos="9926"/>
        </w:tabs>
        <w:rPr>
          <w:rFonts w:ascii="Calibri" w:hAnsi="Calibri"/>
          <w:noProof/>
          <w:sz w:val="22"/>
        </w:rPr>
      </w:pPr>
      <w:hyperlink w:anchor="_Toc256000048" w:history="1">
        <w:r>
          <w:rPr>
            <w:rStyle w:val="Hyperlink"/>
          </w:rPr>
          <w:t>3.4 Form ADV Disclosure</w:t>
        </w:r>
        <w:r>
          <w:tab/>
        </w:r>
        <w:r>
          <w:fldChar w:fldCharType="begin"/>
        </w:r>
        <w:r>
          <w:instrText xml:space="preserve"> PAGEREF _Toc256000048 \h </w:instrText>
        </w:r>
        <w:r>
          <w:fldChar w:fldCharType="separate"/>
        </w:r>
        <w:r>
          <w:t>56</w:t>
        </w:r>
        <w:r>
          <w:fldChar w:fldCharType="end"/>
        </w:r>
      </w:hyperlink>
    </w:p>
    <w:p>
      <w:pPr>
        <w:pStyle w:val="TOC2"/>
        <w:tabs>
          <w:tab w:val="right" w:leader="dot" w:pos="9926"/>
        </w:tabs>
        <w:rPr>
          <w:rFonts w:ascii="Calibri" w:hAnsi="Calibri"/>
          <w:noProof/>
          <w:sz w:val="22"/>
        </w:rPr>
      </w:pPr>
      <w:hyperlink w:anchor="_Toc256000049" w:history="1">
        <w:r>
          <w:rPr>
            <w:rStyle w:val="Hyperlink"/>
          </w:rPr>
          <w:t>3.5 Books and Records</w:t>
        </w:r>
        <w:r>
          <w:tab/>
        </w:r>
        <w:r>
          <w:fldChar w:fldCharType="begin"/>
        </w:r>
        <w:r>
          <w:instrText xml:space="preserve"> PAGEREF _Toc256000049 \h </w:instrText>
        </w:r>
        <w:r>
          <w:fldChar w:fldCharType="separate"/>
        </w:r>
        <w:r>
          <w:t>56</w:t>
        </w:r>
        <w:r>
          <w:fldChar w:fldCharType="end"/>
        </w:r>
      </w:hyperlink>
    </w:p>
    <w:p>
      <w:pPr>
        <w:pStyle w:val="TOC1"/>
        <w:tabs>
          <w:tab w:val="right" w:leader="dot" w:pos="9926"/>
        </w:tabs>
        <w:rPr>
          <w:rFonts w:ascii="Calibri" w:hAnsi="Calibri"/>
          <w:noProof/>
          <w:sz w:val="22"/>
        </w:rPr>
      </w:pPr>
      <w:hyperlink w:anchor="_Toc256000050" w:history="1">
        <w:r>
          <w:rPr>
            <w:rStyle w:val="Hyperlink"/>
          </w:rPr>
          <w:t>4 ADVISORY CONTRACT &amp; FEES</w:t>
        </w:r>
        <w:r>
          <w:tab/>
        </w:r>
        <w:r>
          <w:fldChar w:fldCharType="begin"/>
        </w:r>
        <w:r>
          <w:instrText xml:space="preserve"> PAGEREF _Toc256000050 \h </w:instrText>
        </w:r>
        <w:r>
          <w:fldChar w:fldCharType="separate"/>
        </w:r>
        <w:r>
          <w:t>58</w:t>
        </w:r>
        <w:r>
          <w:fldChar w:fldCharType="end"/>
        </w:r>
      </w:hyperlink>
    </w:p>
    <w:p>
      <w:pPr>
        <w:pStyle w:val="TOC2"/>
        <w:tabs>
          <w:tab w:val="right" w:leader="dot" w:pos="9926"/>
        </w:tabs>
        <w:rPr>
          <w:rFonts w:ascii="Calibri" w:hAnsi="Calibri"/>
          <w:noProof/>
          <w:sz w:val="22"/>
        </w:rPr>
      </w:pPr>
      <w:hyperlink w:anchor="_Toc256000051" w:history="1">
        <w:r>
          <w:rPr>
            <w:rStyle w:val="Hyperlink"/>
          </w:rPr>
          <w:t>Introduction</w:t>
        </w:r>
        <w:r>
          <w:tab/>
        </w:r>
        <w:r>
          <w:fldChar w:fldCharType="begin"/>
        </w:r>
        <w:r>
          <w:instrText xml:space="preserve"> PAGEREF _Toc256000051 \h </w:instrText>
        </w:r>
        <w:r>
          <w:fldChar w:fldCharType="separate"/>
        </w:r>
        <w:r>
          <w:t>58</w:t>
        </w:r>
        <w:r>
          <w:fldChar w:fldCharType="end"/>
        </w:r>
      </w:hyperlink>
    </w:p>
    <w:p>
      <w:pPr>
        <w:pStyle w:val="TOC2"/>
        <w:tabs>
          <w:tab w:val="right" w:leader="dot" w:pos="9926"/>
        </w:tabs>
        <w:rPr>
          <w:rFonts w:ascii="Calibri" w:hAnsi="Calibri"/>
          <w:noProof/>
          <w:sz w:val="22"/>
        </w:rPr>
      </w:pPr>
      <w:hyperlink w:anchor="_Toc256000052" w:history="1">
        <w:r>
          <w:rPr>
            <w:rStyle w:val="Hyperlink"/>
          </w:rPr>
          <w:t>4.1 Compliance Reference Chart</w:t>
        </w:r>
        <w:r>
          <w:tab/>
        </w:r>
        <w:r>
          <w:fldChar w:fldCharType="begin"/>
        </w:r>
        <w:r>
          <w:instrText xml:space="preserve"> PAGEREF _Toc256000052 \h </w:instrText>
        </w:r>
        <w:r>
          <w:fldChar w:fldCharType="separate"/>
        </w:r>
        <w:r>
          <w:t>58</w:t>
        </w:r>
        <w:r>
          <w:fldChar w:fldCharType="end"/>
        </w:r>
      </w:hyperlink>
    </w:p>
    <w:p>
      <w:pPr>
        <w:pStyle w:val="TOC2"/>
        <w:tabs>
          <w:tab w:val="right" w:leader="dot" w:pos="9926"/>
        </w:tabs>
        <w:rPr>
          <w:rFonts w:ascii="Calibri" w:hAnsi="Calibri"/>
          <w:noProof/>
          <w:sz w:val="22"/>
        </w:rPr>
      </w:pPr>
      <w:hyperlink w:anchor="_Toc256000053" w:history="1">
        <w:r>
          <w:rPr>
            <w:rStyle w:val="Hyperlink"/>
          </w:rPr>
          <w:t>4.2 Policy</w:t>
        </w:r>
        <w:r>
          <w:tab/>
        </w:r>
        <w:r>
          <w:fldChar w:fldCharType="begin"/>
        </w:r>
        <w:r>
          <w:instrText xml:space="preserve"> PAGEREF _Toc256000053 \h </w:instrText>
        </w:r>
        <w:r>
          <w:fldChar w:fldCharType="separate"/>
        </w:r>
        <w:r>
          <w:t>58</w:t>
        </w:r>
        <w:r>
          <w:fldChar w:fldCharType="end"/>
        </w:r>
      </w:hyperlink>
    </w:p>
    <w:p>
      <w:pPr>
        <w:pStyle w:val="TOC2"/>
        <w:tabs>
          <w:tab w:val="right" w:leader="dot" w:pos="9926"/>
        </w:tabs>
        <w:rPr>
          <w:rFonts w:ascii="Calibri" w:hAnsi="Calibri"/>
          <w:noProof/>
          <w:sz w:val="22"/>
        </w:rPr>
      </w:pPr>
      <w:hyperlink w:anchor="_Toc256000054" w:history="1">
        <w:r>
          <w:rPr>
            <w:rStyle w:val="Hyperlink"/>
          </w:rPr>
          <w:t>4.3 Procedures</w:t>
        </w:r>
        <w:r>
          <w:tab/>
        </w:r>
        <w:r>
          <w:fldChar w:fldCharType="begin"/>
        </w:r>
        <w:r>
          <w:instrText xml:space="preserve"> PAGEREF _Toc256000054 \h </w:instrText>
        </w:r>
        <w:r>
          <w:fldChar w:fldCharType="separate"/>
        </w:r>
        <w:r>
          <w:t>59</w:t>
        </w:r>
        <w:r>
          <w:fldChar w:fldCharType="end"/>
        </w:r>
      </w:hyperlink>
    </w:p>
    <w:p>
      <w:pPr>
        <w:pStyle w:val="TOC3"/>
        <w:tabs>
          <w:tab w:val="right" w:leader="dot" w:pos="9926"/>
        </w:tabs>
        <w:rPr>
          <w:rFonts w:ascii="Calibri" w:hAnsi="Calibri"/>
          <w:noProof/>
          <w:sz w:val="22"/>
        </w:rPr>
      </w:pPr>
      <w:hyperlink w:anchor="_Toc256000055" w:history="1">
        <w:r>
          <w:rPr>
            <w:rStyle w:val="Hyperlink"/>
          </w:rPr>
          <w:t>4.3.1 Investment Advisory Contract Provisions</w:t>
        </w:r>
        <w:r>
          <w:tab/>
        </w:r>
        <w:r>
          <w:fldChar w:fldCharType="begin"/>
        </w:r>
        <w:r>
          <w:instrText xml:space="preserve"> PAGEREF _Toc256000055 \h </w:instrText>
        </w:r>
        <w:r>
          <w:fldChar w:fldCharType="separate"/>
        </w:r>
        <w:r>
          <w:t>59</w:t>
        </w:r>
        <w:r>
          <w:fldChar w:fldCharType="end"/>
        </w:r>
      </w:hyperlink>
    </w:p>
    <w:p>
      <w:pPr>
        <w:pStyle w:val="TOC3"/>
        <w:tabs>
          <w:tab w:val="right" w:leader="dot" w:pos="9926"/>
        </w:tabs>
        <w:rPr>
          <w:rFonts w:ascii="Calibri" w:hAnsi="Calibri"/>
          <w:noProof/>
          <w:sz w:val="22"/>
        </w:rPr>
      </w:pPr>
      <w:hyperlink w:anchor="_Toc256000056" w:history="1">
        <w:r>
          <w:rPr>
            <w:rStyle w:val="Hyperlink"/>
          </w:rPr>
          <w:t>4.3.2 Advisory Fees</w:t>
        </w:r>
        <w:r>
          <w:tab/>
        </w:r>
        <w:r>
          <w:fldChar w:fldCharType="begin"/>
        </w:r>
        <w:r>
          <w:instrText xml:space="preserve"> PAGEREF _Toc256000056 \h </w:instrText>
        </w:r>
        <w:r>
          <w:fldChar w:fldCharType="separate"/>
        </w:r>
        <w:r>
          <w:t>62</w:t>
        </w:r>
        <w:r>
          <w:fldChar w:fldCharType="end"/>
        </w:r>
      </w:hyperlink>
    </w:p>
    <w:p>
      <w:pPr>
        <w:pStyle w:val="TOC3"/>
        <w:tabs>
          <w:tab w:val="right" w:leader="dot" w:pos="9926"/>
        </w:tabs>
        <w:rPr>
          <w:rFonts w:ascii="Calibri" w:hAnsi="Calibri"/>
          <w:noProof/>
          <w:sz w:val="22"/>
        </w:rPr>
      </w:pPr>
      <w:hyperlink w:anchor="_Toc256000057" w:history="1">
        <w:r>
          <w:rPr>
            <w:rStyle w:val="Hyperlink"/>
          </w:rPr>
          <w:t>4.3.3 Investment Guidelines</w:t>
        </w:r>
        <w:r>
          <w:tab/>
        </w:r>
        <w:r>
          <w:fldChar w:fldCharType="begin"/>
        </w:r>
        <w:r>
          <w:instrText xml:space="preserve"> PAGEREF _Toc256000057 \h </w:instrText>
        </w:r>
        <w:r>
          <w:fldChar w:fldCharType="separate"/>
        </w:r>
        <w:r>
          <w:t>65</w:t>
        </w:r>
        <w:r>
          <w:fldChar w:fldCharType="end"/>
        </w:r>
      </w:hyperlink>
    </w:p>
    <w:p>
      <w:pPr>
        <w:pStyle w:val="TOC3"/>
        <w:tabs>
          <w:tab w:val="right" w:leader="dot" w:pos="9926"/>
        </w:tabs>
        <w:rPr>
          <w:rFonts w:ascii="Calibri" w:hAnsi="Calibri"/>
          <w:noProof/>
          <w:sz w:val="22"/>
        </w:rPr>
      </w:pPr>
      <w:hyperlink w:anchor="_Toc256000058" w:history="1">
        <w:r>
          <w:rPr>
            <w:rStyle w:val="Hyperlink"/>
          </w:rPr>
          <w:t>4.3.4 Updating the Investment Advisory Contract</w:t>
        </w:r>
        <w:r>
          <w:tab/>
        </w:r>
        <w:r>
          <w:fldChar w:fldCharType="begin"/>
        </w:r>
        <w:r>
          <w:instrText xml:space="preserve"> PAGEREF _Toc256000058 \h </w:instrText>
        </w:r>
        <w:r>
          <w:fldChar w:fldCharType="separate"/>
        </w:r>
        <w:r>
          <w:t>65</w:t>
        </w:r>
        <w:r>
          <w:fldChar w:fldCharType="end"/>
        </w:r>
      </w:hyperlink>
    </w:p>
    <w:p>
      <w:pPr>
        <w:pStyle w:val="TOC3"/>
        <w:tabs>
          <w:tab w:val="right" w:leader="dot" w:pos="9926"/>
        </w:tabs>
        <w:rPr>
          <w:rFonts w:ascii="Calibri" w:hAnsi="Calibri"/>
          <w:noProof/>
          <w:sz w:val="22"/>
        </w:rPr>
      </w:pPr>
      <w:hyperlink w:anchor="_Toc256000059" w:history="1">
        <w:r>
          <w:rPr>
            <w:rStyle w:val="Hyperlink"/>
          </w:rPr>
          <w:t>4.3.5 Expenses</w:t>
        </w:r>
        <w:r>
          <w:tab/>
        </w:r>
        <w:r>
          <w:fldChar w:fldCharType="begin"/>
        </w:r>
        <w:r>
          <w:instrText xml:space="preserve"> PAGEREF _Toc256000059 \h </w:instrText>
        </w:r>
        <w:r>
          <w:fldChar w:fldCharType="separate"/>
        </w:r>
        <w:r>
          <w:t>65</w:t>
        </w:r>
        <w:r>
          <w:fldChar w:fldCharType="end"/>
        </w:r>
      </w:hyperlink>
    </w:p>
    <w:p>
      <w:pPr>
        <w:pStyle w:val="TOC3"/>
        <w:tabs>
          <w:tab w:val="right" w:leader="dot" w:pos="9926"/>
        </w:tabs>
        <w:rPr>
          <w:rFonts w:ascii="Calibri" w:hAnsi="Calibri"/>
          <w:noProof/>
          <w:sz w:val="22"/>
        </w:rPr>
      </w:pPr>
      <w:hyperlink w:anchor="_Toc256000060" w:history="1">
        <w:r>
          <w:rPr>
            <w:rStyle w:val="Hyperlink"/>
          </w:rPr>
          <w:t>4.3.6 Assignments</w:t>
        </w:r>
        <w:r>
          <w:tab/>
        </w:r>
        <w:r>
          <w:fldChar w:fldCharType="begin"/>
        </w:r>
        <w:r>
          <w:instrText xml:space="preserve"> PAGEREF _Toc256000060 \h </w:instrText>
        </w:r>
        <w:r>
          <w:fldChar w:fldCharType="separate"/>
        </w:r>
        <w:r>
          <w:t>66</w:t>
        </w:r>
        <w:r>
          <w:fldChar w:fldCharType="end"/>
        </w:r>
      </w:hyperlink>
    </w:p>
    <w:p>
      <w:pPr>
        <w:pStyle w:val="TOC3"/>
        <w:tabs>
          <w:tab w:val="right" w:leader="dot" w:pos="9926"/>
        </w:tabs>
        <w:rPr>
          <w:rFonts w:ascii="Calibri" w:hAnsi="Calibri"/>
          <w:noProof/>
          <w:sz w:val="22"/>
        </w:rPr>
      </w:pPr>
      <w:hyperlink w:anchor="_Toc256000061" w:history="1">
        <w:r>
          <w:rPr>
            <w:rStyle w:val="Hyperlink"/>
          </w:rPr>
          <w:t>4.3.7 Contract Provisions</w:t>
        </w:r>
        <w:r>
          <w:tab/>
        </w:r>
        <w:r>
          <w:fldChar w:fldCharType="begin"/>
        </w:r>
        <w:r>
          <w:instrText xml:space="preserve"> PAGEREF _Toc256000061 \h </w:instrText>
        </w:r>
        <w:r>
          <w:fldChar w:fldCharType="separate"/>
        </w:r>
        <w:r>
          <w:t>66</w:t>
        </w:r>
        <w:r>
          <w:fldChar w:fldCharType="end"/>
        </w:r>
      </w:hyperlink>
    </w:p>
    <w:p>
      <w:pPr>
        <w:pStyle w:val="TOC3"/>
        <w:tabs>
          <w:tab w:val="right" w:leader="dot" w:pos="9926"/>
        </w:tabs>
        <w:rPr>
          <w:rFonts w:ascii="Calibri" w:hAnsi="Calibri"/>
          <w:noProof/>
          <w:sz w:val="22"/>
        </w:rPr>
      </w:pPr>
      <w:hyperlink w:anchor="_Toc256000062" w:history="1">
        <w:r>
          <w:rPr>
            <w:rStyle w:val="Hyperlink"/>
          </w:rPr>
          <w:t>4.3.8 Advisory Fee Billing</w:t>
        </w:r>
        <w:r>
          <w:tab/>
        </w:r>
        <w:r>
          <w:fldChar w:fldCharType="begin"/>
        </w:r>
        <w:r>
          <w:instrText xml:space="preserve"> PAGEREF _Toc256000062 \h </w:instrText>
        </w:r>
        <w:r>
          <w:fldChar w:fldCharType="separate"/>
        </w:r>
        <w:r>
          <w:t>67</w:t>
        </w:r>
        <w:r>
          <w:fldChar w:fldCharType="end"/>
        </w:r>
      </w:hyperlink>
    </w:p>
    <w:p>
      <w:pPr>
        <w:pStyle w:val="TOC2"/>
        <w:tabs>
          <w:tab w:val="right" w:leader="dot" w:pos="9926"/>
        </w:tabs>
        <w:rPr>
          <w:rFonts w:ascii="Calibri" w:hAnsi="Calibri"/>
          <w:noProof/>
          <w:sz w:val="22"/>
        </w:rPr>
      </w:pPr>
      <w:hyperlink w:anchor="_Toc256000063" w:history="1">
        <w:r>
          <w:rPr>
            <w:rStyle w:val="Hyperlink"/>
          </w:rPr>
          <w:t>4.4 Form ADV Disclosure</w:t>
        </w:r>
        <w:r>
          <w:tab/>
        </w:r>
        <w:r>
          <w:fldChar w:fldCharType="begin"/>
        </w:r>
        <w:r>
          <w:instrText xml:space="preserve"> PAGEREF _Toc256000063 \h </w:instrText>
        </w:r>
        <w:r>
          <w:fldChar w:fldCharType="separate"/>
        </w:r>
        <w:r>
          <w:t>67</w:t>
        </w:r>
        <w:r>
          <w:fldChar w:fldCharType="end"/>
        </w:r>
      </w:hyperlink>
    </w:p>
    <w:p>
      <w:pPr>
        <w:pStyle w:val="TOC2"/>
        <w:tabs>
          <w:tab w:val="right" w:leader="dot" w:pos="9926"/>
        </w:tabs>
        <w:rPr>
          <w:rFonts w:ascii="Calibri" w:hAnsi="Calibri"/>
          <w:noProof/>
          <w:sz w:val="22"/>
        </w:rPr>
      </w:pPr>
      <w:hyperlink w:anchor="_Toc256000064" w:history="1">
        <w:r>
          <w:rPr>
            <w:rStyle w:val="Hyperlink"/>
          </w:rPr>
          <w:t>4.5 Books and Records</w:t>
        </w:r>
        <w:r>
          <w:tab/>
        </w:r>
        <w:r>
          <w:fldChar w:fldCharType="begin"/>
        </w:r>
        <w:r>
          <w:instrText xml:space="preserve"> PAGEREF _Toc256000064 \h </w:instrText>
        </w:r>
        <w:r>
          <w:fldChar w:fldCharType="separate"/>
        </w:r>
        <w:r>
          <w:t>68</w:t>
        </w:r>
        <w:r>
          <w:fldChar w:fldCharType="end"/>
        </w:r>
      </w:hyperlink>
    </w:p>
    <w:p>
      <w:pPr>
        <w:pStyle w:val="TOC1"/>
        <w:tabs>
          <w:tab w:val="right" w:leader="dot" w:pos="9926"/>
        </w:tabs>
        <w:rPr>
          <w:rFonts w:ascii="Calibri" w:hAnsi="Calibri"/>
          <w:noProof/>
          <w:sz w:val="22"/>
        </w:rPr>
      </w:pPr>
      <w:hyperlink w:anchor="_Toc256000065" w:history="1">
        <w:r>
          <w:rPr>
            <w:rStyle w:val="Hyperlink"/>
          </w:rPr>
          <w:t>5 INVESTMENT MANAGEMENT</w:t>
        </w:r>
        <w:r>
          <w:tab/>
        </w:r>
        <w:r>
          <w:fldChar w:fldCharType="begin"/>
        </w:r>
        <w:r>
          <w:instrText xml:space="preserve"> PAGEREF _Toc256000065 \h </w:instrText>
        </w:r>
        <w:r>
          <w:fldChar w:fldCharType="separate"/>
        </w:r>
        <w:r>
          <w:t>69</w:t>
        </w:r>
        <w:r>
          <w:fldChar w:fldCharType="end"/>
        </w:r>
      </w:hyperlink>
    </w:p>
    <w:p>
      <w:pPr>
        <w:pStyle w:val="TOC2"/>
        <w:tabs>
          <w:tab w:val="right" w:leader="dot" w:pos="9926"/>
        </w:tabs>
        <w:rPr>
          <w:rFonts w:ascii="Calibri" w:hAnsi="Calibri"/>
          <w:noProof/>
          <w:sz w:val="22"/>
        </w:rPr>
      </w:pPr>
      <w:hyperlink w:anchor="_Toc256000066" w:history="1">
        <w:r>
          <w:rPr>
            <w:rStyle w:val="Hyperlink"/>
          </w:rPr>
          <w:t>Introduction</w:t>
        </w:r>
        <w:r>
          <w:tab/>
        </w:r>
        <w:r>
          <w:fldChar w:fldCharType="begin"/>
        </w:r>
        <w:r>
          <w:instrText xml:space="preserve"> PAGEREF _Toc256000066 \h </w:instrText>
        </w:r>
        <w:r>
          <w:fldChar w:fldCharType="separate"/>
        </w:r>
        <w:r>
          <w:t>69</w:t>
        </w:r>
        <w:r>
          <w:fldChar w:fldCharType="end"/>
        </w:r>
      </w:hyperlink>
    </w:p>
    <w:p>
      <w:pPr>
        <w:pStyle w:val="TOC2"/>
        <w:tabs>
          <w:tab w:val="right" w:leader="dot" w:pos="9926"/>
        </w:tabs>
        <w:rPr>
          <w:rFonts w:ascii="Calibri" w:hAnsi="Calibri"/>
          <w:noProof/>
          <w:sz w:val="22"/>
        </w:rPr>
      </w:pPr>
      <w:hyperlink w:anchor="_Toc256000067" w:history="1">
        <w:r>
          <w:rPr>
            <w:rStyle w:val="Hyperlink"/>
          </w:rPr>
          <w:t>5.1 Compliance Reference Chart</w:t>
        </w:r>
        <w:r>
          <w:tab/>
        </w:r>
        <w:r>
          <w:fldChar w:fldCharType="begin"/>
        </w:r>
        <w:r>
          <w:instrText xml:space="preserve"> PAGEREF _Toc256000067 \h </w:instrText>
        </w:r>
        <w:r>
          <w:fldChar w:fldCharType="separate"/>
        </w:r>
        <w:r>
          <w:t>69</w:t>
        </w:r>
        <w:r>
          <w:fldChar w:fldCharType="end"/>
        </w:r>
      </w:hyperlink>
    </w:p>
    <w:p>
      <w:pPr>
        <w:pStyle w:val="TOC2"/>
        <w:tabs>
          <w:tab w:val="right" w:leader="dot" w:pos="9926"/>
        </w:tabs>
        <w:rPr>
          <w:rFonts w:ascii="Calibri" w:hAnsi="Calibri"/>
          <w:noProof/>
          <w:sz w:val="22"/>
        </w:rPr>
      </w:pPr>
      <w:hyperlink w:anchor="_Toc256000068" w:history="1">
        <w:r>
          <w:rPr>
            <w:rStyle w:val="Hyperlink"/>
          </w:rPr>
          <w:t>5.2 Policy</w:t>
        </w:r>
        <w:r>
          <w:tab/>
        </w:r>
        <w:r>
          <w:fldChar w:fldCharType="begin"/>
        </w:r>
        <w:r>
          <w:instrText xml:space="preserve"> PAGEREF _Toc256000068 \h </w:instrText>
        </w:r>
        <w:r>
          <w:fldChar w:fldCharType="separate"/>
        </w:r>
        <w:r>
          <w:t>70</w:t>
        </w:r>
        <w:r>
          <w:fldChar w:fldCharType="end"/>
        </w:r>
      </w:hyperlink>
    </w:p>
    <w:p>
      <w:pPr>
        <w:pStyle w:val="TOC2"/>
        <w:tabs>
          <w:tab w:val="right" w:leader="dot" w:pos="9926"/>
        </w:tabs>
        <w:rPr>
          <w:rFonts w:ascii="Calibri" w:hAnsi="Calibri"/>
          <w:noProof/>
          <w:sz w:val="22"/>
        </w:rPr>
      </w:pPr>
      <w:hyperlink w:anchor="_Toc256000069" w:history="1">
        <w:r>
          <w:rPr>
            <w:rStyle w:val="Hyperlink"/>
          </w:rPr>
          <w:t>5.3 Procedures</w:t>
        </w:r>
        <w:r>
          <w:tab/>
        </w:r>
        <w:r>
          <w:fldChar w:fldCharType="begin"/>
        </w:r>
        <w:r>
          <w:instrText xml:space="preserve"> PAGEREF _Toc256000069 \h </w:instrText>
        </w:r>
        <w:r>
          <w:fldChar w:fldCharType="separate"/>
        </w:r>
        <w:r>
          <w:t>70</w:t>
        </w:r>
        <w:r>
          <w:fldChar w:fldCharType="end"/>
        </w:r>
      </w:hyperlink>
    </w:p>
    <w:p>
      <w:pPr>
        <w:pStyle w:val="TOC3"/>
        <w:tabs>
          <w:tab w:val="right" w:leader="dot" w:pos="9926"/>
        </w:tabs>
        <w:rPr>
          <w:rFonts w:ascii="Calibri" w:hAnsi="Calibri"/>
          <w:noProof/>
          <w:sz w:val="22"/>
        </w:rPr>
      </w:pPr>
      <w:hyperlink w:anchor="_Toc256000070" w:history="1">
        <w:r>
          <w:rPr>
            <w:rStyle w:val="Hyperlink"/>
          </w:rPr>
          <w:t>5.3.1 Fiduciary Duties Owed to Clients</w:t>
        </w:r>
        <w:r>
          <w:tab/>
        </w:r>
        <w:r>
          <w:fldChar w:fldCharType="begin"/>
        </w:r>
        <w:r>
          <w:instrText xml:space="preserve"> PAGEREF _Toc256000070 \h </w:instrText>
        </w:r>
        <w:r>
          <w:fldChar w:fldCharType="separate"/>
        </w:r>
        <w:r>
          <w:t>70</w:t>
        </w:r>
        <w:r>
          <w:fldChar w:fldCharType="end"/>
        </w:r>
      </w:hyperlink>
    </w:p>
    <w:p>
      <w:pPr>
        <w:pStyle w:val="TOC3"/>
        <w:tabs>
          <w:tab w:val="right" w:leader="dot" w:pos="9926"/>
        </w:tabs>
        <w:rPr>
          <w:rFonts w:ascii="Calibri" w:hAnsi="Calibri"/>
          <w:noProof/>
          <w:sz w:val="22"/>
        </w:rPr>
      </w:pPr>
      <w:hyperlink w:anchor="_Toc256000071" w:history="1">
        <w:r>
          <w:rPr>
            <w:rStyle w:val="Hyperlink"/>
          </w:rPr>
          <w:t>5.3.2 Fraud</w:t>
        </w:r>
        <w:r>
          <w:tab/>
        </w:r>
        <w:r>
          <w:fldChar w:fldCharType="begin"/>
        </w:r>
        <w:r>
          <w:instrText xml:space="preserve"> PAGEREF _Toc256000071 \h </w:instrText>
        </w:r>
        <w:r>
          <w:fldChar w:fldCharType="separate"/>
        </w:r>
        <w:r>
          <w:t>75</w:t>
        </w:r>
        <w:r>
          <w:fldChar w:fldCharType="end"/>
        </w:r>
      </w:hyperlink>
    </w:p>
    <w:p>
      <w:pPr>
        <w:pStyle w:val="TOC3"/>
        <w:tabs>
          <w:tab w:val="right" w:leader="dot" w:pos="9926"/>
        </w:tabs>
        <w:rPr>
          <w:rFonts w:ascii="Calibri" w:hAnsi="Calibri"/>
          <w:noProof/>
          <w:sz w:val="22"/>
        </w:rPr>
      </w:pPr>
      <w:hyperlink w:anchor="_Toc256000072" w:history="1">
        <w:r>
          <w:rPr>
            <w:rStyle w:val="Hyperlink"/>
          </w:rPr>
          <w:t>5.3.3 Suitability</w:t>
        </w:r>
        <w:r>
          <w:tab/>
        </w:r>
        <w:r>
          <w:fldChar w:fldCharType="begin"/>
        </w:r>
        <w:r>
          <w:instrText xml:space="preserve"> PAGEREF _Toc256000072 \h </w:instrText>
        </w:r>
        <w:r>
          <w:fldChar w:fldCharType="separate"/>
        </w:r>
        <w:r>
          <w:t>76</w:t>
        </w:r>
        <w:r>
          <w:fldChar w:fldCharType="end"/>
        </w:r>
      </w:hyperlink>
    </w:p>
    <w:p>
      <w:pPr>
        <w:pStyle w:val="TOC3"/>
        <w:tabs>
          <w:tab w:val="right" w:leader="dot" w:pos="9926"/>
        </w:tabs>
        <w:rPr>
          <w:rFonts w:ascii="Calibri" w:hAnsi="Calibri"/>
          <w:noProof/>
          <w:sz w:val="22"/>
        </w:rPr>
      </w:pPr>
      <w:hyperlink w:anchor="_Toc256000073" w:history="1">
        <w:r>
          <w:rPr>
            <w:rStyle w:val="Hyperlink"/>
          </w:rPr>
          <w:t>5.3.4 Short Sales</w:t>
        </w:r>
        <w:r>
          <w:tab/>
        </w:r>
        <w:r>
          <w:fldChar w:fldCharType="begin"/>
        </w:r>
        <w:r>
          <w:instrText xml:space="preserve"> PAGEREF _Toc256000073 \h </w:instrText>
        </w:r>
        <w:r>
          <w:fldChar w:fldCharType="separate"/>
        </w:r>
        <w:r>
          <w:t>82</w:t>
        </w:r>
        <w:r>
          <w:fldChar w:fldCharType="end"/>
        </w:r>
      </w:hyperlink>
    </w:p>
    <w:p>
      <w:pPr>
        <w:pStyle w:val="TOC3"/>
        <w:tabs>
          <w:tab w:val="right" w:leader="dot" w:pos="9926"/>
        </w:tabs>
        <w:rPr>
          <w:rFonts w:ascii="Calibri" w:hAnsi="Calibri"/>
          <w:noProof/>
          <w:sz w:val="22"/>
        </w:rPr>
      </w:pPr>
      <w:hyperlink w:anchor="_Toc256000074" w:history="1">
        <w:r>
          <w:rPr>
            <w:rStyle w:val="Hyperlink"/>
          </w:rPr>
          <w:t>5.3.5 SMA Programs</w:t>
        </w:r>
        <w:r>
          <w:tab/>
        </w:r>
        <w:r>
          <w:fldChar w:fldCharType="begin"/>
        </w:r>
        <w:r>
          <w:instrText xml:space="preserve"> PAGEREF _Toc256000074 \h </w:instrText>
        </w:r>
        <w:r>
          <w:fldChar w:fldCharType="separate"/>
        </w:r>
        <w:r>
          <w:t>84</w:t>
        </w:r>
        <w:r>
          <w:fldChar w:fldCharType="end"/>
        </w:r>
      </w:hyperlink>
    </w:p>
    <w:p>
      <w:pPr>
        <w:pStyle w:val="TOC3"/>
        <w:tabs>
          <w:tab w:val="right" w:leader="dot" w:pos="9926"/>
        </w:tabs>
        <w:rPr>
          <w:rFonts w:ascii="Calibri" w:hAnsi="Calibri"/>
          <w:noProof/>
          <w:sz w:val="22"/>
        </w:rPr>
      </w:pPr>
      <w:hyperlink w:anchor="_Toc256000075" w:history="1">
        <w:r>
          <w:rPr>
            <w:rStyle w:val="Hyperlink"/>
          </w:rPr>
          <w:t>5.3.6 Cash Management</w:t>
        </w:r>
        <w:r>
          <w:tab/>
        </w:r>
        <w:r>
          <w:fldChar w:fldCharType="begin"/>
        </w:r>
        <w:r>
          <w:instrText xml:space="preserve"> PAGEREF _Toc256000075 \h </w:instrText>
        </w:r>
        <w:r>
          <w:fldChar w:fldCharType="separate"/>
        </w:r>
        <w:r>
          <w:t>86</w:t>
        </w:r>
        <w:r>
          <w:fldChar w:fldCharType="end"/>
        </w:r>
      </w:hyperlink>
    </w:p>
    <w:p>
      <w:pPr>
        <w:pStyle w:val="TOC3"/>
        <w:tabs>
          <w:tab w:val="right" w:leader="dot" w:pos="9926"/>
        </w:tabs>
        <w:rPr>
          <w:rFonts w:ascii="Calibri" w:hAnsi="Calibri"/>
          <w:noProof/>
          <w:sz w:val="22"/>
        </w:rPr>
      </w:pPr>
      <w:hyperlink w:anchor="_Toc256000076" w:history="1">
        <w:r>
          <w:rPr>
            <w:rStyle w:val="Hyperlink"/>
          </w:rPr>
          <w:t>5.3.7 Conflicts of Interest</w:t>
        </w:r>
        <w:r>
          <w:tab/>
        </w:r>
        <w:r>
          <w:fldChar w:fldCharType="begin"/>
        </w:r>
        <w:r>
          <w:instrText xml:space="preserve"> PAGEREF _Toc256000076 \h </w:instrText>
        </w:r>
        <w:r>
          <w:fldChar w:fldCharType="separate"/>
        </w:r>
        <w:r>
          <w:t>87</w:t>
        </w:r>
        <w:r>
          <w:fldChar w:fldCharType="end"/>
        </w:r>
      </w:hyperlink>
    </w:p>
    <w:p>
      <w:pPr>
        <w:pStyle w:val="TOC3"/>
        <w:tabs>
          <w:tab w:val="right" w:leader="dot" w:pos="9926"/>
        </w:tabs>
        <w:rPr>
          <w:rFonts w:ascii="Calibri" w:hAnsi="Calibri"/>
          <w:noProof/>
          <w:sz w:val="22"/>
        </w:rPr>
      </w:pPr>
      <w:hyperlink w:anchor="_Toc256000077" w:history="1">
        <w:r>
          <w:rPr>
            <w:rStyle w:val="Hyperlink"/>
          </w:rPr>
          <w:t>5.3.8 ERISA</w:t>
        </w:r>
        <w:r>
          <w:tab/>
        </w:r>
        <w:r>
          <w:fldChar w:fldCharType="begin"/>
        </w:r>
        <w:r>
          <w:instrText xml:space="preserve"> PAGEREF _Toc256000077 \h </w:instrText>
        </w:r>
        <w:r>
          <w:fldChar w:fldCharType="separate"/>
        </w:r>
        <w:r>
          <w:t>94</w:t>
        </w:r>
        <w:r>
          <w:fldChar w:fldCharType="end"/>
        </w:r>
      </w:hyperlink>
    </w:p>
    <w:p>
      <w:pPr>
        <w:pStyle w:val="TOC3"/>
        <w:tabs>
          <w:tab w:val="right" w:leader="dot" w:pos="9926"/>
        </w:tabs>
        <w:rPr>
          <w:rFonts w:ascii="Calibri" w:hAnsi="Calibri"/>
          <w:noProof/>
          <w:sz w:val="22"/>
        </w:rPr>
      </w:pPr>
      <w:hyperlink w:anchor="_Toc256000078" w:history="1">
        <w:r>
          <w:rPr>
            <w:rStyle w:val="Hyperlink"/>
          </w:rPr>
          <w:t>5.3.9 Valuation Procedures</w:t>
        </w:r>
        <w:r>
          <w:tab/>
        </w:r>
        <w:r>
          <w:fldChar w:fldCharType="begin"/>
        </w:r>
        <w:r>
          <w:instrText xml:space="preserve"> PAGEREF _Toc256000078 \h </w:instrText>
        </w:r>
        <w:r>
          <w:fldChar w:fldCharType="separate"/>
        </w:r>
        <w:r>
          <w:t>106</w:t>
        </w:r>
        <w:r>
          <w:fldChar w:fldCharType="end"/>
        </w:r>
      </w:hyperlink>
    </w:p>
    <w:p>
      <w:pPr>
        <w:pStyle w:val="TOC3"/>
        <w:tabs>
          <w:tab w:val="right" w:leader="dot" w:pos="9926"/>
        </w:tabs>
        <w:rPr>
          <w:rFonts w:ascii="Calibri" w:hAnsi="Calibri"/>
          <w:noProof/>
          <w:sz w:val="22"/>
        </w:rPr>
      </w:pPr>
      <w:hyperlink w:anchor="_Toc256000079" w:history="1">
        <w:r>
          <w:rPr>
            <w:rStyle w:val="Hyperlink"/>
          </w:rPr>
          <w:t>5.3.10 Rule 144 Securities</w:t>
        </w:r>
        <w:r>
          <w:tab/>
        </w:r>
        <w:r>
          <w:fldChar w:fldCharType="begin"/>
        </w:r>
        <w:r>
          <w:instrText xml:space="preserve"> PAGEREF _Toc256000079 \h </w:instrText>
        </w:r>
        <w:r>
          <w:fldChar w:fldCharType="separate"/>
        </w:r>
        <w:r>
          <w:t>112</w:t>
        </w:r>
        <w:r>
          <w:fldChar w:fldCharType="end"/>
        </w:r>
      </w:hyperlink>
    </w:p>
    <w:p>
      <w:pPr>
        <w:pStyle w:val="TOC3"/>
        <w:tabs>
          <w:tab w:val="right" w:leader="dot" w:pos="9926"/>
        </w:tabs>
        <w:rPr>
          <w:rFonts w:ascii="Calibri" w:hAnsi="Calibri"/>
          <w:noProof/>
          <w:sz w:val="22"/>
        </w:rPr>
      </w:pPr>
      <w:hyperlink w:anchor="_Toc256000080" w:history="1">
        <w:r>
          <w:rPr>
            <w:rStyle w:val="Hyperlink"/>
          </w:rPr>
          <w:t>5.3.11 Proxy Voting Policies and Procedures</w:t>
        </w:r>
        <w:r>
          <w:tab/>
        </w:r>
        <w:r>
          <w:fldChar w:fldCharType="begin"/>
        </w:r>
        <w:r>
          <w:instrText xml:space="preserve"> PAGEREF _Toc256000080 \h </w:instrText>
        </w:r>
        <w:r>
          <w:fldChar w:fldCharType="separate"/>
        </w:r>
        <w:r>
          <w:t>113</w:t>
        </w:r>
        <w:r>
          <w:fldChar w:fldCharType="end"/>
        </w:r>
      </w:hyperlink>
    </w:p>
    <w:p>
      <w:pPr>
        <w:pStyle w:val="TOC3"/>
        <w:tabs>
          <w:tab w:val="right" w:leader="dot" w:pos="9926"/>
        </w:tabs>
        <w:rPr>
          <w:rFonts w:ascii="Calibri" w:hAnsi="Calibri"/>
          <w:noProof/>
          <w:sz w:val="22"/>
        </w:rPr>
      </w:pPr>
      <w:hyperlink w:anchor="_Toc256000081" w:history="1">
        <w:r>
          <w:rPr>
            <w:rStyle w:val="Hyperlink"/>
          </w:rPr>
          <w:t>5.3.12 Proxy Voting Involving Loaned Securities</w:t>
        </w:r>
        <w:r>
          <w:tab/>
        </w:r>
        <w:r>
          <w:fldChar w:fldCharType="begin"/>
        </w:r>
        <w:r>
          <w:instrText xml:space="preserve"> PAGEREF _Toc256000081 \h </w:instrText>
        </w:r>
        <w:r>
          <w:fldChar w:fldCharType="separate"/>
        </w:r>
        <w:r>
          <w:t>121</w:t>
        </w:r>
        <w:r>
          <w:fldChar w:fldCharType="end"/>
        </w:r>
      </w:hyperlink>
    </w:p>
    <w:p>
      <w:pPr>
        <w:pStyle w:val="TOC3"/>
        <w:tabs>
          <w:tab w:val="right" w:leader="dot" w:pos="9926"/>
        </w:tabs>
        <w:rPr>
          <w:rFonts w:ascii="Calibri" w:hAnsi="Calibri"/>
          <w:noProof/>
          <w:sz w:val="22"/>
        </w:rPr>
      </w:pPr>
      <w:hyperlink w:anchor="_Toc256000082" w:history="1">
        <w:r>
          <w:rPr>
            <w:rStyle w:val="Hyperlink"/>
          </w:rPr>
          <w:t>5.3.13 Inadvertent Investment Company</w:t>
        </w:r>
        <w:r>
          <w:tab/>
        </w:r>
        <w:r>
          <w:fldChar w:fldCharType="begin"/>
        </w:r>
        <w:r>
          <w:instrText xml:space="preserve"> PAGEREF _Toc256000082 \h </w:instrText>
        </w:r>
        <w:r>
          <w:fldChar w:fldCharType="separate"/>
        </w:r>
        <w:r>
          <w:t>121</w:t>
        </w:r>
        <w:r>
          <w:fldChar w:fldCharType="end"/>
        </w:r>
      </w:hyperlink>
    </w:p>
    <w:p>
      <w:pPr>
        <w:pStyle w:val="TOC3"/>
        <w:tabs>
          <w:tab w:val="right" w:leader="dot" w:pos="9926"/>
        </w:tabs>
        <w:rPr>
          <w:rFonts w:ascii="Calibri" w:hAnsi="Calibri"/>
          <w:noProof/>
          <w:sz w:val="22"/>
        </w:rPr>
      </w:pPr>
      <w:hyperlink w:anchor="_Toc256000083" w:history="1">
        <w:r>
          <w:rPr>
            <w:rStyle w:val="Hyperlink"/>
          </w:rPr>
          <w:t>5.3.14 Sub-Advisers</w:t>
        </w:r>
        <w:r>
          <w:tab/>
        </w:r>
        <w:r>
          <w:fldChar w:fldCharType="begin"/>
        </w:r>
        <w:r>
          <w:instrText xml:space="preserve"> PAGEREF _Toc256000083 \h </w:instrText>
        </w:r>
        <w:r>
          <w:fldChar w:fldCharType="separate"/>
        </w:r>
        <w:r>
          <w:t>122</w:t>
        </w:r>
        <w:r>
          <w:fldChar w:fldCharType="end"/>
        </w:r>
      </w:hyperlink>
    </w:p>
    <w:p>
      <w:pPr>
        <w:pStyle w:val="TOC3"/>
        <w:tabs>
          <w:tab w:val="right" w:leader="dot" w:pos="9926"/>
        </w:tabs>
        <w:rPr>
          <w:rFonts w:ascii="Calibri" w:hAnsi="Calibri"/>
          <w:noProof/>
          <w:sz w:val="22"/>
        </w:rPr>
      </w:pPr>
      <w:hyperlink w:anchor="_Toc256000084" w:history="1">
        <w:r>
          <w:rPr>
            <w:rStyle w:val="Hyperlink"/>
          </w:rPr>
          <w:t>5.3.15 Hedge Funds</w:t>
        </w:r>
        <w:r>
          <w:tab/>
        </w:r>
        <w:r>
          <w:fldChar w:fldCharType="begin"/>
        </w:r>
        <w:r>
          <w:instrText xml:space="preserve"> PAGEREF _Toc256000084 \h </w:instrText>
        </w:r>
        <w:r>
          <w:fldChar w:fldCharType="separate"/>
        </w:r>
        <w:r>
          <w:t>123</w:t>
        </w:r>
        <w:r>
          <w:fldChar w:fldCharType="end"/>
        </w:r>
      </w:hyperlink>
    </w:p>
    <w:p>
      <w:pPr>
        <w:pStyle w:val="TOC3"/>
        <w:tabs>
          <w:tab w:val="right" w:leader="dot" w:pos="9926"/>
        </w:tabs>
        <w:rPr>
          <w:rFonts w:ascii="Calibri" w:hAnsi="Calibri"/>
          <w:noProof/>
          <w:sz w:val="22"/>
        </w:rPr>
      </w:pPr>
      <w:hyperlink w:anchor="_Toc256000085" w:history="1">
        <w:r>
          <w:rPr>
            <w:rStyle w:val="Hyperlink"/>
          </w:rPr>
          <w:t>5.3.16 Due Diligence</w:t>
        </w:r>
        <w:r>
          <w:tab/>
        </w:r>
        <w:r>
          <w:fldChar w:fldCharType="begin"/>
        </w:r>
        <w:r>
          <w:instrText xml:space="preserve"> PAGEREF _Toc256000085 \h </w:instrText>
        </w:r>
        <w:r>
          <w:fldChar w:fldCharType="separate"/>
        </w:r>
        <w:r>
          <w:t>125</w:t>
        </w:r>
        <w:r>
          <w:fldChar w:fldCharType="end"/>
        </w:r>
      </w:hyperlink>
    </w:p>
    <w:p>
      <w:pPr>
        <w:pStyle w:val="TOC3"/>
        <w:tabs>
          <w:tab w:val="right" w:leader="dot" w:pos="9926"/>
        </w:tabs>
        <w:rPr>
          <w:rFonts w:ascii="Calibri" w:hAnsi="Calibri"/>
          <w:noProof/>
          <w:sz w:val="22"/>
        </w:rPr>
      </w:pPr>
      <w:hyperlink w:anchor="_Toc256000086" w:history="1">
        <w:r>
          <w:rPr>
            <w:rStyle w:val="Hyperlink"/>
          </w:rPr>
          <w:t>5.3.17 Counterparty Transactions</w:t>
        </w:r>
        <w:r>
          <w:tab/>
        </w:r>
        <w:r>
          <w:fldChar w:fldCharType="begin"/>
        </w:r>
        <w:r>
          <w:instrText xml:space="preserve"> PAGEREF _Toc256000086 \h </w:instrText>
        </w:r>
        <w:r>
          <w:fldChar w:fldCharType="separate"/>
        </w:r>
        <w:r>
          <w:t>129</w:t>
        </w:r>
        <w:r>
          <w:fldChar w:fldCharType="end"/>
        </w:r>
      </w:hyperlink>
    </w:p>
    <w:p>
      <w:pPr>
        <w:pStyle w:val="TOC3"/>
        <w:tabs>
          <w:tab w:val="right" w:leader="dot" w:pos="9926"/>
        </w:tabs>
        <w:rPr>
          <w:rFonts w:ascii="Calibri" w:hAnsi="Calibri"/>
          <w:noProof/>
          <w:sz w:val="22"/>
        </w:rPr>
      </w:pPr>
      <w:hyperlink w:anchor="_Toc256000087" w:history="1">
        <w:r>
          <w:rPr>
            <w:rStyle w:val="Hyperlink"/>
          </w:rPr>
          <w:t>5.3.18 Co-Investments</w:t>
        </w:r>
        <w:r>
          <w:tab/>
        </w:r>
        <w:r>
          <w:fldChar w:fldCharType="begin"/>
        </w:r>
        <w:r>
          <w:instrText xml:space="preserve"> PAGEREF _Toc256000087 \h </w:instrText>
        </w:r>
        <w:r>
          <w:fldChar w:fldCharType="separate"/>
        </w:r>
        <w:r>
          <w:t>130</w:t>
        </w:r>
        <w:r>
          <w:fldChar w:fldCharType="end"/>
        </w:r>
      </w:hyperlink>
    </w:p>
    <w:p>
      <w:pPr>
        <w:pStyle w:val="TOC3"/>
        <w:tabs>
          <w:tab w:val="right" w:leader="dot" w:pos="9926"/>
        </w:tabs>
        <w:rPr>
          <w:rFonts w:ascii="Calibri" w:hAnsi="Calibri"/>
          <w:noProof/>
          <w:sz w:val="22"/>
        </w:rPr>
      </w:pPr>
      <w:hyperlink w:anchor="_Toc256000088" w:history="1">
        <w:r>
          <w:rPr>
            <w:rStyle w:val="Hyperlink"/>
          </w:rPr>
          <w:t>5.3.19 Crypto</w:t>
        </w:r>
        <w:r>
          <w:tab/>
        </w:r>
        <w:r>
          <w:fldChar w:fldCharType="begin"/>
        </w:r>
        <w:r>
          <w:instrText xml:space="preserve"> PAGEREF _Toc256000088 \h </w:instrText>
        </w:r>
        <w:r>
          <w:fldChar w:fldCharType="separate"/>
        </w:r>
        <w:r>
          <w:t>130</w:t>
        </w:r>
        <w:r>
          <w:fldChar w:fldCharType="end"/>
        </w:r>
      </w:hyperlink>
    </w:p>
    <w:p>
      <w:pPr>
        <w:pStyle w:val="TOC3"/>
        <w:tabs>
          <w:tab w:val="right" w:leader="dot" w:pos="9926"/>
        </w:tabs>
        <w:rPr>
          <w:rFonts w:ascii="Calibri" w:hAnsi="Calibri"/>
          <w:noProof/>
          <w:sz w:val="22"/>
        </w:rPr>
      </w:pPr>
      <w:hyperlink w:anchor="_Toc256000089" w:history="1">
        <w:r>
          <w:rPr>
            <w:rStyle w:val="Hyperlink"/>
          </w:rPr>
          <w:t>5.3.20 ESG Investing</w:t>
        </w:r>
        <w:r>
          <w:tab/>
        </w:r>
        <w:r>
          <w:fldChar w:fldCharType="begin"/>
        </w:r>
        <w:r>
          <w:instrText xml:space="preserve"> PAGEREF _Toc256000089 \h </w:instrText>
        </w:r>
        <w:r>
          <w:fldChar w:fldCharType="separate"/>
        </w:r>
        <w:r>
          <w:t>132</w:t>
        </w:r>
        <w:r>
          <w:fldChar w:fldCharType="end"/>
        </w:r>
      </w:hyperlink>
    </w:p>
    <w:p>
      <w:pPr>
        <w:pStyle w:val="TOC3"/>
        <w:tabs>
          <w:tab w:val="right" w:leader="dot" w:pos="9926"/>
        </w:tabs>
        <w:rPr>
          <w:rFonts w:ascii="Calibri" w:hAnsi="Calibri"/>
          <w:noProof/>
          <w:sz w:val="22"/>
        </w:rPr>
      </w:pPr>
      <w:hyperlink w:anchor="_Toc256000090" w:history="1">
        <w:r>
          <w:rPr>
            <w:rStyle w:val="Hyperlink"/>
          </w:rPr>
          <w:t>5.3.21 Quantitative Investing and Use of Models</w:t>
        </w:r>
        <w:r>
          <w:tab/>
        </w:r>
        <w:r>
          <w:fldChar w:fldCharType="begin"/>
        </w:r>
        <w:r>
          <w:instrText xml:space="preserve"> PAGEREF _Toc256000090 \h </w:instrText>
        </w:r>
        <w:r>
          <w:fldChar w:fldCharType="separate"/>
        </w:r>
        <w:r>
          <w:t>133</w:t>
        </w:r>
        <w:r>
          <w:fldChar w:fldCharType="end"/>
        </w:r>
      </w:hyperlink>
    </w:p>
    <w:p>
      <w:pPr>
        <w:pStyle w:val="TOC3"/>
        <w:tabs>
          <w:tab w:val="right" w:leader="dot" w:pos="9926"/>
        </w:tabs>
        <w:rPr>
          <w:rFonts w:ascii="Calibri" w:hAnsi="Calibri"/>
          <w:noProof/>
          <w:sz w:val="22"/>
        </w:rPr>
      </w:pPr>
      <w:hyperlink w:anchor="_Toc256000091" w:history="1">
        <w:r>
          <w:rPr>
            <w:rStyle w:val="Hyperlink"/>
          </w:rPr>
          <w:t>5.3.22 Artificial Intelligence</w:t>
        </w:r>
        <w:r>
          <w:tab/>
        </w:r>
        <w:r>
          <w:fldChar w:fldCharType="begin"/>
        </w:r>
        <w:r>
          <w:instrText xml:space="preserve"> PAGEREF _Toc256000091 \h </w:instrText>
        </w:r>
        <w:r>
          <w:fldChar w:fldCharType="separate"/>
        </w:r>
        <w:r>
          <w:t>134</w:t>
        </w:r>
        <w:r>
          <w:fldChar w:fldCharType="end"/>
        </w:r>
      </w:hyperlink>
    </w:p>
    <w:p>
      <w:pPr>
        <w:pStyle w:val="TOC2"/>
        <w:tabs>
          <w:tab w:val="right" w:leader="dot" w:pos="9926"/>
        </w:tabs>
        <w:rPr>
          <w:rFonts w:ascii="Calibri" w:hAnsi="Calibri"/>
          <w:noProof/>
          <w:sz w:val="22"/>
        </w:rPr>
      </w:pPr>
      <w:hyperlink w:anchor="_Toc256000092" w:history="1">
        <w:r>
          <w:rPr>
            <w:rStyle w:val="Hyperlink"/>
          </w:rPr>
          <w:t>5.4 Form ADV Disclosure and Other Disclosure</w:t>
        </w:r>
        <w:r>
          <w:tab/>
        </w:r>
        <w:r>
          <w:fldChar w:fldCharType="begin"/>
        </w:r>
        <w:r>
          <w:instrText xml:space="preserve"> PAGEREF _Toc256000092 \h </w:instrText>
        </w:r>
        <w:r>
          <w:fldChar w:fldCharType="separate"/>
        </w:r>
        <w:r>
          <w:t>136</w:t>
        </w:r>
        <w:r>
          <w:fldChar w:fldCharType="end"/>
        </w:r>
      </w:hyperlink>
    </w:p>
    <w:p>
      <w:pPr>
        <w:pStyle w:val="TOC2"/>
        <w:tabs>
          <w:tab w:val="right" w:leader="dot" w:pos="9926"/>
        </w:tabs>
        <w:rPr>
          <w:rFonts w:ascii="Calibri" w:hAnsi="Calibri"/>
          <w:noProof/>
          <w:sz w:val="22"/>
        </w:rPr>
      </w:pPr>
      <w:hyperlink w:anchor="_Toc256000093" w:history="1">
        <w:r>
          <w:rPr>
            <w:rStyle w:val="Hyperlink"/>
          </w:rPr>
          <w:t>5.5 Books and Records</w:t>
        </w:r>
        <w:r>
          <w:tab/>
        </w:r>
        <w:r>
          <w:fldChar w:fldCharType="begin"/>
        </w:r>
        <w:r>
          <w:instrText xml:space="preserve"> PAGEREF _Toc256000093 \h </w:instrText>
        </w:r>
        <w:r>
          <w:fldChar w:fldCharType="separate"/>
        </w:r>
        <w:r>
          <w:t>136</w:t>
        </w:r>
        <w:r>
          <w:fldChar w:fldCharType="end"/>
        </w:r>
      </w:hyperlink>
    </w:p>
    <w:p>
      <w:pPr>
        <w:pStyle w:val="TOC1"/>
        <w:tabs>
          <w:tab w:val="right" w:leader="dot" w:pos="9926"/>
        </w:tabs>
        <w:rPr>
          <w:rFonts w:ascii="Calibri" w:hAnsi="Calibri"/>
          <w:noProof/>
          <w:sz w:val="22"/>
        </w:rPr>
      </w:pPr>
      <w:hyperlink w:anchor="_Toc256000094" w:history="1">
        <w:r>
          <w:rPr>
            <w:rStyle w:val="Hyperlink"/>
          </w:rPr>
          <w:t>6 TRADES</w:t>
        </w:r>
        <w:r>
          <w:tab/>
        </w:r>
        <w:r>
          <w:fldChar w:fldCharType="begin"/>
        </w:r>
        <w:r>
          <w:instrText xml:space="preserve"> PAGEREF _Toc256000094 \h </w:instrText>
        </w:r>
        <w:r>
          <w:fldChar w:fldCharType="separate"/>
        </w:r>
        <w:r>
          <w:t>138</w:t>
        </w:r>
        <w:r>
          <w:fldChar w:fldCharType="end"/>
        </w:r>
      </w:hyperlink>
    </w:p>
    <w:p>
      <w:pPr>
        <w:pStyle w:val="TOC2"/>
        <w:tabs>
          <w:tab w:val="right" w:leader="dot" w:pos="9926"/>
        </w:tabs>
        <w:rPr>
          <w:rFonts w:ascii="Calibri" w:hAnsi="Calibri"/>
          <w:noProof/>
          <w:sz w:val="22"/>
        </w:rPr>
      </w:pPr>
      <w:hyperlink w:anchor="_Toc256000095" w:history="1">
        <w:r>
          <w:rPr>
            <w:rStyle w:val="Hyperlink"/>
          </w:rPr>
          <w:t>Introduction</w:t>
        </w:r>
        <w:r>
          <w:tab/>
        </w:r>
        <w:r>
          <w:fldChar w:fldCharType="begin"/>
        </w:r>
        <w:r>
          <w:instrText xml:space="preserve"> PAGEREF _Toc256000095 \h </w:instrText>
        </w:r>
        <w:r>
          <w:fldChar w:fldCharType="separate"/>
        </w:r>
        <w:r>
          <w:t>138</w:t>
        </w:r>
        <w:r>
          <w:fldChar w:fldCharType="end"/>
        </w:r>
      </w:hyperlink>
    </w:p>
    <w:p>
      <w:pPr>
        <w:pStyle w:val="TOC2"/>
        <w:tabs>
          <w:tab w:val="right" w:leader="dot" w:pos="9926"/>
        </w:tabs>
        <w:rPr>
          <w:rFonts w:ascii="Calibri" w:hAnsi="Calibri"/>
          <w:noProof/>
          <w:sz w:val="22"/>
        </w:rPr>
      </w:pPr>
      <w:hyperlink w:anchor="_Toc256000096" w:history="1">
        <w:r>
          <w:rPr>
            <w:rStyle w:val="Hyperlink"/>
          </w:rPr>
          <w:t>6.1 Compliance Reference Chart</w:t>
        </w:r>
        <w:r>
          <w:tab/>
        </w:r>
        <w:r>
          <w:fldChar w:fldCharType="begin"/>
        </w:r>
        <w:r>
          <w:instrText xml:space="preserve"> PAGEREF _Toc256000096 \h </w:instrText>
        </w:r>
        <w:r>
          <w:fldChar w:fldCharType="separate"/>
        </w:r>
        <w:r>
          <w:t>138</w:t>
        </w:r>
        <w:r>
          <w:fldChar w:fldCharType="end"/>
        </w:r>
      </w:hyperlink>
    </w:p>
    <w:p>
      <w:pPr>
        <w:pStyle w:val="TOC2"/>
        <w:tabs>
          <w:tab w:val="right" w:leader="dot" w:pos="9926"/>
        </w:tabs>
        <w:rPr>
          <w:rFonts w:ascii="Calibri" w:hAnsi="Calibri"/>
          <w:noProof/>
          <w:sz w:val="22"/>
        </w:rPr>
      </w:pPr>
      <w:hyperlink w:anchor="_Toc256000097" w:history="1">
        <w:r>
          <w:rPr>
            <w:rStyle w:val="Hyperlink"/>
          </w:rPr>
          <w:t>6.2 Policy</w:t>
        </w:r>
        <w:r>
          <w:tab/>
        </w:r>
        <w:r>
          <w:fldChar w:fldCharType="begin"/>
        </w:r>
        <w:r>
          <w:instrText xml:space="preserve"> PAGEREF _Toc256000097 \h </w:instrText>
        </w:r>
        <w:r>
          <w:fldChar w:fldCharType="separate"/>
        </w:r>
        <w:r>
          <w:t>139</w:t>
        </w:r>
        <w:r>
          <w:fldChar w:fldCharType="end"/>
        </w:r>
      </w:hyperlink>
    </w:p>
    <w:p>
      <w:pPr>
        <w:pStyle w:val="TOC2"/>
        <w:tabs>
          <w:tab w:val="right" w:leader="dot" w:pos="9926"/>
        </w:tabs>
        <w:rPr>
          <w:rFonts w:ascii="Calibri" w:hAnsi="Calibri"/>
          <w:noProof/>
          <w:sz w:val="22"/>
        </w:rPr>
      </w:pPr>
      <w:hyperlink w:anchor="_Toc256000098" w:history="1">
        <w:r>
          <w:rPr>
            <w:rStyle w:val="Hyperlink"/>
          </w:rPr>
          <w:t>6.3 Procedures</w:t>
        </w:r>
        <w:r>
          <w:tab/>
        </w:r>
        <w:r>
          <w:fldChar w:fldCharType="begin"/>
        </w:r>
        <w:r>
          <w:instrText xml:space="preserve"> PAGEREF _Toc256000098 \h </w:instrText>
        </w:r>
        <w:r>
          <w:fldChar w:fldCharType="separate"/>
        </w:r>
        <w:r>
          <w:t>139</w:t>
        </w:r>
        <w:r>
          <w:fldChar w:fldCharType="end"/>
        </w:r>
      </w:hyperlink>
    </w:p>
    <w:p>
      <w:pPr>
        <w:pStyle w:val="TOC3"/>
        <w:tabs>
          <w:tab w:val="right" w:leader="dot" w:pos="9926"/>
        </w:tabs>
        <w:rPr>
          <w:rFonts w:ascii="Calibri" w:hAnsi="Calibri"/>
          <w:noProof/>
          <w:sz w:val="22"/>
        </w:rPr>
      </w:pPr>
      <w:hyperlink w:anchor="_Toc256000099" w:history="1">
        <w:r>
          <w:rPr>
            <w:rStyle w:val="Hyperlink"/>
          </w:rPr>
          <w:t>6.3.1 Securities Orders</w:t>
        </w:r>
        <w:r>
          <w:tab/>
        </w:r>
        <w:r>
          <w:fldChar w:fldCharType="begin"/>
        </w:r>
        <w:r>
          <w:instrText xml:space="preserve"> PAGEREF _Toc256000099 \h </w:instrText>
        </w:r>
        <w:r>
          <w:fldChar w:fldCharType="separate"/>
        </w:r>
        <w:r>
          <w:t>139</w:t>
        </w:r>
        <w:r>
          <w:fldChar w:fldCharType="end"/>
        </w:r>
      </w:hyperlink>
    </w:p>
    <w:p>
      <w:pPr>
        <w:pStyle w:val="TOC3"/>
        <w:tabs>
          <w:tab w:val="right" w:leader="dot" w:pos="9926"/>
        </w:tabs>
        <w:rPr>
          <w:rFonts w:ascii="Calibri" w:hAnsi="Calibri"/>
          <w:noProof/>
          <w:sz w:val="22"/>
        </w:rPr>
      </w:pPr>
      <w:hyperlink w:anchor="_Toc256000100" w:history="1">
        <w:r>
          <w:rPr>
            <w:rStyle w:val="Hyperlink"/>
          </w:rPr>
          <w:t>6.3.2 Trade Confirmations</w:t>
        </w:r>
        <w:r>
          <w:tab/>
        </w:r>
        <w:r>
          <w:fldChar w:fldCharType="begin"/>
        </w:r>
        <w:r>
          <w:instrText xml:space="preserve"> PAGEREF _Toc256000100 \h </w:instrText>
        </w:r>
        <w:r>
          <w:fldChar w:fldCharType="separate"/>
        </w:r>
        <w:r>
          <w:t>142</w:t>
        </w:r>
        <w:r>
          <w:fldChar w:fldCharType="end"/>
        </w:r>
      </w:hyperlink>
    </w:p>
    <w:p>
      <w:pPr>
        <w:pStyle w:val="TOC3"/>
        <w:tabs>
          <w:tab w:val="right" w:leader="dot" w:pos="9926"/>
        </w:tabs>
        <w:rPr>
          <w:rFonts w:ascii="Calibri" w:hAnsi="Calibri"/>
          <w:noProof/>
          <w:sz w:val="22"/>
        </w:rPr>
      </w:pPr>
      <w:hyperlink w:anchor="_Toc256000101" w:history="1">
        <w:r>
          <w:rPr>
            <w:rStyle w:val="Hyperlink"/>
          </w:rPr>
          <w:t>6.3.3 Trade Review and Reconciliation</w:t>
        </w:r>
        <w:r>
          <w:tab/>
        </w:r>
        <w:r>
          <w:fldChar w:fldCharType="begin"/>
        </w:r>
        <w:r>
          <w:instrText xml:space="preserve"> PAGEREF _Toc256000101 \h </w:instrText>
        </w:r>
        <w:r>
          <w:fldChar w:fldCharType="separate"/>
        </w:r>
        <w:r>
          <w:t>143</w:t>
        </w:r>
        <w:r>
          <w:fldChar w:fldCharType="end"/>
        </w:r>
      </w:hyperlink>
    </w:p>
    <w:p>
      <w:pPr>
        <w:pStyle w:val="TOC3"/>
        <w:tabs>
          <w:tab w:val="right" w:leader="dot" w:pos="9926"/>
        </w:tabs>
        <w:rPr>
          <w:rFonts w:ascii="Calibri" w:hAnsi="Calibri"/>
          <w:noProof/>
          <w:sz w:val="22"/>
        </w:rPr>
      </w:pPr>
      <w:hyperlink w:anchor="_Toc256000102" w:history="1">
        <w:r>
          <w:rPr>
            <w:rStyle w:val="Hyperlink"/>
          </w:rPr>
          <w:t>6.3.4 Trade Settlement</w:t>
        </w:r>
        <w:r>
          <w:tab/>
        </w:r>
        <w:r>
          <w:fldChar w:fldCharType="begin"/>
        </w:r>
        <w:r>
          <w:instrText xml:space="preserve"> PAGEREF _Toc256000102 \h </w:instrText>
        </w:r>
        <w:r>
          <w:fldChar w:fldCharType="separate"/>
        </w:r>
        <w:r>
          <w:t>144</w:t>
        </w:r>
        <w:r>
          <w:fldChar w:fldCharType="end"/>
        </w:r>
      </w:hyperlink>
    </w:p>
    <w:p>
      <w:pPr>
        <w:pStyle w:val="TOC3"/>
        <w:tabs>
          <w:tab w:val="right" w:leader="dot" w:pos="9926"/>
        </w:tabs>
        <w:rPr>
          <w:rFonts w:ascii="Calibri" w:hAnsi="Calibri"/>
          <w:noProof/>
          <w:sz w:val="22"/>
        </w:rPr>
      </w:pPr>
      <w:hyperlink w:anchor="_Toc256000103" w:history="1">
        <w:r>
          <w:rPr>
            <w:rStyle w:val="Hyperlink"/>
          </w:rPr>
          <w:t>6.3.5 Agency Trades</w:t>
        </w:r>
        <w:r>
          <w:tab/>
        </w:r>
        <w:r>
          <w:fldChar w:fldCharType="begin"/>
        </w:r>
        <w:r>
          <w:instrText xml:space="preserve"> PAGEREF _Toc256000103 \h </w:instrText>
        </w:r>
        <w:r>
          <w:fldChar w:fldCharType="separate"/>
        </w:r>
        <w:r>
          <w:t>145</w:t>
        </w:r>
        <w:r>
          <w:fldChar w:fldCharType="end"/>
        </w:r>
      </w:hyperlink>
    </w:p>
    <w:p>
      <w:pPr>
        <w:pStyle w:val="TOC3"/>
        <w:tabs>
          <w:tab w:val="right" w:leader="dot" w:pos="9926"/>
        </w:tabs>
        <w:rPr>
          <w:rFonts w:ascii="Calibri" w:hAnsi="Calibri"/>
          <w:noProof/>
          <w:sz w:val="22"/>
        </w:rPr>
      </w:pPr>
      <w:hyperlink w:anchor="_Toc256000104" w:history="1">
        <w:r>
          <w:rPr>
            <w:rStyle w:val="Hyperlink"/>
          </w:rPr>
          <w:t>6.3.6 Agency Cross Trades</w:t>
        </w:r>
        <w:r>
          <w:tab/>
        </w:r>
        <w:r>
          <w:fldChar w:fldCharType="begin"/>
        </w:r>
        <w:r>
          <w:instrText xml:space="preserve"> PAGEREF _Toc256000104 \h </w:instrText>
        </w:r>
        <w:r>
          <w:fldChar w:fldCharType="separate"/>
        </w:r>
        <w:r>
          <w:t>147</w:t>
        </w:r>
        <w:r>
          <w:fldChar w:fldCharType="end"/>
        </w:r>
      </w:hyperlink>
    </w:p>
    <w:p>
      <w:pPr>
        <w:pStyle w:val="TOC3"/>
        <w:tabs>
          <w:tab w:val="right" w:leader="dot" w:pos="9926"/>
        </w:tabs>
        <w:rPr>
          <w:rFonts w:ascii="Calibri" w:hAnsi="Calibri"/>
          <w:noProof/>
          <w:sz w:val="22"/>
        </w:rPr>
      </w:pPr>
      <w:hyperlink w:anchor="_Toc256000105" w:history="1">
        <w:r>
          <w:rPr>
            <w:rStyle w:val="Hyperlink"/>
          </w:rPr>
          <w:t>6.3.7 Cross Trades</w:t>
        </w:r>
        <w:r>
          <w:tab/>
        </w:r>
        <w:r>
          <w:fldChar w:fldCharType="begin"/>
        </w:r>
        <w:r>
          <w:instrText xml:space="preserve"> PAGEREF _Toc256000105 \h </w:instrText>
        </w:r>
        <w:r>
          <w:fldChar w:fldCharType="separate"/>
        </w:r>
        <w:r>
          <w:t>149</w:t>
        </w:r>
        <w:r>
          <w:fldChar w:fldCharType="end"/>
        </w:r>
      </w:hyperlink>
    </w:p>
    <w:p>
      <w:pPr>
        <w:pStyle w:val="TOC3"/>
        <w:tabs>
          <w:tab w:val="right" w:leader="dot" w:pos="9926"/>
        </w:tabs>
        <w:rPr>
          <w:rFonts w:ascii="Calibri" w:hAnsi="Calibri"/>
          <w:noProof/>
          <w:sz w:val="22"/>
        </w:rPr>
      </w:pPr>
      <w:hyperlink w:anchor="_Toc256000106" w:history="1">
        <w:r>
          <w:rPr>
            <w:rStyle w:val="Hyperlink"/>
          </w:rPr>
          <w:t>6.3.8 Principal Trades</w:t>
        </w:r>
        <w:r>
          <w:tab/>
        </w:r>
        <w:r>
          <w:fldChar w:fldCharType="begin"/>
        </w:r>
        <w:r>
          <w:instrText xml:space="preserve"> PAGEREF _Toc256000106 \h </w:instrText>
        </w:r>
        <w:r>
          <w:fldChar w:fldCharType="separate"/>
        </w:r>
        <w:r>
          <w:t>150</w:t>
        </w:r>
        <w:r>
          <w:fldChar w:fldCharType="end"/>
        </w:r>
      </w:hyperlink>
    </w:p>
    <w:p>
      <w:pPr>
        <w:pStyle w:val="TOC3"/>
        <w:tabs>
          <w:tab w:val="right" w:leader="dot" w:pos="9926"/>
        </w:tabs>
        <w:rPr>
          <w:rFonts w:ascii="Calibri" w:hAnsi="Calibri"/>
          <w:noProof/>
          <w:sz w:val="22"/>
        </w:rPr>
      </w:pPr>
      <w:hyperlink w:anchor="_Toc256000107" w:history="1">
        <w:r>
          <w:rPr>
            <w:rStyle w:val="Hyperlink"/>
          </w:rPr>
          <w:t>6.3.9 Aggregation of Securities Trades</w:t>
        </w:r>
        <w:r>
          <w:tab/>
        </w:r>
        <w:r>
          <w:fldChar w:fldCharType="begin"/>
        </w:r>
        <w:r>
          <w:instrText xml:space="preserve"> PAGEREF _Toc256000107 \h </w:instrText>
        </w:r>
        <w:r>
          <w:fldChar w:fldCharType="separate"/>
        </w:r>
        <w:r>
          <w:t>153</w:t>
        </w:r>
        <w:r>
          <w:fldChar w:fldCharType="end"/>
        </w:r>
      </w:hyperlink>
    </w:p>
    <w:p>
      <w:pPr>
        <w:pStyle w:val="TOC3"/>
        <w:tabs>
          <w:tab w:val="right" w:leader="dot" w:pos="9926"/>
        </w:tabs>
        <w:rPr>
          <w:rFonts w:ascii="Calibri" w:hAnsi="Calibri"/>
          <w:noProof/>
          <w:sz w:val="22"/>
        </w:rPr>
      </w:pPr>
      <w:hyperlink w:anchor="_Toc256000108" w:history="1">
        <w:r>
          <w:rPr>
            <w:rStyle w:val="Hyperlink"/>
          </w:rPr>
          <w:t>6.3.10 Trade Allocation</w:t>
        </w:r>
        <w:r>
          <w:tab/>
        </w:r>
        <w:r>
          <w:fldChar w:fldCharType="begin"/>
        </w:r>
        <w:r>
          <w:instrText xml:space="preserve"> PAGEREF _Toc256000108 \h </w:instrText>
        </w:r>
        <w:r>
          <w:fldChar w:fldCharType="separate"/>
        </w:r>
        <w:r>
          <w:t>154</w:t>
        </w:r>
        <w:r>
          <w:fldChar w:fldCharType="end"/>
        </w:r>
      </w:hyperlink>
    </w:p>
    <w:p>
      <w:pPr>
        <w:pStyle w:val="TOC3"/>
        <w:tabs>
          <w:tab w:val="right" w:leader="dot" w:pos="9926"/>
        </w:tabs>
        <w:rPr>
          <w:rFonts w:ascii="Calibri" w:hAnsi="Calibri"/>
          <w:noProof/>
          <w:sz w:val="22"/>
        </w:rPr>
      </w:pPr>
      <w:hyperlink w:anchor="_Toc256000109" w:history="1">
        <w:r>
          <w:rPr>
            <w:rStyle w:val="Hyperlink"/>
          </w:rPr>
          <w:t>6.3.11 Proprietary Trades</w:t>
        </w:r>
        <w:r>
          <w:tab/>
        </w:r>
        <w:r>
          <w:fldChar w:fldCharType="begin"/>
        </w:r>
        <w:r>
          <w:instrText xml:space="preserve"> PAGEREF _Toc256000109 \h </w:instrText>
        </w:r>
        <w:r>
          <w:fldChar w:fldCharType="separate"/>
        </w:r>
        <w:r>
          <w:t>158</w:t>
        </w:r>
        <w:r>
          <w:fldChar w:fldCharType="end"/>
        </w:r>
      </w:hyperlink>
    </w:p>
    <w:p>
      <w:pPr>
        <w:pStyle w:val="TOC3"/>
        <w:tabs>
          <w:tab w:val="right" w:leader="dot" w:pos="9926"/>
        </w:tabs>
        <w:rPr>
          <w:rFonts w:ascii="Calibri" w:hAnsi="Calibri"/>
          <w:noProof/>
          <w:sz w:val="22"/>
        </w:rPr>
      </w:pPr>
      <w:hyperlink w:anchor="_Toc256000110" w:history="1">
        <w:r>
          <w:rPr>
            <w:rStyle w:val="Hyperlink"/>
          </w:rPr>
          <w:t>6.3.12 Trade Errors</w:t>
        </w:r>
        <w:r>
          <w:tab/>
        </w:r>
        <w:r>
          <w:fldChar w:fldCharType="begin"/>
        </w:r>
        <w:r>
          <w:instrText xml:space="preserve"> PAGEREF _Toc256000110 \h </w:instrText>
        </w:r>
        <w:r>
          <w:fldChar w:fldCharType="separate"/>
        </w:r>
        <w:r>
          <w:t>158</w:t>
        </w:r>
        <w:r>
          <w:fldChar w:fldCharType="end"/>
        </w:r>
      </w:hyperlink>
    </w:p>
    <w:p>
      <w:pPr>
        <w:pStyle w:val="TOC3"/>
        <w:tabs>
          <w:tab w:val="right" w:leader="dot" w:pos="9926"/>
        </w:tabs>
        <w:rPr>
          <w:rFonts w:ascii="Calibri" w:hAnsi="Calibri"/>
          <w:noProof/>
          <w:sz w:val="22"/>
        </w:rPr>
      </w:pPr>
      <w:hyperlink w:anchor="_Toc256000111" w:history="1">
        <w:r>
          <w:rPr>
            <w:rStyle w:val="Hyperlink"/>
          </w:rPr>
          <w:t>6.3.13 Manipulative Trades</w:t>
        </w:r>
        <w:r>
          <w:tab/>
        </w:r>
        <w:r>
          <w:fldChar w:fldCharType="begin"/>
        </w:r>
        <w:r>
          <w:instrText xml:space="preserve"> PAGEREF _Toc256000111 \h </w:instrText>
        </w:r>
        <w:r>
          <w:fldChar w:fldCharType="separate"/>
        </w:r>
        <w:r>
          <w:t>160</w:t>
        </w:r>
        <w:r>
          <w:fldChar w:fldCharType="end"/>
        </w:r>
      </w:hyperlink>
    </w:p>
    <w:p>
      <w:pPr>
        <w:pStyle w:val="TOC2"/>
        <w:tabs>
          <w:tab w:val="right" w:leader="dot" w:pos="9926"/>
        </w:tabs>
        <w:rPr>
          <w:rFonts w:ascii="Calibri" w:hAnsi="Calibri"/>
          <w:noProof/>
          <w:sz w:val="22"/>
        </w:rPr>
      </w:pPr>
      <w:hyperlink w:anchor="_Toc256000112" w:history="1">
        <w:r>
          <w:rPr>
            <w:rStyle w:val="Hyperlink"/>
          </w:rPr>
          <w:t>6.4 Form ADV Disclosure</w:t>
        </w:r>
        <w:r>
          <w:tab/>
        </w:r>
        <w:r>
          <w:fldChar w:fldCharType="begin"/>
        </w:r>
        <w:r>
          <w:instrText xml:space="preserve"> PAGEREF _Toc256000112 \h </w:instrText>
        </w:r>
        <w:r>
          <w:fldChar w:fldCharType="separate"/>
        </w:r>
        <w:r>
          <w:t>160</w:t>
        </w:r>
        <w:r>
          <w:fldChar w:fldCharType="end"/>
        </w:r>
      </w:hyperlink>
    </w:p>
    <w:p>
      <w:pPr>
        <w:pStyle w:val="TOC2"/>
        <w:tabs>
          <w:tab w:val="right" w:leader="dot" w:pos="9926"/>
        </w:tabs>
        <w:rPr>
          <w:rFonts w:ascii="Calibri" w:hAnsi="Calibri"/>
          <w:noProof/>
          <w:sz w:val="22"/>
        </w:rPr>
      </w:pPr>
      <w:hyperlink w:anchor="_Toc256000113" w:history="1">
        <w:r>
          <w:rPr>
            <w:rStyle w:val="Hyperlink"/>
          </w:rPr>
          <w:t>6.5 Books and Records</w:t>
        </w:r>
        <w:r>
          <w:tab/>
        </w:r>
        <w:r>
          <w:fldChar w:fldCharType="begin"/>
        </w:r>
        <w:r>
          <w:instrText xml:space="preserve"> PAGEREF _Toc256000113 \h </w:instrText>
        </w:r>
        <w:r>
          <w:fldChar w:fldCharType="separate"/>
        </w:r>
        <w:r>
          <w:t>160</w:t>
        </w:r>
        <w:r>
          <w:fldChar w:fldCharType="end"/>
        </w:r>
      </w:hyperlink>
    </w:p>
    <w:p>
      <w:pPr>
        <w:pStyle w:val="TOC1"/>
        <w:tabs>
          <w:tab w:val="right" w:leader="dot" w:pos="9926"/>
        </w:tabs>
        <w:rPr>
          <w:rFonts w:ascii="Calibri" w:hAnsi="Calibri"/>
          <w:noProof/>
          <w:sz w:val="22"/>
        </w:rPr>
      </w:pPr>
      <w:hyperlink w:anchor="_Toc256000114" w:history="1">
        <w:r>
          <w:rPr>
            <w:rStyle w:val="Hyperlink"/>
          </w:rPr>
          <w:t>7 BROKERAGE</w:t>
        </w:r>
        <w:r>
          <w:tab/>
        </w:r>
        <w:r>
          <w:fldChar w:fldCharType="begin"/>
        </w:r>
        <w:r>
          <w:instrText xml:space="preserve"> PAGEREF _Toc256000114 \h </w:instrText>
        </w:r>
        <w:r>
          <w:fldChar w:fldCharType="separate"/>
        </w:r>
        <w:r>
          <w:t>163</w:t>
        </w:r>
        <w:r>
          <w:fldChar w:fldCharType="end"/>
        </w:r>
      </w:hyperlink>
    </w:p>
    <w:p>
      <w:pPr>
        <w:pStyle w:val="TOC2"/>
        <w:tabs>
          <w:tab w:val="right" w:leader="dot" w:pos="9926"/>
        </w:tabs>
        <w:rPr>
          <w:rFonts w:ascii="Calibri" w:hAnsi="Calibri"/>
          <w:noProof/>
          <w:sz w:val="22"/>
        </w:rPr>
      </w:pPr>
      <w:hyperlink w:anchor="_Toc256000115" w:history="1">
        <w:r>
          <w:rPr>
            <w:rStyle w:val="Hyperlink"/>
          </w:rPr>
          <w:t>Introduction</w:t>
        </w:r>
        <w:r>
          <w:tab/>
        </w:r>
        <w:r>
          <w:fldChar w:fldCharType="begin"/>
        </w:r>
        <w:r>
          <w:instrText xml:space="preserve"> PAGEREF _Toc256000115 \h </w:instrText>
        </w:r>
        <w:r>
          <w:fldChar w:fldCharType="separate"/>
        </w:r>
        <w:r>
          <w:t>163</w:t>
        </w:r>
        <w:r>
          <w:fldChar w:fldCharType="end"/>
        </w:r>
      </w:hyperlink>
    </w:p>
    <w:p>
      <w:pPr>
        <w:pStyle w:val="TOC2"/>
        <w:tabs>
          <w:tab w:val="right" w:leader="dot" w:pos="9926"/>
        </w:tabs>
        <w:rPr>
          <w:rFonts w:ascii="Calibri" w:hAnsi="Calibri"/>
          <w:noProof/>
          <w:sz w:val="22"/>
        </w:rPr>
      </w:pPr>
      <w:hyperlink w:anchor="_Toc256000116" w:history="1">
        <w:r>
          <w:rPr>
            <w:rStyle w:val="Hyperlink"/>
          </w:rPr>
          <w:t>7.1 Compliance Reference Chart</w:t>
        </w:r>
        <w:r>
          <w:tab/>
        </w:r>
        <w:r>
          <w:fldChar w:fldCharType="begin"/>
        </w:r>
        <w:r>
          <w:instrText xml:space="preserve"> PAGEREF _Toc256000116 \h </w:instrText>
        </w:r>
        <w:r>
          <w:fldChar w:fldCharType="separate"/>
        </w:r>
        <w:r>
          <w:t>163</w:t>
        </w:r>
        <w:r>
          <w:fldChar w:fldCharType="end"/>
        </w:r>
      </w:hyperlink>
    </w:p>
    <w:p>
      <w:pPr>
        <w:pStyle w:val="TOC2"/>
        <w:tabs>
          <w:tab w:val="right" w:leader="dot" w:pos="9926"/>
        </w:tabs>
        <w:rPr>
          <w:rFonts w:ascii="Calibri" w:hAnsi="Calibri"/>
          <w:noProof/>
          <w:sz w:val="22"/>
        </w:rPr>
      </w:pPr>
      <w:hyperlink w:anchor="_Toc256000117" w:history="1">
        <w:r>
          <w:rPr>
            <w:rStyle w:val="Hyperlink"/>
          </w:rPr>
          <w:t>7.2 Policy</w:t>
        </w:r>
        <w:r>
          <w:tab/>
        </w:r>
        <w:r>
          <w:fldChar w:fldCharType="begin"/>
        </w:r>
        <w:r>
          <w:instrText xml:space="preserve"> PAGEREF _Toc256000117 \h </w:instrText>
        </w:r>
        <w:r>
          <w:fldChar w:fldCharType="separate"/>
        </w:r>
        <w:r>
          <w:t>164</w:t>
        </w:r>
        <w:r>
          <w:fldChar w:fldCharType="end"/>
        </w:r>
      </w:hyperlink>
    </w:p>
    <w:p>
      <w:pPr>
        <w:pStyle w:val="TOC2"/>
        <w:tabs>
          <w:tab w:val="right" w:leader="dot" w:pos="9926"/>
        </w:tabs>
        <w:rPr>
          <w:rFonts w:ascii="Calibri" w:hAnsi="Calibri"/>
          <w:noProof/>
          <w:sz w:val="22"/>
        </w:rPr>
      </w:pPr>
      <w:hyperlink w:anchor="_Toc256000118" w:history="1">
        <w:r>
          <w:rPr>
            <w:rStyle w:val="Hyperlink"/>
          </w:rPr>
          <w:t>7.3 Procedures</w:t>
        </w:r>
        <w:r>
          <w:tab/>
        </w:r>
        <w:r>
          <w:fldChar w:fldCharType="begin"/>
        </w:r>
        <w:r>
          <w:instrText xml:space="preserve"> PAGEREF _Toc256000118 \h </w:instrText>
        </w:r>
        <w:r>
          <w:fldChar w:fldCharType="separate"/>
        </w:r>
        <w:r>
          <w:t>164</w:t>
        </w:r>
        <w:r>
          <w:fldChar w:fldCharType="end"/>
        </w:r>
      </w:hyperlink>
    </w:p>
    <w:p>
      <w:pPr>
        <w:pStyle w:val="TOC3"/>
        <w:tabs>
          <w:tab w:val="right" w:leader="dot" w:pos="9926"/>
        </w:tabs>
        <w:rPr>
          <w:rFonts w:ascii="Calibri" w:hAnsi="Calibri"/>
          <w:noProof/>
          <w:sz w:val="22"/>
        </w:rPr>
      </w:pPr>
      <w:hyperlink w:anchor="_Toc256000119" w:history="1">
        <w:r>
          <w:rPr>
            <w:rStyle w:val="Hyperlink"/>
          </w:rPr>
          <w:t>7.3.1 Best Execution Procedures - service provided through clearing firm</w:t>
        </w:r>
        <w:r>
          <w:tab/>
        </w:r>
        <w:r>
          <w:fldChar w:fldCharType="begin"/>
        </w:r>
        <w:r>
          <w:instrText xml:space="preserve"> PAGEREF _Toc256000119 \h </w:instrText>
        </w:r>
        <w:r>
          <w:fldChar w:fldCharType="separate"/>
        </w:r>
        <w:r>
          <w:t>164</w:t>
        </w:r>
        <w:r>
          <w:fldChar w:fldCharType="end"/>
        </w:r>
      </w:hyperlink>
    </w:p>
    <w:p>
      <w:pPr>
        <w:pStyle w:val="TOC3"/>
        <w:tabs>
          <w:tab w:val="right" w:leader="dot" w:pos="9926"/>
        </w:tabs>
        <w:rPr>
          <w:rFonts w:ascii="Calibri" w:hAnsi="Calibri"/>
          <w:noProof/>
          <w:sz w:val="22"/>
        </w:rPr>
      </w:pPr>
      <w:hyperlink w:anchor="_Toc256000120" w:history="1">
        <w:r>
          <w:rPr>
            <w:rStyle w:val="Hyperlink"/>
          </w:rPr>
          <w:t>7.3.2 Parking</w:t>
        </w:r>
        <w:r>
          <w:tab/>
        </w:r>
        <w:r>
          <w:fldChar w:fldCharType="begin"/>
        </w:r>
        <w:r>
          <w:instrText xml:space="preserve"> PAGEREF _Toc256000120 \h </w:instrText>
        </w:r>
        <w:r>
          <w:fldChar w:fldCharType="separate"/>
        </w:r>
        <w:r>
          <w:t>168</w:t>
        </w:r>
        <w:r>
          <w:fldChar w:fldCharType="end"/>
        </w:r>
      </w:hyperlink>
    </w:p>
    <w:p>
      <w:pPr>
        <w:pStyle w:val="TOC2"/>
        <w:tabs>
          <w:tab w:val="right" w:leader="dot" w:pos="9926"/>
        </w:tabs>
        <w:rPr>
          <w:rFonts w:ascii="Calibri" w:hAnsi="Calibri"/>
          <w:noProof/>
          <w:sz w:val="22"/>
        </w:rPr>
      </w:pPr>
      <w:hyperlink w:anchor="_Toc256000121" w:history="1">
        <w:r>
          <w:rPr>
            <w:rStyle w:val="Hyperlink"/>
          </w:rPr>
          <w:t>7.4 Form ADV Disclosure</w:t>
        </w:r>
        <w:r>
          <w:tab/>
        </w:r>
        <w:r>
          <w:fldChar w:fldCharType="begin"/>
        </w:r>
        <w:r>
          <w:instrText xml:space="preserve"> PAGEREF _Toc256000121 \h </w:instrText>
        </w:r>
        <w:r>
          <w:fldChar w:fldCharType="separate"/>
        </w:r>
        <w:r>
          <w:t>168</w:t>
        </w:r>
        <w:r>
          <w:fldChar w:fldCharType="end"/>
        </w:r>
      </w:hyperlink>
    </w:p>
    <w:p>
      <w:pPr>
        <w:pStyle w:val="TOC2"/>
        <w:tabs>
          <w:tab w:val="right" w:leader="dot" w:pos="9926"/>
        </w:tabs>
        <w:rPr>
          <w:rFonts w:ascii="Calibri" w:hAnsi="Calibri"/>
          <w:noProof/>
          <w:sz w:val="22"/>
        </w:rPr>
      </w:pPr>
      <w:hyperlink w:anchor="_Toc256000122" w:history="1">
        <w:r>
          <w:rPr>
            <w:rStyle w:val="Hyperlink"/>
          </w:rPr>
          <w:t>7.5 Books and Records</w:t>
        </w:r>
        <w:r>
          <w:tab/>
        </w:r>
        <w:r>
          <w:fldChar w:fldCharType="begin"/>
        </w:r>
        <w:r>
          <w:instrText xml:space="preserve"> PAGEREF _Toc256000122 \h </w:instrText>
        </w:r>
        <w:r>
          <w:fldChar w:fldCharType="separate"/>
        </w:r>
        <w:r>
          <w:t>168</w:t>
        </w:r>
        <w:r>
          <w:fldChar w:fldCharType="end"/>
        </w:r>
      </w:hyperlink>
    </w:p>
    <w:p>
      <w:pPr>
        <w:pStyle w:val="TOC1"/>
        <w:tabs>
          <w:tab w:val="right" w:leader="dot" w:pos="9926"/>
        </w:tabs>
        <w:rPr>
          <w:rFonts w:ascii="Calibri" w:hAnsi="Calibri"/>
          <w:noProof/>
          <w:sz w:val="22"/>
        </w:rPr>
      </w:pPr>
      <w:hyperlink w:anchor="_Toc256000123" w:history="1">
        <w:r>
          <w:rPr>
            <w:rStyle w:val="Hyperlink"/>
          </w:rPr>
          <w:t>8 CUSTODY</w:t>
        </w:r>
        <w:r>
          <w:tab/>
        </w:r>
        <w:r>
          <w:fldChar w:fldCharType="begin"/>
        </w:r>
        <w:r>
          <w:instrText xml:space="preserve"> PAGEREF _Toc256000123 \h </w:instrText>
        </w:r>
        <w:r>
          <w:fldChar w:fldCharType="separate"/>
        </w:r>
        <w:r>
          <w:t>170</w:t>
        </w:r>
        <w:r>
          <w:fldChar w:fldCharType="end"/>
        </w:r>
      </w:hyperlink>
    </w:p>
    <w:p>
      <w:pPr>
        <w:pStyle w:val="TOC2"/>
        <w:tabs>
          <w:tab w:val="right" w:leader="dot" w:pos="9926"/>
        </w:tabs>
        <w:rPr>
          <w:rFonts w:ascii="Calibri" w:hAnsi="Calibri"/>
          <w:noProof/>
          <w:sz w:val="22"/>
        </w:rPr>
      </w:pPr>
      <w:hyperlink w:anchor="_Toc256000124" w:history="1">
        <w:r>
          <w:rPr>
            <w:rStyle w:val="Hyperlink"/>
          </w:rPr>
          <w:t>Introduction</w:t>
        </w:r>
        <w:r>
          <w:tab/>
        </w:r>
        <w:r>
          <w:fldChar w:fldCharType="begin"/>
        </w:r>
        <w:r>
          <w:instrText xml:space="preserve"> PAGEREF _Toc256000124 \h </w:instrText>
        </w:r>
        <w:r>
          <w:fldChar w:fldCharType="separate"/>
        </w:r>
        <w:r>
          <w:t>170</w:t>
        </w:r>
        <w:r>
          <w:fldChar w:fldCharType="end"/>
        </w:r>
      </w:hyperlink>
    </w:p>
    <w:p>
      <w:pPr>
        <w:pStyle w:val="TOC2"/>
        <w:tabs>
          <w:tab w:val="right" w:leader="dot" w:pos="9926"/>
        </w:tabs>
        <w:rPr>
          <w:rFonts w:ascii="Calibri" w:hAnsi="Calibri"/>
          <w:noProof/>
          <w:sz w:val="22"/>
        </w:rPr>
      </w:pPr>
      <w:hyperlink w:anchor="_Toc256000125" w:history="1">
        <w:r>
          <w:rPr>
            <w:rStyle w:val="Hyperlink"/>
          </w:rPr>
          <w:t>8.1 Compliance Reference Chart</w:t>
        </w:r>
        <w:r>
          <w:tab/>
        </w:r>
        <w:r>
          <w:fldChar w:fldCharType="begin"/>
        </w:r>
        <w:r>
          <w:instrText xml:space="preserve"> PAGEREF _Toc256000125 \h </w:instrText>
        </w:r>
        <w:r>
          <w:fldChar w:fldCharType="separate"/>
        </w:r>
        <w:r>
          <w:t>170</w:t>
        </w:r>
        <w:r>
          <w:fldChar w:fldCharType="end"/>
        </w:r>
      </w:hyperlink>
    </w:p>
    <w:p>
      <w:pPr>
        <w:pStyle w:val="TOC2"/>
        <w:tabs>
          <w:tab w:val="right" w:leader="dot" w:pos="9926"/>
        </w:tabs>
        <w:rPr>
          <w:rFonts w:ascii="Calibri" w:hAnsi="Calibri"/>
          <w:noProof/>
          <w:sz w:val="22"/>
        </w:rPr>
      </w:pPr>
      <w:hyperlink w:anchor="_Toc256000126" w:history="1">
        <w:r>
          <w:rPr>
            <w:rStyle w:val="Hyperlink"/>
          </w:rPr>
          <w:t>8.2 Policy</w:t>
        </w:r>
        <w:r>
          <w:tab/>
        </w:r>
        <w:r>
          <w:fldChar w:fldCharType="begin"/>
        </w:r>
        <w:r>
          <w:instrText xml:space="preserve"> PAGEREF _Toc256000126 \h </w:instrText>
        </w:r>
        <w:r>
          <w:fldChar w:fldCharType="separate"/>
        </w:r>
        <w:r>
          <w:t>170</w:t>
        </w:r>
        <w:r>
          <w:fldChar w:fldCharType="end"/>
        </w:r>
      </w:hyperlink>
    </w:p>
    <w:p>
      <w:pPr>
        <w:pStyle w:val="TOC2"/>
        <w:tabs>
          <w:tab w:val="right" w:leader="dot" w:pos="9926"/>
        </w:tabs>
        <w:rPr>
          <w:rFonts w:ascii="Calibri" w:hAnsi="Calibri"/>
          <w:noProof/>
          <w:sz w:val="22"/>
        </w:rPr>
      </w:pPr>
      <w:hyperlink w:anchor="_Toc256000127" w:history="1">
        <w:r>
          <w:rPr>
            <w:rStyle w:val="Hyperlink"/>
          </w:rPr>
          <w:t>8.3 Procedures</w:t>
        </w:r>
        <w:r>
          <w:tab/>
        </w:r>
        <w:r>
          <w:fldChar w:fldCharType="begin"/>
        </w:r>
        <w:r>
          <w:instrText xml:space="preserve"> PAGEREF _Toc256000127 \h </w:instrText>
        </w:r>
        <w:r>
          <w:fldChar w:fldCharType="separate"/>
        </w:r>
        <w:r>
          <w:t>171</w:t>
        </w:r>
        <w:r>
          <w:fldChar w:fldCharType="end"/>
        </w:r>
      </w:hyperlink>
    </w:p>
    <w:p>
      <w:pPr>
        <w:pStyle w:val="TOC3"/>
        <w:tabs>
          <w:tab w:val="right" w:leader="dot" w:pos="9926"/>
        </w:tabs>
        <w:rPr>
          <w:rFonts w:ascii="Calibri" w:hAnsi="Calibri"/>
          <w:noProof/>
          <w:sz w:val="22"/>
        </w:rPr>
      </w:pPr>
      <w:hyperlink w:anchor="_Toc256000128" w:history="1">
        <w:r>
          <w:rPr>
            <w:rStyle w:val="Hyperlink"/>
          </w:rPr>
          <w:t>8.3.1 Custody Determination</w:t>
        </w:r>
        <w:r>
          <w:tab/>
        </w:r>
        <w:r>
          <w:fldChar w:fldCharType="begin"/>
        </w:r>
        <w:r>
          <w:instrText xml:space="preserve"> PAGEREF _Toc256000128 \h </w:instrText>
        </w:r>
        <w:r>
          <w:fldChar w:fldCharType="separate"/>
        </w:r>
        <w:r>
          <w:t>171</w:t>
        </w:r>
        <w:r>
          <w:fldChar w:fldCharType="end"/>
        </w:r>
      </w:hyperlink>
    </w:p>
    <w:p>
      <w:pPr>
        <w:pStyle w:val="TOC3"/>
        <w:tabs>
          <w:tab w:val="right" w:leader="dot" w:pos="9926"/>
        </w:tabs>
        <w:rPr>
          <w:rFonts w:ascii="Calibri" w:hAnsi="Calibri"/>
          <w:noProof/>
          <w:sz w:val="22"/>
        </w:rPr>
      </w:pPr>
      <w:hyperlink w:anchor="_Toc256000129" w:history="1">
        <w:r>
          <w:rPr>
            <w:rStyle w:val="Hyperlink"/>
          </w:rPr>
          <w:t>8.3.2 Procedures for Types of Custody Arrangements</w:t>
        </w:r>
        <w:r>
          <w:tab/>
        </w:r>
        <w:r>
          <w:fldChar w:fldCharType="begin"/>
        </w:r>
        <w:r>
          <w:instrText xml:space="preserve"> PAGEREF _Toc256000129 \h </w:instrText>
        </w:r>
        <w:r>
          <w:fldChar w:fldCharType="separate"/>
        </w:r>
        <w:r>
          <w:t>173</w:t>
        </w:r>
        <w:r>
          <w:fldChar w:fldCharType="end"/>
        </w:r>
      </w:hyperlink>
    </w:p>
    <w:p>
      <w:pPr>
        <w:pStyle w:val="TOC3"/>
        <w:tabs>
          <w:tab w:val="right" w:leader="dot" w:pos="9926"/>
        </w:tabs>
        <w:rPr>
          <w:rFonts w:ascii="Calibri" w:hAnsi="Calibri"/>
          <w:noProof/>
          <w:sz w:val="22"/>
        </w:rPr>
      </w:pPr>
      <w:hyperlink w:anchor="_Toc256000130" w:history="1">
        <w:r>
          <w:rPr>
            <w:rStyle w:val="Hyperlink"/>
          </w:rPr>
          <w:t>8.3.3 Unaffiliated Custody Arrangements</w:t>
        </w:r>
        <w:r>
          <w:tab/>
        </w:r>
        <w:r>
          <w:fldChar w:fldCharType="begin"/>
        </w:r>
        <w:r>
          <w:instrText xml:space="preserve"> PAGEREF _Toc256000130 \h </w:instrText>
        </w:r>
        <w:r>
          <w:fldChar w:fldCharType="separate"/>
        </w:r>
        <w:r>
          <w:t>173</w:t>
        </w:r>
        <w:r>
          <w:fldChar w:fldCharType="end"/>
        </w:r>
      </w:hyperlink>
    </w:p>
    <w:p>
      <w:pPr>
        <w:pStyle w:val="TOC3"/>
        <w:tabs>
          <w:tab w:val="right" w:leader="dot" w:pos="9926"/>
        </w:tabs>
        <w:rPr>
          <w:rFonts w:ascii="Calibri" w:hAnsi="Calibri"/>
          <w:noProof/>
          <w:sz w:val="22"/>
        </w:rPr>
      </w:pPr>
      <w:hyperlink w:anchor="_Toc256000131" w:history="1">
        <w:r>
          <w:rPr>
            <w:rStyle w:val="Hyperlink"/>
          </w:rPr>
          <w:t>8.3.4 Self-Custody Arrangement</w:t>
        </w:r>
        <w:r>
          <w:tab/>
        </w:r>
        <w:r>
          <w:fldChar w:fldCharType="begin"/>
        </w:r>
        <w:r>
          <w:instrText xml:space="preserve"> PAGEREF _Toc256000131 \h </w:instrText>
        </w:r>
        <w:r>
          <w:fldChar w:fldCharType="separate"/>
        </w:r>
        <w:r>
          <w:t>174</w:t>
        </w:r>
        <w:r>
          <w:fldChar w:fldCharType="end"/>
        </w:r>
      </w:hyperlink>
    </w:p>
    <w:p>
      <w:pPr>
        <w:pStyle w:val="TOC3"/>
        <w:tabs>
          <w:tab w:val="right" w:leader="dot" w:pos="9926"/>
        </w:tabs>
        <w:rPr>
          <w:rFonts w:ascii="Calibri" w:hAnsi="Calibri"/>
          <w:noProof/>
          <w:sz w:val="22"/>
        </w:rPr>
      </w:pPr>
      <w:hyperlink w:anchor="_Toc256000132" w:history="1">
        <w:r>
          <w:rPr>
            <w:rStyle w:val="Hyperlink"/>
          </w:rPr>
          <w:t>8.3.5 Check Requests</w:t>
        </w:r>
        <w:r>
          <w:tab/>
        </w:r>
        <w:r>
          <w:fldChar w:fldCharType="begin"/>
        </w:r>
        <w:r>
          <w:instrText xml:space="preserve"> PAGEREF _Toc256000132 \h </w:instrText>
        </w:r>
        <w:r>
          <w:fldChar w:fldCharType="separate"/>
        </w:r>
        <w:r>
          <w:t>174</w:t>
        </w:r>
        <w:r>
          <w:fldChar w:fldCharType="end"/>
        </w:r>
      </w:hyperlink>
    </w:p>
    <w:p>
      <w:pPr>
        <w:pStyle w:val="TOC3"/>
        <w:tabs>
          <w:tab w:val="right" w:leader="dot" w:pos="9926"/>
        </w:tabs>
        <w:rPr>
          <w:rFonts w:ascii="Calibri" w:hAnsi="Calibri"/>
          <w:noProof/>
          <w:sz w:val="22"/>
        </w:rPr>
      </w:pPr>
      <w:hyperlink w:anchor="_Toc256000133" w:history="1">
        <w:r>
          <w:rPr>
            <w:rStyle w:val="Hyperlink"/>
          </w:rPr>
          <w:t>8.3.6 Wiring Funds</w:t>
        </w:r>
        <w:r>
          <w:tab/>
        </w:r>
        <w:r>
          <w:fldChar w:fldCharType="begin"/>
        </w:r>
        <w:r>
          <w:instrText xml:space="preserve"> PAGEREF _Toc256000133 \h </w:instrText>
        </w:r>
        <w:r>
          <w:fldChar w:fldCharType="separate"/>
        </w:r>
        <w:r>
          <w:t>174</w:t>
        </w:r>
        <w:r>
          <w:fldChar w:fldCharType="end"/>
        </w:r>
      </w:hyperlink>
    </w:p>
    <w:p>
      <w:pPr>
        <w:pStyle w:val="TOC3"/>
        <w:tabs>
          <w:tab w:val="right" w:leader="dot" w:pos="9926"/>
        </w:tabs>
        <w:rPr>
          <w:rFonts w:ascii="Calibri" w:hAnsi="Calibri"/>
          <w:noProof/>
          <w:sz w:val="22"/>
        </w:rPr>
      </w:pPr>
      <w:hyperlink w:anchor="_Toc256000134" w:history="1">
        <w:r>
          <w:rPr>
            <w:rStyle w:val="Hyperlink"/>
          </w:rPr>
          <w:t>8.3.7 Related Person Custody Arrangement</w:t>
        </w:r>
        <w:r>
          <w:tab/>
        </w:r>
        <w:r>
          <w:fldChar w:fldCharType="begin"/>
        </w:r>
        <w:r>
          <w:instrText xml:space="preserve"> PAGEREF _Toc256000134 \h </w:instrText>
        </w:r>
        <w:r>
          <w:fldChar w:fldCharType="separate"/>
        </w:r>
        <w:r>
          <w:t>174</w:t>
        </w:r>
        <w:r>
          <w:fldChar w:fldCharType="end"/>
        </w:r>
      </w:hyperlink>
    </w:p>
    <w:p>
      <w:pPr>
        <w:pStyle w:val="TOC3"/>
        <w:tabs>
          <w:tab w:val="right" w:leader="dot" w:pos="9926"/>
        </w:tabs>
        <w:rPr>
          <w:rFonts w:ascii="Calibri" w:hAnsi="Calibri"/>
          <w:noProof/>
          <w:sz w:val="22"/>
        </w:rPr>
      </w:pPr>
      <w:hyperlink w:anchor="_Toc256000135" w:history="1">
        <w:r>
          <w:rPr>
            <w:rStyle w:val="Hyperlink"/>
          </w:rPr>
          <w:t>8.3.8 Hedge Fund Custody Arrangement</w:t>
        </w:r>
        <w:r>
          <w:tab/>
        </w:r>
        <w:r>
          <w:fldChar w:fldCharType="begin"/>
        </w:r>
        <w:r>
          <w:instrText xml:space="preserve"> PAGEREF _Toc256000135 \h </w:instrText>
        </w:r>
        <w:r>
          <w:fldChar w:fldCharType="separate"/>
        </w:r>
        <w:r>
          <w:t>176</w:t>
        </w:r>
        <w:r>
          <w:fldChar w:fldCharType="end"/>
        </w:r>
      </w:hyperlink>
    </w:p>
    <w:p>
      <w:pPr>
        <w:pStyle w:val="TOC3"/>
        <w:tabs>
          <w:tab w:val="right" w:leader="dot" w:pos="9926"/>
        </w:tabs>
        <w:rPr>
          <w:rFonts w:ascii="Calibri" w:hAnsi="Calibri"/>
          <w:noProof/>
          <w:sz w:val="22"/>
        </w:rPr>
      </w:pPr>
      <w:hyperlink w:anchor="_Toc256000136" w:history="1">
        <w:r>
          <w:rPr>
            <w:rStyle w:val="Hyperlink"/>
          </w:rPr>
          <w:t>8.3.9 Mutual Fund Shares Arrangements</w:t>
        </w:r>
        <w:r>
          <w:tab/>
        </w:r>
        <w:r>
          <w:fldChar w:fldCharType="begin"/>
        </w:r>
        <w:r>
          <w:instrText xml:space="preserve"> PAGEREF _Toc256000136 \h </w:instrText>
        </w:r>
        <w:r>
          <w:fldChar w:fldCharType="separate"/>
        </w:r>
        <w:r>
          <w:t>178</w:t>
        </w:r>
        <w:r>
          <w:fldChar w:fldCharType="end"/>
        </w:r>
      </w:hyperlink>
    </w:p>
    <w:p>
      <w:pPr>
        <w:pStyle w:val="TOC3"/>
        <w:tabs>
          <w:tab w:val="right" w:leader="dot" w:pos="9926"/>
        </w:tabs>
        <w:rPr>
          <w:rFonts w:ascii="Calibri" w:hAnsi="Calibri"/>
          <w:noProof/>
          <w:sz w:val="22"/>
        </w:rPr>
      </w:pPr>
      <w:hyperlink w:anchor="_Toc256000137" w:history="1">
        <w:r>
          <w:rPr>
            <w:rStyle w:val="Hyperlink"/>
          </w:rPr>
          <w:t>8.3.10 Privately Offered Securities Custody Procedures</w:t>
        </w:r>
        <w:r>
          <w:tab/>
        </w:r>
        <w:r>
          <w:fldChar w:fldCharType="begin"/>
        </w:r>
        <w:r>
          <w:instrText xml:space="preserve"> PAGEREF _Toc256000137 \h </w:instrText>
        </w:r>
        <w:r>
          <w:fldChar w:fldCharType="separate"/>
        </w:r>
        <w:r>
          <w:t>178</w:t>
        </w:r>
        <w:r>
          <w:fldChar w:fldCharType="end"/>
        </w:r>
      </w:hyperlink>
    </w:p>
    <w:p>
      <w:pPr>
        <w:pStyle w:val="TOC3"/>
        <w:tabs>
          <w:tab w:val="right" w:leader="dot" w:pos="9926"/>
        </w:tabs>
        <w:rPr>
          <w:rFonts w:ascii="Calibri" w:hAnsi="Calibri"/>
          <w:noProof/>
          <w:sz w:val="22"/>
        </w:rPr>
      </w:pPr>
      <w:hyperlink w:anchor="_Toc256000138" w:history="1">
        <w:r>
          <w:rPr>
            <w:rStyle w:val="Hyperlink"/>
          </w:rPr>
          <w:t>8.3.11 Constructive Custody</w:t>
        </w:r>
        <w:r>
          <w:tab/>
        </w:r>
        <w:r>
          <w:fldChar w:fldCharType="begin"/>
        </w:r>
        <w:r>
          <w:instrText xml:space="preserve"> PAGEREF _Toc256000138 \h </w:instrText>
        </w:r>
        <w:r>
          <w:fldChar w:fldCharType="separate"/>
        </w:r>
        <w:r>
          <w:t>179</w:t>
        </w:r>
        <w:r>
          <w:fldChar w:fldCharType="end"/>
        </w:r>
      </w:hyperlink>
    </w:p>
    <w:p>
      <w:pPr>
        <w:pStyle w:val="TOC3"/>
        <w:tabs>
          <w:tab w:val="right" w:leader="dot" w:pos="9926"/>
        </w:tabs>
        <w:rPr>
          <w:rFonts w:ascii="Calibri" w:hAnsi="Calibri"/>
          <w:noProof/>
          <w:sz w:val="22"/>
        </w:rPr>
      </w:pPr>
      <w:hyperlink w:anchor="_Toc256000139" w:history="1">
        <w:r>
          <w:rPr>
            <w:rStyle w:val="Hyperlink"/>
          </w:rPr>
          <w:t>8.3.12 Inadvertent Receipt of and Temporary Custody of Client Assets</w:t>
        </w:r>
        <w:r>
          <w:tab/>
        </w:r>
        <w:r>
          <w:fldChar w:fldCharType="begin"/>
        </w:r>
        <w:r>
          <w:instrText xml:space="preserve"> PAGEREF _Toc256000139 \h </w:instrText>
        </w:r>
        <w:r>
          <w:fldChar w:fldCharType="separate"/>
        </w:r>
        <w:r>
          <w:t>179</w:t>
        </w:r>
        <w:r>
          <w:fldChar w:fldCharType="end"/>
        </w:r>
      </w:hyperlink>
    </w:p>
    <w:p>
      <w:pPr>
        <w:pStyle w:val="TOC3"/>
        <w:tabs>
          <w:tab w:val="right" w:leader="dot" w:pos="9926"/>
        </w:tabs>
        <w:rPr>
          <w:rFonts w:ascii="Calibri" w:hAnsi="Calibri"/>
          <w:noProof/>
          <w:sz w:val="22"/>
        </w:rPr>
      </w:pPr>
      <w:hyperlink w:anchor="_Toc256000140" w:history="1">
        <w:r>
          <w:rPr>
            <w:rStyle w:val="Hyperlink"/>
          </w:rPr>
          <w:t>8.3.13 Account Statements</w:t>
        </w:r>
        <w:r>
          <w:tab/>
        </w:r>
        <w:r>
          <w:fldChar w:fldCharType="begin"/>
        </w:r>
        <w:r>
          <w:instrText xml:space="preserve"> PAGEREF _Toc256000140 \h </w:instrText>
        </w:r>
        <w:r>
          <w:fldChar w:fldCharType="separate"/>
        </w:r>
        <w:r>
          <w:t>180</w:t>
        </w:r>
        <w:r>
          <w:fldChar w:fldCharType="end"/>
        </w:r>
      </w:hyperlink>
    </w:p>
    <w:p>
      <w:pPr>
        <w:pStyle w:val="TOC3"/>
        <w:tabs>
          <w:tab w:val="right" w:leader="dot" w:pos="9926"/>
        </w:tabs>
        <w:rPr>
          <w:rFonts w:ascii="Calibri" w:hAnsi="Calibri"/>
          <w:noProof/>
          <w:sz w:val="22"/>
        </w:rPr>
      </w:pPr>
      <w:hyperlink w:anchor="_Toc256000141" w:history="1">
        <w:r>
          <w:rPr>
            <w:rStyle w:val="Hyperlink"/>
          </w:rPr>
          <w:t>8.3.14 Surprise Examinations</w:t>
        </w:r>
        <w:r>
          <w:tab/>
        </w:r>
        <w:r>
          <w:fldChar w:fldCharType="begin"/>
        </w:r>
        <w:r>
          <w:instrText xml:space="preserve"> PAGEREF _Toc256000141 \h </w:instrText>
        </w:r>
        <w:r>
          <w:fldChar w:fldCharType="separate"/>
        </w:r>
        <w:r>
          <w:t>181</w:t>
        </w:r>
        <w:r>
          <w:fldChar w:fldCharType="end"/>
        </w:r>
      </w:hyperlink>
    </w:p>
    <w:p>
      <w:pPr>
        <w:pStyle w:val="TOC3"/>
        <w:tabs>
          <w:tab w:val="right" w:leader="dot" w:pos="9926"/>
        </w:tabs>
        <w:rPr>
          <w:rFonts w:ascii="Calibri" w:hAnsi="Calibri"/>
          <w:noProof/>
          <w:sz w:val="22"/>
        </w:rPr>
      </w:pPr>
      <w:hyperlink w:anchor="_Toc256000142" w:history="1">
        <w:r>
          <w:rPr>
            <w:rStyle w:val="Hyperlink"/>
          </w:rPr>
          <w:t>8.3.15 Internal Control Reports</w:t>
        </w:r>
        <w:r>
          <w:tab/>
        </w:r>
        <w:r>
          <w:fldChar w:fldCharType="begin"/>
        </w:r>
        <w:r>
          <w:instrText xml:space="preserve"> PAGEREF _Toc256000142 \h </w:instrText>
        </w:r>
        <w:r>
          <w:fldChar w:fldCharType="separate"/>
        </w:r>
        <w:r>
          <w:t>182</w:t>
        </w:r>
        <w:r>
          <w:fldChar w:fldCharType="end"/>
        </w:r>
      </w:hyperlink>
    </w:p>
    <w:p>
      <w:pPr>
        <w:pStyle w:val="TOC3"/>
        <w:tabs>
          <w:tab w:val="right" w:leader="dot" w:pos="9926"/>
        </w:tabs>
        <w:rPr>
          <w:rFonts w:ascii="Calibri" w:hAnsi="Calibri"/>
          <w:noProof/>
          <w:sz w:val="22"/>
        </w:rPr>
      </w:pPr>
      <w:hyperlink w:anchor="_Toc256000143" w:history="1">
        <w:r>
          <w:rPr>
            <w:rStyle w:val="Hyperlink"/>
          </w:rPr>
          <w:t>8.3.16 Independent Public Accountant</w:t>
        </w:r>
        <w:r>
          <w:tab/>
        </w:r>
        <w:r>
          <w:fldChar w:fldCharType="begin"/>
        </w:r>
        <w:r>
          <w:instrText xml:space="preserve"> PAGEREF _Toc256000143 \h </w:instrText>
        </w:r>
        <w:r>
          <w:fldChar w:fldCharType="separate"/>
        </w:r>
        <w:r>
          <w:t>183</w:t>
        </w:r>
        <w:r>
          <w:fldChar w:fldCharType="end"/>
        </w:r>
      </w:hyperlink>
    </w:p>
    <w:p>
      <w:pPr>
        <w:pStyle w:val="TOC3"/>
        <w:tabs>
          <w:tab w:val="right" w:leader="dot" w:pos="9926"/>
        </w:tabs>
        <w:rPr>
          <w:rFonts w:ascii="Calibri" w:hAnsi="Calibri"/>
          <w:noProof/>
          <w:sz w:val="22"/>
        </w:rPr>
      </w:pPr>
      <w:hyperlink w:anchor="_Toc256000144" w:history="1">
        <w:r>
          <w:rPr>
            <w:rStyle w:val="Hyperlink"/>
          </w:rPr>
          <w:t>8.3.17 Client Representatives</w:t>
        </w:r>
        <w:r>
          <w:tab/>
        </w:r>
        <w:r>
          <w:fldChar w:fldCharType="begin"/>
        </w:r>
        <w:r>
          <w:instrText xml:space="preserve"> PAGEREF _Toc256000144 \h </w:instrText>
        </w:r>
        <w:r>
          <w:fldChar w:fldCharType="separate"/>
        </w:r>
        <w:r>
          <w:t>183</w:t>
        </w:r>
        <w:r>
          <w:fldChar w:fldCharType="end"/>
        </w:r>
      </w:hyperlink>
    </w:p>
    <w:p>
      <w:pPr>
        <w:pStyle w:val="TOC3"/>
        <w:tabs>
          <w:tab w:val="right" w:leader="dot" w:pos="9926"/>
        </w:tabs>
        <w:rPr>
          <w:rFonts w:ascii="Calibri" w:hAnsi="Calibri"/>
          <w:noProof/>
          <w:sz w:val="22"/>
        </w:rPr>
      </w:pPr>
      <w:hyperlink w:anchor="_Toc256000145" w:history="1">
        <w:r>
          <w:rPr>
            <w:rStyle w:val="Hyperlink"/>
          </w:rPr>
          <w:t>8.3.18 Reconciliation</w:t>
        </w:r>
        <w:r>
          <w:tab/>
        </w:r>
        <w:r>
          <w:fldChar w:fldCharType="begin"/>
        </w:r>
        <w:r>
          <w:instrText xml:space="preserve"> PAGEREF _Toc256000145 \h </w:instrText>
        </w:r>
        <w:r>
          <w:fldChar w:fldCharType="separate"/>
        </w:r>
        <w:r>
          <w:t>184</w:t>
        </w:r>
        <w:r>
          <w:fldChar w:fldCharType="end"/>
        </w:r>
      </w:hyperlink>
    </w:p>
    <w:p>
      <w:pPr>
        <w:pStyle w:val="TOC3"/>
        <w:tabs>
          <w:tab w:val="right" w:leader="dot" w:pos="9926"/>
        </w:tabs>
        <w:rPr>
          <w:rFonts w:ascii="Calibri" w:hAnsi="Calibri"/>
          <w:noProof/>
          <w:sz w:val="22"/>
        </w:rPr>
      </w:pPr>
      <w:hyperlink w:anchor="_Toc256000146" w:history="1">
        <w:r>
          <w:rPr>
            <w:rStyle w:val="Hyperlink"/>
          </w:rPr>
          <w:t>8.3.19 Overdrafts</w:t>
        </w:r>
        <w:r>
          <w:tab/>
        </w:r>
        <w:r>
          <w:fldChar w:fldCharType="begin"/>
        </w:r>
        <w:r>
          <w:instrText xml:space="preserve"> PAGEREF _Toc256000146 \h </w:instrText>
        </w:r>
        <w:r>
          <w:fldChar w:fldCharType="separate"/>
        </w:r>
        <w:r>
          <w:t>184</w:t>
        </w:r>
        <w:r>
          <w:fldChar w:fldCharType="end"/>
        </w:r>
      </w:hyperlink>
    </w:p>
    <w:p>
      <w:pPr>
        <w:pStyle w:val="TOC3"/>
        <w:tabs>
          <w:tab w:val="right" w:leader="dot" w:pos="9926"/>
        </w:tabs>
        <w:rPr>
          <w:rFonts w:ascii="Calibri" w:hAnsi="Calibri"/>
          <w:noProof/>
          <w:sz w:val="22"/>
        </w:rPr>
      </w:pPr>
      <w:hyperlink w:anchor="_Toc256000147" w:history="1">
        <w:r>
          <w:rPr>
            <w:rStyle w:val="Hyperlink"/>
          </w:rPr>
          <w:t>8.3.20 Unusual Account Activity</w:t>
        </w:r>
        <w:r>
          <w:tab/>
        </w:r>
        <w:r>
          <w:fldChar w:fldCharType="begin"/>
        </w:r>
        <w:r>
          <w:instrText xml:space="preserve"> PAGEREF _Toc256000147 \h </w:instrText>
        </w:r>
        <w:r>
          <w:fldChar w:fldCharType="separate"/>
        </w:r>
        <w:r>
          <w:t>184</w:t>
        </w:r>
        <w:r>
          <w:fldChar w:fldCharType="end"/>
        </w:r>
      </w:hyperlink>
    </w:p>
    <w:p>
      <w:pPr>
        <w:pStyle w:val="TOC3"/>
        <w:tabs>
          <w:tab w:val="right" w:leader="dot" w:pos="9926"/>
        </w:tabs>
        <w:rPr>
          <w:rFonts w:ascii="Calibri" w:hAnsi="Calibri"/>
          <w:noProof/>
          <w:sz w:val="22"/>
        </w:rPr>
      </w:pPr>
      <w:hyperlink w:anchor="_Toc256000148" w:history="1">
        <w:r>
          <w:rPr>
            <w:rStyle w:val="Hyperlink"/>
          </w:rPr>
          <w:t>8.3.21 Authorization</w:t>
        </w:r>
        <w:r>
          <w:tab/>
        </w:r>
        <w:r>
          <w:fldChar w:fldCharType="begin"/>
        </w:r>
        <w:r>
          <w:instrText xml:space="preserve"> PAGEREF _Toc256000148 \h </w:instrText>
        </w:r>
        <w:r>
          <w:fldChar w:fldCharType="separate"/>
        </w:r>
        <w:r>
          <w:t>184</w:t>
        </w:r>
        <w:r>
          <w:fldChar w:fldCharType="end"/>
        </w:r>
      </w:hyperlink>
    </w:p>
    <w:p>
      <w:pPr>
        <w:pStyle w:val="TOC3"/>
        <w:tabs>
          <w:tab w:val="right" w:leader="dot" w:pos="9926"/>
        </w:tabs>
        <w:rPr>
          <w:rFonts w:ascii="Calibri" w:hAnsi="Calibri"/>
          <w:noProof/>
          <w:sz w:val="22"/>
        </w:rPr>
      </w:pPr>
      <w:hyperlink w:anchor="_Toc256000149" w:history="1">
        <w:r>
          <w:rPr>
            <w:rStyle w:val="Hyperlink"/>
          </w:rPr>
          <w:t>8.3.22 Custodian Selection and Retention</w:t>
        </w:r>
        <w:r>
          <w:tab/>
        </w:r>
        <w:r>
          <w:fldChar w:fldCharType="begin"/>
        </w:r>
        <w:r>
          <w:instrText xml:space="preserve"> PAGEREF _Toc256000149 \h </w:instrText>
        </w:r>
        <w:r>
          <w:fldChar w:fldCharType="separate"/>
        </w:r>
        <w:r>
          <w:t>185</w:t>
        </w:r>
        <w:r>
          <w:fldChar w:fldCharType="end"/>
        </w:r>
      </w:hyperlink>
    </w:p>
    <w:p>
      <w:pPr>
        <w:pStyle w:val="TOC3"/>
        <w:tabs>
          <w:tab w:val="right" w:leader="dot" w:pos="9926"/>
        </w:tabs>
        <w:rPr>
          <w:rFonts w:ascii="Calibri" w:hAnsi="Calibri"/>
          <w:noProof/>
          <w:sz w:val="22"/>
        </w:rPr>
      </w:pPr>
      <w:hyperlink w:anchor="_Toc256000150" w:history="1">
        <w:r>
          <w:rPr>
            <w:rStyle w:val="Hyperlink"/>
          </w:rPr>
          <w:t>8.3.23 Commodities/Futures</w:t>
        </w:r>
        <w:r>
          <w:tab/>
        </w:r>
        <w:r>
          <w:fldChar w:fldCharType="begin"/>
        </w:r>
        <w:r>
          <w:instrText xml:space="preserve"> PAGEREF _Toc256000150 \h </w:instrText>
        </w:r>
        <w:r>
          <w:fldChar w:fldCharType="separate"/>
        </w:r>
        <w:r>
          <w:t>185</w:t>
        </w:r>
        <w:r>
          <w:fldChar w:fldCharType="end"/>
        </w:r>
      </w:hyperlink>
    </w:p>
    <w:p>
      <w:pPr>
        <w:pStyle w:val="TOC3"/>
        <w:tabs>
          <w:tab w:val="right" w:leader="dot" w:pos="9926"/>
        </w:tabs>
        <w:rPr>
          <w:rFonts w:ascii="Calibri" w:hAnsi="Calibri"/>
          <w:noProof/>
          <w:sz w:val="22"/>
        </w:rPr>
      </w:pPr>
      <w:hyperlink w:anchor="_Toc256000151" w:history="1">
        <w:r>
          <w:rPr>
            <w:rStyle w:val="Hyperlink"/>
          </w:rPr>
          <w:t>8.3.24 Swaps</w:t>
        </w:r>
        <w:r>
          <w:tab/>
        </w:r>
        <w:r>
          <w:fldChar w:fldCharType="begin"/>
        </w:r>
        <w:r>
          <w:instrText xml:space="preserve"> PAGEREF _Toc256000151 \h </w:instrText>
        </w:r>
        <w:r>
          <w:fldChar w:fldCharType="separate"/>
        </w:r>
        <w:r>
          <w:t>185</w:t>
        </w:r>
        <w:r>
          <w:fldChar w:fldCharType="end"/>
        </w:r>
      </w:hyperlink>
    </w:p>
    <w:p>
      <w:pPr>
        <w:pStyle w:val="TOC3"/>
        <w:tabs>
          <w:tab w:val="right" w:leader="dot" w:pos="9926"/>
        </w:tabs>
        <w:rPr>
          <w:rFonts w:ascii="Calibri" w:hAnsi="Calibri"/>
          <w:noProof/>
          <w:sz w:val="22"/>
        </w:rPr>
      </w:pPr>
      <w:hyperlink w:anchor="_Toc256000152" w:history="1">
        <w:r>
          <w:rPr>
            <w:rStyle w:val="Hyperlink"/>
          </w:rPr>
          <w:t>8.3.25 Audited Balance Sheet</w:t>
        </w:r>
        <w:r>
          <w:tab/>
        </w:r>
        <w:r>
          <w:fldChar w:fldCharType="begin"/>
        </w:r>
        <w:r>
          <w:instrText xml:space="preserve"> PAGEREF _Toc256000152 \h </w:instrText>
        </w:r>
        <w:r>
          <w:fldChar w:fldCharType="separate"/>
        </w:r>
        <w:r>
          <w:t>185</w:t>
        </w:r>
        <w:r>
          <w:fldChar w:fldCharType="end"/>
        </w:r>
      </w:hyperlink>
    </w:p>
    <w:p>
      <w:pPr>
        <w:pStyle w:val="TOC3"/>
        <w:tabs>
          <w:tab w:val="right" w:leader="dot" w:pos="9926"/>
        </w:tabs>
        <w:rPr>
          <w:rFonts w:ascii="Calibri" w:hAnsi="Calibri"/>
          <w:noProof/>
          <w:sz w:val="22"/>
        </w:rPr>
      </w:pPr>
      <w:hyperlink w:anchor="_Toc256000153" w:history="1">
        <w:r>
          <w:rPr>
            <w:rStyle w:val="Hyperlink"/>
          </w:rPr>
          <w:t>8.3.26 Additional SEC Best Practices</w:t>
        </w:r>
        <w:r>
          <w:tab/>
        </w:r>
        <w:r>
          <w:fldChar w:fldCharType="begin"/>
        </w:r>
        <w:r>
          <w:instrText xml:space="preserve"> PAGEREF _Toc256000153 \h </w:instrText>
        </w:r>
        <w:r>
          <w:fldChar w:fldCharType="separate"/>
        </w:r>
        <w:r>
          <w:t>185</w:t>
        </w:r>
        <w:r>
          <w:fldChar w:fldCharType="end"/>
        </w:r>
      </w:hyperlink>
    </w:p>
    <w:p>
      <w:pPr>
        <w:pStyle w:val="TOC3"/>
        <w:tabs>
          <w:tab w:val="right" w:leader="dot" w:pos="9926"/>
        </w:tabs>
        <w:rPr>
          <w:rFonts w:ascii="Calibri" w:hAnsi="Calibri"/>
          <w:noProof/>
          <w:sz w:val="22"/>
        </w:rPr>
      </w:pPr>
      <w:hyperlink w:anchor="_Toc256000154" w:history="1">
        <w:r>
          <w:rPr>
            <w:rStyle w:val="Hyperlink"/>
          </w:rPr>
          <w:t>8.3.27 SEC Q&amp;As</w:t>
        </w:r>
        <w:r>
          <w:tab/>
        </w:r>
        <w:r>
          <w:fldChar w:fldCharType="begin"/>
        </w:r>
        <w:r>
          <w:instrText xml:space="preserve"> PAGEREF _Toc256000154 \h </w:instrText>
        </w:r>
        <w:r>
          <w:fldChar w:fldCharType="separate"/>
        </w:r>
        <w:r>
          <w:t>186</w:t>
        </w:r>
        <w:r>
          <w:fldChar w:fldCharType="end"/>
        </w:r>
      </w:hyperlink>
    </w:p>
    <w:p>
      <w:pPr>
        <w:pStyle w:val="TOC3"/>
        <w:tabs>
          <w:tab w:val="right" w:leader="dot" w:pos="9926"/>
        </w:tabs>
        <w:rPr>
          <w:rFonts w:ascii="Calibri" w:hAnsi="Calibri"/>
          <w:noProof/>
          <w:sz w:val="22"/>
        </w:rPr>
      </w:pPr>
      <w:hyperlink w:anchor="_Toc256000155" w:history="1">
        <w:r>
          <w:rPr>
            <w:rStyle w:val="Hyperlink"/>
          </w:rPr>
          <w:t>8.3.28 Syndicated Loans</w:t>
        </w:r>
        <w:r>
          <w:tab/>
        </w:r>
        <w:r>
          <w:fldChar w:fldCharType="begin"/>
        </w:r>
        <w:r>
          <w:instrText xml:space="preserve"> PAGEREF _Toc256000155 \h </w:instrText>
        </w:r>
        <w:r>
          <w:fldChar w:fldCharType="separate"/>
        </w:r>
        <w:r>
          <w:t>186</w:t>
        </w:r>
        <w:r>
          <w:fldChar w:fldCharType="end"/>
        </w:r>
      </w:hyperlink>
    </w:p>
    <w:p>
      <w:pPr>
        <w:pStyle w:val="TOC3"/>
        <w:tabs>
          <w:tab w:val="right" w:leader="dot" w:pos="9926"/>
        </w:tabs>
        <w:rPr>
          <w:rFonts w:ascii="Calibri" w:hAnsi="Calibri"/>
          <w:noProof/>
          <w:sz w:val="22"/>
        </w:rPr>
      </w:pPr>
      <w:hyperlink w:anchor="_Toc256000156" w:history="1">
        <w:r>
          <w:rPr>
            <w:rStyle w:val="Hyperlink"/>
          </w:rPr>
          <w:t>8.3.29 Custody of Crypto Assets</w:t>
        </w:r>
        <w:r>
          <w:tab/>
        </w:r>
        <w:r>
          <w:fldChar w:fldCharType="begin"/>
        </w:r>
        <w:r>
          <w:instrText xml:space="preserve"> PAGEREF _Toc256000156 \h </w:instrText>
        </w:r>
        <w:r>
          <w:fldChar w:fldCharType="separate"/>
        </w:r>
        <w:r>
          <w:t>186</w:t>
        </w:r>
        <w:r>
          <w:fldChar w:fldCharType="end"/>
        </w:r>
      </w:hyperlink>
    </w:p>
    <w:p>
      <w:pPr>
        <w:pStyle w:val="TOC3"/>
        <w:tabs>
          <w:tab w:val="right" w:leader="dot" w:pos="9926"/>
        </w:tabs>
        <w:rPr>
          <w:rFonts w:ascii="Calibri" w:hAnsi="Calibri"/>
          <w:noProof/>
          <w:sz w:val="22"/>
        </w:rPr>
      </w:pPr>
      <w:hyperlink w:anchor="_Toc256000157" w:history="1">
        <w:r>
          <w:rPr>
            <w:rStyle w:val="Hyperlink"/>
          </w:rPr>
          <w:t>8.3.30 SLOAs</w:t>
        </w:r>
        <w:r>
          <w:tab/>
        </w:r>
        <w:r>
          <w:fldChar w:fldCharType="begin"/>
        </w:r>
        <w:r>
          <w:instrText xml:space="preserve"> PAGEREF _Toc256000157 \h </w:instrText>
        </w:r>
        <w:r>
          <w:fldChar w:fldCharType="separate"/>
        </w:r>
        <w:r>
          <w:t>187</w:t>
        </w:r>
        <w:r>
          <w:fldChar w:fldCharType="end"/>
        </w:r>
      </w:hyperlink>
    </w:p>
    <w:p>
      <w:pPr>
        <w:pStyle w:val="TOC2"/>
        <w:tabs>
          <w:tab w:val="right" w:leader="dot" w:pos="9926"/>
        </w:tabs>
        <w:rPr>
          <w:rFonts w:ascii="Calibri" w:hAnsi="Calibri"/>
          <w:noProof/>
          <w:sz w:val="22"/>
        </w:rPr>
      </w:pPr>
      <w:hyperlink w:anchor="_Toc256000158" w:history="1">
        <w:r>
          <w:rPr>
            <w:rStyle w:val="Hyperlink"/>
          </w:rPr>
          <w:t>8.4 Form ADV Disclosure</w:t>
        </w:r>
        <w:r>
          <w:tab/>
        </w:r>
        <w:r>
          <w:fldChar w:fldCharType="begin"/>
        </w:r>
        <w:r>
          <w:instrText xml:space="preserve"> PAGEREF _Toc256000158 \h </w:instrText>
        </w:r>
        <w:r>
          <w:fldChar w:fldCharType="separate"/>
        </w:r>
        <w:r>
          <w:t>188</w:t>
        </w:r>
        <w:r>
          <w:fldChar w:fldCharType="end"/>
        </w:r>
      </w:hyperlink>
    </w:p>
    <w:p>
      <w:pPr>
        <w:pStyle w:val="TOC2"/>
        <w:tabs>
          <w:tab w:val="right" w:leader="dot" w:pos="9926"/>
        </w:tabs>
        <w:rPr>
          <w:rFonts w:ascii="Calibri" w:hAnsi="Calibri"/>
          <w:noProof/>
          <w:sz w:val="22"/>
        </w:rPr>
      </w:pPr>
      <w:hyperlink w:anchor="_Toc256000159" w:history="1">
        <w:r>
          <w:rPr>
            <w:rStyle w:val="Hyperlink"/>
          </w:rPr>
          <w:t>8.5 Books and Records</w:t>
        </w:r>
        <w:r>
          <w:tab/>
        </w:r>
        <w:r>
          <w:fldChar w:fldCharType="begin"/>
        </w:r>
        <w:r>
          <w:instrText xml:space="preserve"> PAGEREF _Toc256000159 \h </w:instrText>
        </w:r>
        <w:r>
          <w:fldChar w:fldCharType="separate"/>
        </w:r>
        <w:r>
          <w:t>188</w:t>
        </w:r>
        <w:r>
          <w:fldChar w:fldCharType="end"/>
        </w:r>
      </w:hyperlink>
    </w:p>
    <w:p>
      <w:pPr>
        <w:pStyle w:val="TOC1"/>
        <w:tabs>
          <w:tab w:val="right" w:leader="dot" w:pos="9926"/>
        </w:tabs>
        <w:rPr>
          <w:rFonts w:ascii="Calibri" w:hAnsi="Calibri"/>
          <w:noProof/>
          <w:sz w:val="22"/>
        </w:rPr>
      </w:pPr>
      <w:hyperlink w:anchor="_Toc256000160" w:history="1">
        <w:r>
          <w:rPr>
            <w:rStyle w:val="Hyperlink"/>
          </w:rPr>
          <w:t>9 MARKETING</w:t>
        </w:r>
        <w:r>
          <w:tab/>
        </w:r>
        <w:r>
          <w:fldChar w:fldCharType="begin"/>
        </w:r>
        <w:r>
          <w:instrText xml:space="preserve"> PAGEREF _Toc256000160 \h </w:instrText>
        </w:r>
        <w:r>
          <w:fldChar w:fldCharType="separate"/>
        </w:r>
        <w:r>
          <w:t>189</w:t>
        </w:r>
        <w:r>
          <w:fldChar w:fldCharType="end"/>
        </w:r>
      </w:hyperlink>
    </w:p>
    <w:p>
      <w:pPr>
        <w:pStyle w:val="TOC2"/>
        <w:tabs>
          <w:tab w:val="right" w:leader="dot" w:pos="9926"/>
        </w:tabs>
        <w:rPr>
          <w:rFonts w:ascii="Calibri" w:hAnsi="Calibri"/>
          <w:noProof/>
          <w:sz w:val="22"/>
        </w:rPr>
      </w:pPr>
      <w:hyperlink w:anchor="_Toc256000161" w:history="1">
        <w:r>
          <w:rPr>
            <w:rStyle w:val="Hyperlink"/>
          </w:rPr>
          <w:t>Introduction</w:t>
        </w:r>
        <w:r>
          <w:tab/>
        </w:r>
        <w:r>
          <w:fldChar w:fldCharType="begin"/>
        </w:r>
        <w:r>
          <w:instrText xml:space="preserve"> PAGEREF _Toc256000161 \h </w:instrText>
        </w:r>
        <w:r>
          <w:fldChar w:fldCharType="separate"/>
        </w:r>
        <w:r>
          <w:t>189</w:t>
        </w:r>
        <w:r>
          <w:fldChar w:fldCharType="end"/>
        </w:r>
      </w:hyperlink>
    </w:p>
    <w:p>
      <w:pPr>
        <w:pStyle w:val="TOC2"/>
        <w:tabs>
          <w:tab w:val="right" w:leader="dot" w:pos="9926"/>
        </w:tabs>
        <w:rPr>
          <w:rFonts w:ascii="Calibri" w:hAnsi="Calibri"/>
          <w:noProof/>
          <w:sz w:val="22"/>
        </w:rPr>
      </w:pPr>
      <w:hyperlink w:anchor="_Toc256000162" w:history="1">
        <w:r>
          <w:rPr>
            <w:rStyle w:val="Hyperlink"/>
          </w:rPr>
          <w:t>9.1 Portability of Performance</w:t>
        </w:r>
        <w:r>
          <w:tab/>
        </w:r>
        <w:r>
          <w:fldChar w:fldCharType="begin"/>
        </w:r>
        <w:r>
          <w:instrText xml:space="preserve"> PAGEREF _Toc256000162 \h </w:instrText>
        </w:r>
        <w:r>
          <w:fldChar w:fldCharType="separate"/>
        </w:r>
        <w:r>
          <w:t>189</w:t>
        </w:r>
        <w:r>
          <w:fldChar w:fldCharType="end"/>
        </w:r>
      </w:hyperlink>
    </w:p>
    <w:p>
      <w:pPr>
        <w:pStyle w:val="TOC3"/>
        <w:tabs>
          <w:tab w:val="right" w:leader="dot" w:pos="9926"/>
        </w:tabs>
        <w:rPr>
          <w:rFonts w:ascii="Calibri" w:hAnsi="Calibri"/>
          <w:noProof/>
          <w:sz w:val="22"/>
        </w:rPr>
      </w:pPr>
      <w:hyperlink w:anchor="_Toc256000163" w:history="1">
        <w:r>
          <w:rPr>
            <w:rStyle w:val="Hyperlink"/>
          </w:rPr>
          <w:t>9.1.1 Performance Advertisements</w:t>
        </w:r>
        <w:r>
          <w:tab/>
        </w:r>
        <w:r>
          <w:fldChar w:fldCharType="begin"/>
        </w:r>
        <w:r>
          <w:instrText xml:space="preserve"> PAGEREF _Toc256000163 \h </w:instrText>
        </w:r>
        <w:r>
          <w:fldChar w:fldCharType="separate"/>
        </w:r>
        <w:r>
          <w:t>190</w:t>
        </w:r>
        <w:r>
          <w:fldChar w:fldCharType="end"/>
        </w:r>
      </w:hyperlink>
    </w:p>
    <w:p>
      <w:pPr>
        <w:pStyle w:val="TOC2"/>
        <w:tabs>
          <w:tab w:val="right" w:leader="dot" w:pos="9926"/>
        </w:tabs>
        <w:rPr>
          <w:rFonts w:ascii="Calibri" w:hAnsi="Calibri"/>
          <w:noProof/>
          <w:sz w:val="22"/>
        </w:rPr>
      </w:pPr>
      <w:hyperlink w:anchor="_Toc256000164" w:history="1">
        <w:r>
          <w:rPr>
            <w:rStyle w:val="Hyperlink"/>
          </w:rPr>
          <w:t>9.2 Compliance Reference Chart</w:t>
        </w:r>
        <w:r>
          <w:tab/>
        </w:r>
        <w:r>
          <w:fldChar w:fldCharType="begin"/>
        </w:r>
        <w:r>
          <w:instrText xml:space="preserve"> PAGEREF _Toc256000164 \h </w:instrText>
        </w:r>
        <w:r>
          <w:fldChar w:fldCharType="separate"/>
        </w:r>
        <w:r>
          <w:t>198</w:t>
        </w:r>
        <w:r>
          <w:fldChar w:fldCharType="end"/>
        </w:r>
      </w:hyperlink>
    </w:p>
    <w:p>
      <w:pPr>
        <w:pStyle w:val="TOC2"/>
        <w:tabs>
          <w:tab w:val="right" w:leader="dot" w:pos="9926"/>
        </w:tabs>
        <w:rPr>
          <w:rFonts w:ascii="Calibri" w:hAnsi="Calibri"/>
          <w:noProof/>
          <w:sz w:val="22"/>
        </w:rPr>
      </w:pPr>
      <w:hyperlink w:anchor="_Toc256000165" w:history="1">
        <w:r>
          <w:rPr>
            <w:rStyle w:val="Hyperlink"/>
          </w:rPr>
          <w:t>9.3 Policy</w:t>
        </w:r>
        <w:r>
          <w:tab/>
        </w:r>
        <w:r>
          <w:fldChar w:fldCharType="begin"/>
        </w:r>
        <w:r>
          <w:instrText xml:space="preserve"> PAGEREF _Toc256000165 \h </w:instrText>
        </w:r>
        <w:r>
          <w:fldChar w:fldCharType="separate"/>
        </w:r>
        <w:r>
          <w:t>198</w:t>
        </w:r>
        <w:r>
          <w:fldChar w:fldCharType="end"/>
        </w:r>
      </w:hyperlink>
    </w:p>
    <w:p>
      <w:pPr>
        <w:pStyle w:val="TOC2"/>
        <w:tabs>
          <w:tab w:val="right" w:leader="dot" w:pos="9926"/>
        </w:tabs>
        <w:rPr>
          <w:rFonts w:ascii="Calibri" w:hAnsi="Calibri"/>
          <w:noProof/>
          <w:sz w:val="22"/>
        </w:rPr>
      </w:pPr>
      <w:hyperlink w:anchor="_Toc256000166" w:history="1">
        <w:r>
          <w:rPr>
            <w:rStyle w:val="Hyperlink"/>
          </w:rPr>
          <w:t>9.4 Procedures</w:t>
        </w:r>
        <w:r>
          <w:tab/>
        </w:r>
        <w:r>
          <w:fldChar w:fldCharType="begin"/>
        </w:r>
        <w:r>
          <w:instrText xml:space="preserve"> PAGEREF _Toc256000166 \h </w:instrText>
        </w:r>
        <w:r>
          <w:fldChar w:fldCharType="separate"/>
        </w:r>
        <w:r>
          <w:t>198</w:t>
        </w:r>
        <w:r>
          <w:fldChar w:fldCharType="end"/>
        </w:r>
      </w:hyperlink>
    </w:p>
    <w:p>
      <w:pPr>
        <w:pStyle w:val="TOC3"/>
        <w:tabs>
          <w:tab w:val="right" w:leader="dot" w:pos="9926"/>
        </w:tabs>
        <w:rPr>
          <w:rFonts w:ascii="Calibri" w:hAnsi="Calibri"/>
          <w:noProof/>
          <w:sz w:val="22"/>
        </w:rPr>
      </w:pPr>
      <w:hyperlink w:anchor="_Toc256000167" w:history="1">
        <w:r>
          <w:rPr>
            <w:rStyle w:val="Hyperlink"/>
          </w:rPr>
          <w:t>9.4.1 Advertisement Determination</w:t>
        </w:r>
        <w:r>
          <w:tab/>
        </w:r>
        <w:r>
          <w:fldChar w:fldCharType="begin"/>
        </w:r>
        <w:r>
          <w:instrText xml:space="preserve"> PAGEREF _Toc256000167 \h </w:instrText>
        </w:r>
        <w:r>
          <w:fldChar w:fldCharType="separate"/>
        </w:r>
        <w:r>
          <w:t>198</w:t>
        </w:r>
        <w:r>
          <w:fldChar w:fldCharType="end"/>
        </w:r>
      </w:hyperlink>
    </w:p>
    <w:p>
      <w:pPr>
        <w:pStyle w:val="TOC3"/>
        <w:tabs>
          <w:tab w:val="right" w:leader="dot" w:pos="9926"/>
        </w:tabs>
        <w:rPr>
          <w:rFonts w:ascii="Calibri" w:hAnsi="Calibri"/>
          <w:noProof/>
          <w:sz w:val="22"/>
        </w:rPr>
      </w:pPr>
      <w:hyperlink w:anchor="_Toc256000168" w:history="1">
        <w:r>
          <w:rPr>
            <w:rStyle w:val="Hyperlink"/>
          </w:rPr>
          <w:t>9.4.2 Advertisements and Marketing Pieces Routing Procedures</w:t>
        </w:r>
        <w:r>
          <w:tab/>
        </w:r>
        <w:r>
          <w:fldChar w:fldCharType="begin"/>
        </w:r>
        <w:r>
          <w:instrText xml:space="preserve"> PAGEREF _Toc256000168 \h </w:instrText>
        </w:r>
        <w:r>
          <w:fldChar w:fldCharType="separate"/>
        </w:r>
        <w:r>
          <w:t>200</w:t>
        </w:r>
        <w:r>
          <w:fldChar w:fldCharType="end"/>
        </w:r>
      </w:hyperlink>
    </w:p>
    <w:p>
      <w:pPr>
        <w:pStyle w:val="TOC3"/>
        <w:tabs>
          <w:tab w:val="right" w:leader="dot" w:pos="9926"/>
        </w:tabs>
        <w:rPr>
          <w:rFonts w:ascii="Calibri" w:hAnsi="Calibri"/>
          <w:noProof/>
          <w:sz w:val="22"/>
        </w:rPr>
      </w:pPr>
      <w:hyperlink w:anchor="_Toc256000169" w:history="1">
        <w:r>
          <w:rPr>
            <w:rStyle w:val="Hyperlink"/>
          </w:rPr>
          <w:t>9.4.3 Advertisements and Marketing Pieces Content Review</w:t>
        </w:r>
        <w:r>
          <w:tab/>
        </w:r>
        <w:r>
          <w:fldChar w:fldCharType="begin"/>
        </w:r>
        <w:r>
          <w:instrText xml:space="preserve"> PAGEREF _Toc256000169 \h </w:instrText>
        </w:r>
        <w:r>
          <w:fldChar w:fldCharType="separate"/>
        </w:r>
        <w:r>
          <w:t>201</w:t>
        </w:r>
        <w:r>
          <w:fldChar w:fldCharType="end"/>
        </w:r>
      </w:hyperlink>
    </w:p>
    <w:p>
      <w:pPr>
        <w:pStyle w:val="TOC3"/>
        <w:tabs>
          <w:tab w:val="right" w:leader="dot" w:pos="9926"/>
        </w:tabs>
        <w:rPr>
          <w:rFonts w:ascii="Calibri" w:hAnsi="Calibri"/>
          <w:noProof/>
          <w:sz w:val="22"/>
        </w:rPr>
      </w:pPr>
      <w:hyperlink w:anchor="_Toc256000170" w:history="1">
        <w:r>
          <w:rPr>
            <w:rStyle w:val="Hyperlink"/>
          </w:rPr>
          <w:t>9.4.4 Types of Marketing Activities</w:t>
        </w:r>
        <w:r>
          <w:tab/>
        </w:r>
        <w:r>
          <w:fldChar w:fldCharType="begin"/>
        </w:r>
        <w:r>
          <w:instrText xml:space="preserve"> PAGEREF _Toc256000170 \h </w:instrText>
        </w:r>
        <w:r>
          <w:fldChar w:fldCharType="separate"/>
        </w:r>
        <w:r>
          <w:t>207</w:t>
        </w:r>
        <w:r>
          <w:fldChar w:fldCharType="end"/>
        </w:r>
      </w:hyperlink>
    </w:p>
    <w:p>
      <w:pPr>
        <w:pStyle w:val="TOC3"/>
        <w:tabs>
          <w:tab w:val="right" w:leader="dot" w:pos="9926"/>
        </w:tabs>
        <w:rPr>
          <w:rFonts w:ascii="Calibri" w:hAnsi="Calibri"/>
          <w:noProof/>
          <w:sz w:val="22"/>
        </w:rPr>
      </w:pPr>
      <w:hyperlink w:anchor="_Toc256000171" w:history="1">
        <w:r>
          <w:rPr>
            <w:rStyle w:val="Hyperlink"/>
          </w:rPr>
          <w:t>9.4.5 Marketing Piece Consistency</w:t>
        </w:r>
        <w:r>
          <w:tab/>
        </w:r>
        <w:r>
          <w:fldChar w:fldCharType="begin"/>
        </w:r>
        <w:r>
          <w:instrText xml:space="preserve"> PAGEREF _Toc256000171 \h </w:instrText>
        </w:r>
        <w:r>
          <w:fldChar w:fldCharType="separate"/>
        </w:r>
        <w:r>
          <w:t>214</w:t>
        </w:r>
        <w:r>
          <w:fldChar w:fldCharType="end"/>
        </w:r>
      </w:hyperlink>
    </w:p>
    <w:p>
      <w:pPr>
        <w:pStyle w:val="TOC3"/>
        <w:tabs>
          <w:tab w:val="right" w:leader="dot" w:pos="9926"/>
        </w:tabs>
        <w:rPr>
          <w:rFonts w:ascii="Calibri" w:hAnsi="Calibri"/>
          <w:noProof/>
          <w:sz w:val="22"/>
        </w:rPr>
      </w:pPr>
      <w:hyperlink w:anchor="_Toc256000172" w:history="1">
        <w:r>
          <w:rPr>
            <w:rStyle w:val="Hyperlink"/>
          </w:rPr>
          <w:t>9.4.6 Dually Registered Advisers</w:t>
        </w:r>
        <w:r>
          <w:tab/>
        </w:r>
        <w:r>
          <w:fldChar w:fldCharType="begin"/>
        </w:r>
        <w:r>
          <w:instrText xml:space="preserve"> PAGEREF _Toc256000172 \h </w:instrText>
        </w:r>
        <w:r>
          <w:fldChar w:fldCharType="separate"/>
        </w:r>
        <w:r>
          <w:t>215</w:t>
        </w:r>
        <w:r>
          <w:fldChar w:fldCharType="end"/>
        </w:r>
      </w:hyperlink>
    </w:p>
    <w:p>
      <w:pPr>
        <w:pStyle w:val="TOC3"/>
        <w:tabs>
          <w:tab w:val="right" w:leader="dot" w:pos="9926"/>
        </w:tabs>
        <w:rPr>
          <w:rFonts w:ascii="Calibri" w:hAnsi="Calibri"/>
          <w:noProof/>
          <w:sz w:val="22"/>
        </w:rPr>
      </w:pPr>
      <w:hyperlink w:anchor="_Toc256000173" w:history="1">
        <w:r>
          <w:rPr>
            <w:rStyle w:val="Hyperlink"/>
          </w:rPr>
          <w:t>9.4.7 Requests of Performance and Other Information by Consultants</w:t>
        </w:r>
        <w:r>
          <w:tab/>
        </w:r>
        <w:r>
          <w:fldChar w:fldCharType="begin"/>
        </w:r>
        <w:r>
          <w:instrText xml:space="preserve"> PAGEREF _Toc256000173 \h </w:instrText>
        </w:r>
        <w:r>
          <w:fldChar w:fldCharType="separate"/>
        </w:r>
        <w:r>
          <w:t>215</w:t>
        </w:r>
        <w:r>
          <w:fldChar w:fldCharType="end"/>
        </w:r>
      </w:hyperlink>
    </w:p>
    <w:p>
      <w:pPr>
        <w:pStyle w:val="TOC3"/>
        <w:tabs>
          <w:tab w:val="right" w:leader="dot" w:pos="9926"/>
        </w:tabs>
        <w:rPr>
          <w:rFonts w:ascii="Calibri" w:hAnsi="Calibri"/>
          <w:noProof/>
          <w:sz w:val="22"/>
        </w:rPr>
      </w:pPr>
      <w:hyperlink w:anchor="_Toc256000174" w:history="1">
        <w:r>
          <w:rPr>
            <w:rStyle w:val="Hyperlink"/>
          </w:rPr>
          <w:t>9.4.8 Client Verification Letters</w:t>
        </w:r>
        <w:r>
          <w:tab/>
        </w:r>
        <w:r>
          <w:fldChar w:fldCharType="begin"/>
        </w:r>
        <w:r>
          <w:instrText xml:space="preserve"> PAGEREF _Toc256000174 \h </w:instrText>
        </w:r>
        <w:r>
          <w:fldChar w:fldCharType="separate"/>
        </w:r>
        <w:r>
          <w:t>216</w:t>
        </w:r>
        <w:r>
          <w:fldChar w:fldCharType="end"/>
        </w:r>
      </w:hyperlink>
    </w:p>
    <w:p>
      <w:pPr>
        <w:pStyle w:val="TOC3"/>
        <w:tabs>
          <w:tab w:val="right" w:leader="dot" w:pos="9926"/>
        </w:tabs>
        <w:rPr>
          <w:rFonts w:ascii="Calibri" w:hAnsi="Calibri"/>
          <w:noProof/>
          <w:sz w:val="22"/>
        </w:rPr>
      </w:pPr>
      <w:hyperlink w:anchor="_Toc256000175" w:history="1">
        <w:r>
          <w:rPr>
            <w:rStyle w:val="Hyperlink"/>
          </w:rPr>
          <w:t>9.4.9 Third-Party Consultants</w:t>
        </w:r>
        <w:r>
          <w:tab/>
        </w:r>
        <w:r>
          <w:fldChar w:fldCharType="begin"/>
        </w:r>
        <w:r>
          <w:instrText xml:space="preserve"> PAGEREF _Toc256000175 \h </w:instrText>
        </w:r>
        <w:r>
          <w:fldChar w:fldCharType="separate"/>
        </w:r>
        <w:r>
          <w:t>216</w:t>
        </w:r>
        <w:r>
          <w:fldChar w:fldCharType="end"/>
        </w:r>
      </w:hyperlink>
    </w:p>
    <w:p>
      <w:pPr>
        <w:pStyle w:val="TOC2"/>
        <w:tabs>
          <w:tab w:val="right" w:leader="dot" w:pos="9926"/>
        </w:tabs>
        <w:rPr>
          <w:rFonts w:ascii="Calibri" w:hAnsi="Calibri"/>
          <w:noProof/>
          <w:sz w:val="22"/>
        </w:rPr>
      </w:pPr>
      <w:hyperlink w:anchor="_Toc256000176" w:history="1">
        <w:r>
          <w:rPr>
            <w:rStyle w:val="Hyperlink"/>
          </w:rPr>
          <w:t>9.5 Form ADV Disclosure</w:t>
        </w:r>
        <w:r>
          <w:tab/>
        </w:r>
        <w:r>
          <w:fldChar w:fldCharType="begin"/>
        </w:r>
        <w:r>
          <w:instrText xml:space="preserve"> PAGEREF _Toc256000176 \h </w:instrText>
        </w:r>
        <w:r>
          <w:fldChar w:fldCharType="separate"/>
        </w:r>
        <w:r>
          <w:t>216</w:t>
        </w:r>
        <w:r>
          <w:fldChar w:fldCharType="end"/>
        </w:r>
      </w:hyperlink>
    </w:p>
    <w:p>
      <w:pPr>
        <w:pStyle w:val="TOC2"/>
        <w:tabs>
          <w:tab w:val="right" w:leader="dot" w:pos="9926"/>
        </w:tabs>
        <w:rPr>
          <w:rFonts w:ascii="Calibri" w:hAnsi="Calibri"/>
          <w:noProof/>
          <w:sz w:val="22"/>
        </w:rPr>
      </w:pPr>
      <w:hyperlink w:anchor="_Toc256000177" w:history="1">
        <w:r>
          <w:rPr>
            <w:rStyle w:val="Hyperlink"/>
          </w:rPr>
          <w:t>9.6 Books and Records</w:t>
        </w:r>
        <w:r>
          <w:tab/>
        </w:r>
        <w:r>
          <w:fldChar w:fldCharType="begin"/>
        </w:r>
        <w:r>
          <w:instrText xml:space="preserve"> PAGEREF _Toc256000177 \h </w:instrText>
        </w:r>
        <w:r>
          <w:fldChar w:fldCharType="separate"/>
        </w:r>
        <w:r>
          <w:t>217</w:t>
        </w:r>
        <w:r>
          <w:fldChar w:fldCharType="end"/>
        </w:r>
      </w:hyperlink>
    </w:p>
    <w:p>
      <w:pPr>
        <w:pStyle w:val="TOC1"/>
        <w:tabs>
          <w:tab w:val="right" w:leader="dot" w:pos="9926"/>
        </w:tabs>
        <w:rPr>
          <w:rFonts w:ascii="Calibri" w:hAnsi="Calibri"/>
          <w:noProof/>
          <w:sz w:val="22"/>
        </w:rPr>
      </w:pPr>
      <w:hyperlink w:anchor="_Toc256000178" w:history="1">
        <w:r>
          <w:rPr>
            <w:rStyle w:val="Hyperlink"/>
          </w:rPr>
          <w:t>10 EMPLOYEES</w:t>
        </w:r>
        <w:r>
          <w:tab/>
        </w:r>
        <w:r>
          <w:fldChar w:fldCharType="begin"/>
        </w:r>
        <w:r>
          <w:instrText xml:space="preserve"> PAGEREF _Toc256000178 \h </w:instrText>
        </w:r>
        <w:r>
          <w:fldChar w:fldCharType="separate"/>
        </w:r>
        <w:r>
          <w:t>218</w:t>
        </w:r>
        <w:r>
          <w:fldChar w:fldCharType="end"/>
        </w:r>
      </w:hyperlink>
    </w:p>
    <w:p>
      <w:pPr>
        <w:pStyle w:val="TOC2"/>
        <w:tabs>
          <w:tab w:val="right" w:leader="dot" w:pos="9926"/>
        </w:tabs>
        <w:rPr>
          <w:rFonts w:ascii="Calibri" w:hAnsi="Calibri"/>
          <w:noProof/>
          <w:sz w:val="22"/>
        </w:rPr>
      </w:pPr>
      <w:hyperlink w:anchor="_Toc256000179" w:history="1">
        <w:r>
          <w:rPr>
            <w:rStyle w:val="Hyperlink"/>
          </w:rPr>
          <w:t>Introduction</w:t>
        </w:r>
        <w:r>
          <w:tab/>
        </w:r>
        <w:r>
          <w:fldChar w:fldCharType="begin"/>
        </w:r>
        <w:r>
          <w:instrText xml:space="preserve"> PAGEREF _Toc256000179 \h </w:instrText>
        </w:r>
        <w:r>
          <w:fldChar w:fldCharType="separate"/>
        </w:r>
        <w:r>
          <w:t>218</w:t>
        </w:r>
        <w:r>
          <w:fldChar w:fldCharType="end"/>
        </w:r>
      </w:hyperlink>
    </w:p>
    <w:p>
      <w:pPr>
        <w:pStyle w:val="TOC2"/>
        <w:tabs>
          <w:tab w:val="right" w:leader="dot" w:pos="9926"/>
        </w:tabs>
        <w:rPr>
          <w:rFonts w:ascii="Calibri" w:hAnsi="Calibri"/>
          <w:noProof/>
          <w:sz w:val="22"/>
        </w:rPr>
      </w:pPr>
      <w:hyperlink w:anchor="_Toc256000180" w:history="1">
        <w:r>
          <w:rPr>
            <w:rStyle w:val="Hyperlink"/>
          </w:rPr>
          <w:t>10.1 Compliance Reference Chart</w:t>
        </w:r>
        <w:r>
          <w:tab/>
        </w:r>
        <w:r>
          <w:fldChar w:fldCharType="begin"/>
        </w:r>
        <w:r>
          <w:instrText xml:space="preserve"> PAGEREF _Toc256000180 \h </w:instrText>
        </w:r>
        <w:r>
          <w:fldChar w:fldCharType="separate"/>
        </w:r>
        <w:r>
          <w:t>218</w:t>
        </w:r>
        <w:r>
          <w:fldChar w:fldCharType="end"/>
        </w:r>
      </w:hyperlink>
    </w:p>
    <w:p>
      <w:pPr>
        <w:pStyle w:val="TOC2"/>
        <w:tabs>
          <w:tab w:val="right" w:leader="dot" w:pos="9926"/>
        </w:tabs>
        <w:rPr>
          <w:rFonts w:ascii="Calibri" w:hAnsi="Calibri"/>
          <w:noProof/>
          <w:sz w:val="22"/>
        </w:rPr>
      </w:pPr>
      <w:hyperlink w:anchor="_Toc256000181" w:history="1">
        <w:r>
          <w:rPr>
            <w:rStyle w:val="Hyperlink"/>
          </w:rPr>
          <w:t>10.2 Policy</w:t>
        </w:r>
        <w:r>
          <w:tab/>
        </w:r>
        <w:r>
          <w:fldChar w:fldCharType="begin"/>
        </w:r>
        <w:r>
          <w:instrText xml:space="preserve"> PAGEREF _Toc256000181 \h </w:instrText>
        </w:r>
        <w:r>
          <w:fldChar w:fldCharType="separate"/>
        </w:r>
        <w:r>
          <w:t>219</w:t>
        </w:r>
        <w:r>
          <w:fldChar w:fldCharType="end"/>
        </w:r>
      </w:hyperlink>
    </w:p>
    <w:p>
      <w:pPr>
        <w:pStyle w:val="TOC2"/>
        <w:tabs>
          <w:tab w:val="right" w:leader="dot" w:pos="9926"/>
        </w:tabs>
        <w:rPr>
          <w:rFonts w:ascii="Calibri" w:hAnsi="Calibri"/>
          <w:noProof/>
          <w:sz w:val="22"/>
        </w:rPr>
      </w:pPr>
      <w:hyperlink w:anchor="_Toc256000182" w:history="1">
        <w:r>
          <w:rPr>
            <w:rStyle w:val="Hyperlink"/>
          </w:rPr>
          <w:t>10.3 Procedures</w:t>
        </w:r>
        <w:r>
          <w:tab/>
        </w:r>
        <w:r>
          <w:fldChar w:fldCharType="begin"/>
        </w:r>
        <w:r>
          <w:instrText xml:space="preserve"> PAGEREF _Toc256000182 \h </w:instrText>
        </w:r>
        <w:r>
          <w:fldChar w:fldCharType="separate"/>
        </w:r>
        <w:r>
          <w:t>219</w:t>
        </w:r>
        <w:r>
          <w:fldChar w:fldCharType="end"/>
        </w:r>
      </w:hyperlink>
    </w:p>
    <w:p>
      <w:pPr>
        <w:pStyle w:val="TOC3"/>
        <w:tabs>
          <w:tab w:val="right" w:leader="dot" w:pos="9926"/>
        </w:tabs>
        <w:rPr>
          <w:rFonts w:ascii="Calibri" w:hAnsi="Calibri"/>
          <w:noProof/>
          <w:sz w:val="22"/>
        </w:rPr>
      </w:pPr>
      <w:hyperlink w:anchor="_Toc256000183" w:history="1">
        <w:r>
          <w:rPr>
            <w:rStyle w:val="Hyperlink"/>
          </w:rPr>
          <w:t>10.3.1 New Employees</w:t>
        </w:r>
        <w:r>
          <w:tab/>
        </w:r>
        <w:r>
          <w:fldChar w:fldCharType="begin"/>
        </w:r>
        <w:r>
          <w:instrText xml:space="preserve"> PAGEREF _Toc256000183 \h </w:instrText>
        </w:r>
        <w:r>
          <w:fldChar w:fldCharType="separate"/>
        </w:r>
        <w:r>
          <w:t>219</w:t>
        </w:r>
        <w:r>
          <w:fldChar w:fldCharType="end"/>
        </w:r>
      </w:hyperlink>
    </w:p>
    <w:p>
      <w:pPr>
        <w:pStyle w:val="TOC3"/>
        <w:tabs>
          <w:tab w:val="right" w:leader="dot" w:pos="9926"/>
        </w:tabs>
        <w:rPr>
          <w:rFonts w:ascii="Calibri" w:hAnsi="Calibri"/>
          <w:noProof/>
          <w:sz w:val="22"/>
        </w:rPr>
      </w:pPr>
      <w:hyperlink w:anchor="_Toc256000184" w:history="1">
        <w:r>
          <w:rPr>
            <w:rStyle w:val="Hyperlink"/>
          </w:rPr>
          <w:t>10.3.2 Code of Ethics</w:t>
        </w:r>
        <w:r>
          <w:tab/>
        </w:r>
        <w:r>
          <w:fldChar w:fldCharType="begin"/>
        </w:r>
        <w:r>
          <w:instrText xml:space="preserve"> PAGEREF _Toc256000184 \h </w:instrText>
        </w:r>
        <w:r>
          <w:fldChar w:fldCharType="separate"/>
        </w:r>
        <w:r>
          <w:t>220</w:t>
        </w:r>
        <w:r>
          <w:fldChar w:fldCharType="end"/>
        </w:r>
      </w:hyperlink>
    </w:p>
    <w:p>
      <w:pPr>
        <w:pStyle w:val="TOC3"/>
        <w:tabs>
          <w:tab w:val="right" w:leader="dot" w:pos="9926"/>
        </w:tabs>
        <w:rPr>
          <w:rFonts w:ascii="Calibri" w:hAnsi="Calibri"/>
          <w:noProof/>
          <w:sz w:val="22"/>
        </w:rPr>
      </w:pPr>
      <w:hyperlink w:anchor="_Toc256000185" w:history="1">
        <w:r>
          <w:rPr>
            <w:rStyle w:val="Hyperlink"/>
          </w:rPr>
          <w:t>10.3.3 Insider Trading Procedures</w:t>
        </w:r>
        <w:r>
          <w:tab/>
        </w:r>
        <w:r>
          <w:fldChar w:fldCharType="begin"/>
        </w:r>
        <w:r>
          <w:instrText xml:space="preserve"> PAGEREF _Toc256000185 \h </w:instrText>
        </w:r>
        <w:r>
          <w:fldChar w:fldCharType="separate"/>
        </w:r>
        <w:r>
          <w:t>226</w:t>
        </w:r>
        <w:r>
          <w:fldChar w:fldCharType="end"/>
        </w:r>
      </w:hyperlink>
    </w:p>
    <w:p>
      <w:pPr>
        <w:pStyle w:val="TOC3"/>
        <w:tabs>
          <w:tab w:val="right" w:leader="dot" w:pos="9926"/>
        </w:tabs>
        <w:rPr>
          <w:rFonts w:ascii="Calibri" w:hAnsi="Calibri"/>
          <w:noProof/>
          <w:sz w:val="22"/>
        </w:rPr>
      </w:pPr>
      <w:hyperlink w:anchor="_Toc256000186" w:history="1">
        <w:r>
          <w:rPr>
            <w:rStyle w:val="Hyperlink"/>
          </w:rPr>
          <w:t>10.3.4 Outside Business Activities</w:t>
        </w:r>
        <w:r>
          <w:tab/>
        </w:r>
        <w:r>
          <w:fldChar w:fldCharType="begin"/>
        </w:r>
        <w:r>
          <w:instrText xml:space="preserve"> PAGEREF _Toc256000186 \h </w:instrText>
        </w:r>
        <w:r>
          <w:fldChar w:fldCharType="separate"/>
        </w:r>
        <w:r>
          <w:t>233</w:t>
        </w:r>
        <w:r>
          <w:fldChar w:fldCharType="end"/>
        </w:r>
      </w:hyperlink>
    </w:p>
    <w:p>
      <w:pPr>
        <w:pStyle w:val="TOC3"/>
        <w:tabs>
          <w:tab w:val="right" w:leader="dot" w:pos="9926"/>
        </w:tabs>
        <w:rPr>
          <w:rFonts w:ascii="Calibri" w:hAnsi="Calibri"/>
          <w:noProof/>
          <w:sz w:val="22"/>
        </w:rPr>
      </w:pPr>
      <w:hyperlink w:anchor="_Toc256000187" w:history="1">
        <w:r>
          <w:rPr>
            <w:rStyle w:val="Hyperlink"/>
          </w:rPr>
          <w:t>10.3.5 Designations</w:t>
        </w:r>
        <w:r>
          <w:tab/>
        </w:r>
        <w:r>
          <w:fldChar w:fldCharType="begin"/>
        </w:r>
        <w:r>
          <w:instrText xml:space="preserve"> PAGEREF _Toc256000187 \h </w:instrText>
        </w:r>
        <w:r>
          <w:fldChar w:fldCharType="separate"/>
        </w:r>
        <w:r>
          <w:t>234</w:t>
        </w:r>
        <w:r>
          <w:fldChar w:fldCharType="end"/>
        </w:r>
      </w:hyperlink>
    </w:p>
    <w:p>
      <w:pPr>
        <w:pStyle w:val="TOC3"/>
        <w:tabs>
          <w:tab w:val="right" w:leader="dot" w:pos="9926"/>
        </w:tabs>
        <w:rPr>
          <w:rFonts w:ascii="Calibri" w:hAnsi="Calibri"/>
          <w:noProof/>
          <w:sz w:val="22"/>
        </w:rPr>
      </w:pPr>
      <w:hyperlink w:anchor="_Toc256000188" w:history="1">
        <w:r>
          <w:rPr>
            <w:rStyle w:val="Hyperlink"/>
          </w:rPr>
          <w:t>10.3.6 Adviser Representative Prohibited Activities</w:t>
        </w:r>
        <w:r>
          <w:tab/>
        </w:r>
        <w:r>
          <w:fldChar w:fldCharType="begin"/>
        </w:r>
        <w:r>
          <w:instrText xml:space="preserve"> PAGEREF _Toc256000188 \h </w:instrText>
        </w:r>
        <w:r>
          <w:fldChar w:fldCharType="separate"/>
        </w:r>
        <w:r>
          <w:t>234</w:t>
        </w:r>
        <w:r>
          <w:fldChar w:fldCharType="end"/>
        </w:r>
      </w:hyperlink>
    </w:p>
    <w:p>
      <w:pPr>
        <w:pStyle w:val="TOC3"/>
        <w:tabs>
          <w:tab w:val="right" w:leader="dot" w:pos="9926"/>
        </w:tabs>
        <w:rPr>
          <w:rFonts w:ascii="Calibri" w:hAnsi="Calibri"/>
          <w:noProof/>
          <w:sz w:val="22"/>
        </w:rPr>
      </w:pPr>
      <w:hyperlink w:anchor="_Toc256000189" w:history="1">
        <w:r>
          <w:rPr>
            <w:rStyle w:val="Hyperlink"/>
          </w:rPr>
          <w:t>10.3.7 Legal or Regulatory Proceedings</w:t>
        </w:r>
        <w:r>
          <w:tab/>
        </w:r>
        <w:r>
          <w:fldChar w:fldCharType="begin"/>
        </w:r>
        <w:r>
          <w:instrText xml:space="preserve"> PAGEREF _Toc256000189 \h </w:instrText>
        </w:r>
        <w:r>
          <w:fldChar w:fldCharType="separate"/>
        </w:r>
        <w:r>
          <w:t>235</w:t>
        </w:r>
        <w:r>
          <w:fldChar w:fldCharType="end"/>
        </w:r>
      </w:hyperlink>
    </w:p>
    <w:p>
      <w:pPr>
        <w:pStyle w:val="TOC3"/>
        <w:tabs>
          <w:tab w:val="right" w:leader="dot" w:pos="9926"/>
        </w:tabs>
        <w:rPr>
          <w:rFonts w:ascii="Calibri" w:hAnsi="Calibri"/>
          <w:noProof/>
          <w:sz w:val="22"/>
        </w:rPr>
      </w:pPr>
      <w:hyperlink w:anchor="_Toc256000190" w:history="1">
        <w:r>
          <w:rPr>
            <w:rStyle w:val="Hyperlink"/>
          </w:rPr>
          <w:t>10.3.8 Unregistered Employees</w:t>
        </w:r>
        <w:r>
          <w:tab/>
        </w:r>
        <w:r>
          <w:fldChar w:fldCharType="begin"/>
        </w:r>
        <w:r>
          <w:instrText xml:space="preserve"> PAGEREF _Toc256000190 \h </w:instrText>
        </w:r>
        <w:r>
          <w:fldChar w:fldCharType="separate"/>
        </w:r>
        <w:r>
          <w:t>236</w:t>
        </w:r>
        <w:r>
          <w:fldChar w:fldCharType="end"/>
        </w:r>
      </w:hyperlink>
    </w:p>
    <w:p>
      <w:pPr>
        <w:pStyle w:val="TOC3"/>
        <w:tabs>
          <w:tab w:val="right" w:leader="dot" w:pos="9926"/>
        </w:tabs>
        <w:rPr>
          <w:rFonts w:ascii="Calibri" w:hAnsi="Calibri"/>
          <w:noProof/>
          <w:sz w:val="22"/>
        </w:rPr>
      </w:pPr>
      <w:hyperlink w:anchor="_Toc256000191" w:history="1">
        <w:r>
          <w:rPr>
            <w:rStyle w:val="Hyperlink"/>
          </w:rPr>
          <w:t>10.3.9 Employees Who Are Registered Representatives of Broker-Dealers</w:t>
        </w:r>
        <w:r>
          <w:tab/>
        </w:r>
        <w:r>
          <w:fldChar w:fldCharType="begin"/>
        </w:r>
        <w:r>
          <w:instrText xml:space="preserve"> PAGEREF _Toc256000191 \h </w:instrText>
        </w:r>
        <w:r>
          <w:fldChar w:fldCharType="separate"/>
        </w:r>
        <w:r>
          <w:t>237</w:t>
        </w:r>
        <w:r>
          <w:fldChar w:fldCharType="end"/>
        </w:r>
      </w:hyperlink>
    </w:p>
    <w:p>
      <w:pPr>
        <w:pStyle w:val="TOC3"/>
        <w:tabs>
          <w:tab w:val="right" w:leader="dot" w:pos="9926"/>
        </w:tabs>
        <w:rPr>
          <w:rFonts w:ascii="Calibri" w:hAnsi="Calibri"/>
          <w:noProof/>
          <w:sz w:val="22"/>
        </w:rPr>
      </w:pPr>
      <w:hyperlink w:anchor="_Toc256000192" w:history="1">
        <w:r>
          <w:rPr>
            <w:rStyle w:val="Hyperlink"/>
          </w:rPr>
          <w:t>10.3.10 Electronic Communications</w:t>
        </w:r>
        <w:r>
          <w:tab/>
        </w:r>
        <w:r>
          <w:fldChar w:fldCharType="begin"/>
        </w:r>
        <w:r>
          <w:instrText xml:space="preserve"> PAGEREF _Toc256000192 \h </w:instrText>
        </w:r>
        <w:r>
          <w:fldChar w:fldCharType="separate"/>
        </w:r>
        <w:r>
          <w:t>237</w:t>
        </w:r>
        <w:r>
          <w:fldChar w:fldCharType="end"/>
        </w:r>
      </w:hyperlink>
    </w:p>
    <w:p>
      <w:pPr>
        <w:pStyle w:val="TOC3"/>
        <w:tabs>
          <w:tab w:val="right" w:leader="dot" w:pos="9926"/>
        </w:tabs>
        <w:rPr>
          <w:rFonts w:ascii="Calibri" w:hAnsi="Calibri"/>
          <w:noProof/>
          <w:sz w:val="22"/>
        </w:rPr>
      </w:pPr>
      <w:hyperlink w:anchor="_Toc256000193" w:history="1">
        <w:r>
          <w:rPr>
            <w:rStyle w:val="Hyperlink"/>
          </w:rPr>
          <w:t>10.3.11 Gift and Entertainment Policy</w:t>
        </w:r>
        <w:r>
          <w:tab/>
        </w:r>
        <w:r>
          <w:fldChar w:fldCharType="begin"/>
        </w:r>
        <w:r>
          <w:instrText xml:space="preserve"> PAGEREF _Toc256000193 \h </w:instrText>
        </w:r>
        <w:r>
          <w:fldChar w:fldCharType="separate"/>
        </w:r>
        <w:r>
          <w:t>243</w:t>
        </w:r>
        <w:r>
          <w:fldChar w:fldCharType="end"/>
        </w:r>
      </w:hyperlink>
    </w:p>
    <w:p>
      <w:pPr>
        <w:pStyle w:val="TOC3"/>
        <w:tabs>
          <w:tab w:val="right" w:leader="dot" w:pos="9926"/>
        </w:tabs>
        <w:rPr>
          <w:rFonts w:ascii="Calibri" w:hAnsi="Calibri"/>
          <w:noProof/>
          <w:sz w:val="22"/>
        </w:rPr>
      </w:pPr>
      <w:hyperlink w:anchor="_Toc256000194" w:history="1">
        <w:r>
          <w:rPr>
            <w:rStyle w:val="Hyperlink"/>
          </w:rPr>
          <w:t>10.3.12 Foreign Anti-Corruption Policy</w:t>
        </w:r>
        <w:r>
          <w:tab/>
        </w:r>
        <w:r>
          <w:fldChar w:fldCharType="begin"/>
        </w:r>
        <w:r>
          <w:instrText xml:space="preserve"> PAGEREF _Toc256000194 \h </w:instrText>
        </w:r>
        <w:r>
          <w:fldChar w:fldCharType="separate"/>
        </w:r>
        <w:r>
          <w:t>248</w:t>
        </w:r>
        <w:r>
          <w:fldChar w:fldCharType="end"/>
        </w:r>
      </w:hyperlink>
    </w:p>
    <w:p>
      <w:pPr>
        <w:pStyle w:val="TOC3"/>
        <w:tabs>
          <w:tab w:val="right" w:leader="dot" w:pos="9926"/>
        </w:tabs>
        <w:rPr>
          <w:rFonts w:ascii="Calibri" w:hAnsi="Calibri"/>
          <w:noProof/>
          <w:sz w:val="22"/>
        </w:rPr>
      </w:pPr>
      <w:hyperlink w:anchor="_Toc256000195" w:history="1">
        <w:r>
          <w:rPr>
            <w:rStyle w:val="Hyperlink"/>
          </w:rPr>
          <w:t>10.3.13 Terminated Employees, Officers and Directors</w:t>
        </w:r>
        <w:r>
          <w:tab/>
        </w:r>
        <w:r>
          <w:fldChar w:fldCharType="begin"/>
        </w:r>
        <w:r>
          <w:instrText xml:space="preserve"> PAGEREF _Toc256000195 \h </w:instrText>
        </w:r>
        <w:r>
          <w:fldChar w:fldCharType="separate"/>
        </w:r>
        <w:r>
          <w:t>251</w:t>
        </w:r>
        <w:r>
          <w:fldChar w:fldCharType="end"/>
        </w:r>
      </w:hyperlink>
    </w:p>
    <w:p>
      <w:pPr>
        <w:pStyle w:val="TOC3"/>
        <w:tabs>
          <w:tab w:val="right" w:leader="dot" w:pos="9926"/>
        </w:tabs>
        <w:rPr>
          <w:rFonts w:ascii="Calibri" w:hAnsi="Calibri"/>
          <w:noProof/>
          <w:sz w:val="22"/>
        </w:rPr>
      </w:pPr>
      <w:hyperlink w:anchor="_Toc256000196" w:history="1">
        <w:r>
          <w:rPr>
            <w:rStyle w:val="Hyperlink"/>
          </w:rPr>
          <w:t>10.3.14 Employee, Officer and Director Information</w:t>
        </w:r>
        <w:r>
          <w:tab/>
        </w:r>
        <w:r>
          <w:fldChar w:fldCharType="begin"/>
        </w:r>
        <w:r>
          <w:instrText xml:space="preserve"> PAGEREF _Toc256000196 \h </w:instrText>
        </w:r>
        <w:r>
          <w:fldChar w:fldCharType="separate"/>
        </w:r>
        <w:r>
          <w:t>251</w:t>
        </w:r>
        <w:r>
          <w:fldChar w:fldCharType="end"/>
        </w:r>
      </w:hyperlink>
    </w:p>
    <w:p>
      <w:pPr>
        <w:pStyle w:val="TOC3"/>
        <w:tabs>
          <w:tab w:val="right" w:leader="dot" w:pos="9926"/>
        </w:tabs>
        <w:rPr>
          <w:rFonts w:ascii="Calibri" w:hAnsi="Calibri"/>
          <w:noProof/>
          <w:sz w:val="22"/>
        </w:rPr>
      </w:pPr>
      <w:hyperlink w:anchor="_Toc256000197" w:history="1">
        <w:r>
          <w:rPr>
            <w:rStyle w:val="Hyperlink"/>
          </w:rPr>
          <w:t>10.3.15 Pay-to-Play Activities</w:t>
        </w:r>
        <w:r>
          <w:tab/>
        </w:r>
        <w:r>
          <w:fldChar w:fldCharType="begin"/>
        </w:r>
        <w:r>
          <w:instrText xml:space="preserve"> PAGEREF _Toc256000197 \h </w:instrText>
        </w:r>
        <w:r>
          <w:fldChar w:fldCharType="separate"/>
        </w:r>
        <w:r>
          <w:t>251</w:t>
        </w:r>
        <w:r>
          <w:fldChar w:fldCharType="end"/>
        </w:r>
      </w:hyperlink>
    </w:p>
    <w:p>
      <w:pPr>
        <w:pStyle w:val="TOC3"/>
        <w:tabs>
          <w:tab w:val="right" w:leader="dot" w:pos="9926"/>
        </w:tabs>
        <w:rPr>
          <w:rFonts w:ascii="Calibri" w:hAnsi="Calibri"/>
          <w:noProof/>
          <w:sz w:val="22"/>
        </w:rPr>
      </w:pPr>
      <w:hyperlink w:anchor="_Toc256000198" w:history="1">
        <w:r>
          <w:rPr>
            <w:rStyle w:val="Hyperlink"/>
          </w:rPr>
          <w:t>10.3.16 Social Media Procedures</w:t>
        </w:r>
        <w:r>
          <w:tab/>
        </w:r>
        <w:r>
          <w:fldChar w:fldCharType="begin"/>
        </w:r>
        <w:r>
          <w:instrText xml:space="preserve"> PAGEREF _Toc256000198 \h </w:instrText>
        </w:r>
        <w:r>
          <w:fldChar w:fldCharType="separate"/>
        </w:r>
        <w:r>
          <w:t>260</w:t>
        </w:r>
        <w:r>
          <w:fldChar w:fldCharType="end"/>
        </w:r>
      </w:hyperlink>
    </w:p>
    <w:p>
      <w:pPr>
        <w:pStyle w:val="TOC3"/>
        <w:tabs>
          <w:tab w:val="right" w:leader="dot" w:pos="9926"/>
        </w:tabs>
        <w:rPr>
          <w:rFonts w:ascii="Calibri" w:hAnsi="Calibri"/>
          <w:noProof/>
          <w:sz w:val="22"/>
        </w:rPr>
      </w:pPr>
      <w:hyperlink w:anchor="_Toc256000199" w:history="1">
        <w:r>
          <w:rPr>
            <w:rStyle w:val="Hyperlink"/>
          </w:rPr>
          <w:t>10.3.17 Annual Personnel Review</w:t>
        </w:r>
        <w:r>
          <w:tab/>
        </w:r>
        <w:r>
          <w:fldChar w:fldCharType="begin"/>
        </w:r>
        <w:r>
          <w:instrText xml:space="preserve"> PAGEREF _Toc256000199 \h </w:instrText>
        </w:r>
        <w:r>
          <w:fldChar w:fldCharType="separate"/>
        </w:r>
        <w:r>
          <w:t>264</w:t>
        </w:r>
        <w:r>
          <w:fldChar w:fldCharType="end"/>
        </w:r>
      </w:hyperlink>
    </w:p>
    <w:p>
      <w:pPr>
        <w:pStyle w:val="TOC3"/>
        <w:tabs>
          <w:tab w:val="right" w:leader="dot" w:pos="9926"/>
        </w:tabs>
        <w:rPr>
          <w:rFonts w:ascii="Calibri" w:hAnsi="Calibri"/>
          <w:noProof/>
          <w:sz w:val="22"/>
        </w:rPr>
      </w:pPr>
      <w:hyperlink w:anchor="_Toc256000200" w:history="1">
        <w:r>
          <w:rPr>
            <w:rStyle w:val="Hyperlink"/>
          </w:rPr>
          <w:t>10.3.18 Whistleblowers</w:t>
        </w:r>
        <w:r>
          <w:tab/>
        </w:r>
        <w:r>
          <w:fldChar w:fldCharType="begin"/>
        </w:r>
        <w:r>
          <w:instrText xml:space="preserve"> PAGEREF _Toc256000200 \h </w:instrText>
        </w:r>
        <w:r>
          <w:fldChar w:fldCharType="separate"/>
        </w:r>
        <w:r>
          <w:t>265</w:t>
        </w:r>
        <w:r>
          <w:fldChar w:fldCharType="end"/>
        </w:r>
      </w:hyperlink>
    </w:p>
    <w:p>
      <w:pPr>
        <w:pStyle w:val="TOC3"/>
        <w:tabs>
          <w:tab w:val="right" w:leader="dot" w:pos="9926"/>
        </w:tabs>
        <w:rPr>
          <w:rFonts w:ascii="Calibri" w:hAnsi="Calibri"/>
          <w:noProof/>
          <w:sz w:val="22"/>
        </w:rPr>
      </w:pPr>
      <w:hyperlink w:anchor="_Toc256000201" w:history="1">
        <w:r>
          <w:rPr>
            <w:rStyle w:val="Hyperlink"/>
          </w:rPr>
          <w:t>10.3.19 Firm Disciplinary Actions</w:t>
        </w:r>
        <w:r>
          <w:tab/>
        </w:r>
        <w:r>
          <w:fldChar w:fldCharType="begin"/>
        </w:r>
        <w:r>
          <w:instrText xml:space="preserve"> PAGEREF _Toc256000201 \h </w:instrText>
        </w:r>
        <w:r>
          <w:fldChar w:fldCharType="separate"/>
        </w:r>
        <w:r>
          <w:t>267</w:t>
        </w:r>
        <w:r>
          <w:fldChar w:fldCharType="end"/>
        </w:r>
      </w:hyperlink>
    </w:p>
    <w:p>
      <w:pPr>
        <w:pStyle w:val="TOC3"/>
        <w:tabs>
          <w:tab w:val="right" w:leader="dot" w:pos="9926"/>
        </w:tabs>
        <w:rPr>
          <w:rFonts w:ascii="Calibri" w:hAnsi="Calibri"/>
          <w:noProof/>
          <w:sz w:val="22"/>
        </w:rPr>
      </w:pPr>
      <w:hyperlink w:anchor="_Toc256000202" w:history="1">
        <w:r>
          <w:rPr>
            <w:rStyle w:val="Hyperlink"/>
          </w:rPr>
          <w:t>10.3.20 Alternative Data</w:t>
        </w:r>
        <w:r>
          <w:tab/>
        </w:r>
        <w:r>
          <w:fldChar w:fldCharType="begin"/>
        </w:r>
        <w:r>
          <w:instrText xml:space="preserve"> PAGEREF _Toc256000202 \h </w:instrText>
        </w:r>
        <w:r>
          <w:fldChar w:fldCharType="separate"/>
        </w:r>
        <w:r>
          <w:t>268</w:t>
        </w:r>
        <w:r>
          <w:fldChar w:fldCharType="end"/>
        </w:r>
      </w:hyperlink>
    </w:p>
    <w:p>
      <w:pPr>
        <w:pStyle w:val="TOC3"/>
        <w:tabs>
          <w:tab w:val="right" w:leader="dot" w:pos="9926"/>
        </w:tabs>
        <w:rPr>
          <w:rFonts w:ascii="Calibri" w:hAnsi="Calibri"/>
          <w:noProof/>
          <w:sz w:val="22"/>
        </w:rPr>
      </w:pPr>
      <w:hyperlink w:anchor="_Toc256000203" w:history="1">
        <w:r>
          <w:rPr>
            <w:rStyle w:val="Hyperlink"/>
          </w:rPr>
          <w:t>10.3.21 Value Added Clients</w:t>
        </w:r>
        <w:r>
          <w:tab/>
        </w:r>
        <w:r>
          <w:fldChar w:fldCharType="begin"/>
        </w:r>
        <w:r>
          <w:instrText xml:space="preserve"> PAGEREF _Toc256000203 \h </w:instrText>
        </w:r>
        <w:r>
          <w:fldChar w:fldCharType="separate"/>
        </w:r>
        <w:r>
          <w:t>268</w:t>
        </w:r>
        <w:r>
          <w:fldChar w:fldCharType="end"/>
        </w:r>
      </w:hyperlink>
    </w:p>
    <w:p>
      <w:pPr>
        <w:pStyle w:val="TOC3"/>
        <w:tabs>
          <w:tab w:val="right" w:leader="dot" w:pos="9926"/>
        </w:tabs>
        <w:rPr>
          <w:rFonts w:ascii="Calibri" w:hAnsi="Calibri"/>
          <w:noProof/>
          <w:sz w:val="22"/>
        </w:rPr>
      </w:pPr>
      <w:hyperlink w:anchor="_Toc256000204" w:history="1">
        <w:r>
          <w:rPr>
            <w:rStyle w:val="Hyperlink"/>
          </w:rPr>
          <w:t>10.3.22 Offboarding and Former Employees</w:t>
        </w:r>
        <w:r>
          <w:tab/>
        </w:r>
        <w:r>
          <w:fldChar w:fldCharType="begin"/>
        </w:r>
        <w:r>
          <w:instrText xml:space="preserve"> PAGEREF _Toc256000204 \h </w:instrText>
        </w:r>
        <w:r>
          <w:fldChar w:fldCharType="separate"/>
        </w:r>
        <w:r>
          <w:t>269</w:t>
        </w:r>
        <w:r>
          <w:fldChar w:fldCharType="end"/>
        </w:r>
      </w:hyperlink>
    </w:p>
    <w:p>
      <w:pPr>
        <w:pStyle w:val="TOC2"/>
        <w:tabs>
          <w:tab w:val="right" w:leader="dot" w:pos="9926"/>
        </w:tabs>
        <w:rPr>
          <w:rFonts w:ascii="Calibri" w:hAnsi="Calibri"/>
          <w:noProof/>
          <w:sz w:val="22"/>
        </w:rPr>
      </w:pPr>
      <w:hyperlink w:anchor="_Toc256000205" w:history="1">
        <w:r>
          <w:rPr>
            <w:rStyle w:val="Hyperlink"/>
          </w:rPr>
          <w:t>10.4 Form ADV Disclosure</w:t>
        </w:r>
        <w:r>
          <w:tab/>
        </w:r>
        <w:r>
          <w:fldChar w:fldCharType="begin"/>
        </w:r>
        <w:r>
          <w:instrText xml:space="preserve"> PAGEREF _Toc256000205 \h </w:instrText>
        </w:r>
        <w:r>
          <w:fldChar w:fldCharType="separate"/>
        </w:r>
        <w:r>
          <w:t>269</w:t>
        </w:r>
        <w:r>
          <w:fldChar w:fldCharType="end"/>
        </w:r>
      </w:hyperlink>
    </w:p>
    <w:p>
      <w:pPr>
        <w:pStyle w:val="TOC2"/>
        <w:tabs>
          <w:tab w:val="right" w:leader="dot" w:pos="9926"/>
        </w:tabs>
        <w:rPr>
          <w:rFonts w:ascii="Calibri" w:hAnsi="Calibri"/>
          <w:noProof/>
          <w:sz w:val="22"/>
        </w:rPr>
      </w:pPr>
      <w:hyperlink w:anchor="_Toc256000206" w:history="1">
        <w:r>
          <w:rPr>
            <w:rStyle w:val="Hyperlink"/>
          </w:rPr>
          <w:t>10.5 Books and Records</w:t>
        </w:r>
        <w:r>
          <w:tab/>
        </w:r>
        <w:r>
          <w:fldChar w:fldCharType="begin"/>
        </w:r>
        <w:r>
          <w:instrText xml:space="preserve"> PAGEREF _Toc256000206 \h </w:instrText>
        </w:r>
        <w:r>
          <w:fldChar w:fldCharType="separate"/>
        </w:r>
        <w:r>
          <w:t>269</w:t>
        </w:r>
        <w:r>
          <w:fldChar w:fldCharType="end"/>
        </w:r>
      </w:hyperlink>
    </w:p>
    <w:p>
      <w:pPr>
        <w:pStyle w:val="TOC3"/>
        <w:tabs>
          <w:tab w:val="right" w:leader="dot" w:pos="9926"/>
        </w:tabs>
        <w:rPr>
          <w:rFonts w:ascii="Calibri" w:hAnsi="Calibri"/>
          <w:noProof/>
          <w:sz w:val="22"/>
        </w:rPr>
      </w:pPr>
      <w:hyperlink w:anchor="_Toc256000207" w:history="1">
        <w:r>
          <w:rPr>
            <w:rStyle w:val="Hyperlink"/>
          </w:rPr>
          <w:t>10.5.1 Code of Ethics Records</w:t>
        </w:r>
        <w:r>
          <w:tab/>
        </w:r>
        <w:r>
          <w:fldChar w:fldCharType="begin"/>
        </w:r>
        <w:r>
          <w:instrText xml:space="preserve"> PAGEREF _Toc256000207 \h </w:instrText>
        </w:r>
        <w:r>
          <w:fldChar w:fldCharType="separate"/>
        </w:r>
        <w:r>
          <w:t>269</w:t>
        </w:r>
        <w:r>
          <w:fldChar w:fldCharType="end"/>
        </w:r>
      </w:hyperlink>
    </w:p>
    <w:p>
      <w:pPr>
        <w:pStyle w:val="TOC3"/>
        <w:tabs>
          <w:tab w:val="right" w:leader="dot" w:pos="9926"/>
        </w:tabs>
        <w:rPr>
          <w:rFonts w:ascii="Calibri" w:hAnsi="Calibri"/>
          <w:noProof/>
          <w:sz w:val="22"/>
        </w:rPr>
      </w:pPr>
      <w:hyperlink w:anchor="_Toc256000208" w:history="1">
        <w:r>
          <w:rPr>
            <w:rStyle w:val="Hyperlink"/>
          </w:rPr>
          <w:t>10.5.2 Employee Records</w:t>
        </w:r>
        <w:r>
          <w:tab/>
        </w:r>
        <w:r>
          <w:fldChar w:fldCharType="begin"/>
        </w:r>
        <w:r>
          <w:instrText xml:space="preserve"> PAGEREF _Toc256000208 \h </w:instrText>
        </w:r>
        <w:r>
          <w:fldChar w:fldCharType="separate"/>
        </w:r>
        <w:r>
          <w:t>270</w:t>
        </w:r>
        <w:r>
          <w:fldChar w:fldCharType="end"/>
        </w:r>
      </w:hyperlink>
    </w:p>
    <w:p>
      <w:pPr>
        <w:pStyle w:val="TOC3"/>
        <w:tabs>
          <w:tab w:val="right" w:leader="dot" w:pos="9926"/>
        </w:tabs>
        <w:rPr>
          <w:rFonts w:ascii="Calibri" w:hAnsi="Calibri"/>
          <w:noProof/>
          <w:sz w:val="22"/>
        </w:rPr>
      </w:pPr>
      <w:hyperlink w:anchor="_Toc256000209" w:history="1">
        <w:r>
          <w:rPr>
            <w:rStyle w:val="Hyperlink"/>
          </w:rPr>
          <w:t>10.5.3 Pay-to-Play Records</w:t>
        </w:r>
        <w:r>
          <w:tab/>
        </w:r>
        <w:r>
          <w:fldChar w:fldCharType="begin"/>
        </w:r>
        <w:r>
          <w:instrText xml:space="preserve"> PAGEREF _Toc256000209 \h </w:instrText>
        </w:r>
        <w:r>
          <w:fldChar w:fldCharType="separate"/>
        </w:r>
        <w:r>
          <w:t>270</w:t>
        </w:r>
        <w:r>
          <w:fldChar w:fldCharType="end"/>
        </w:r>
      </w:hyperlink>
    </w:p>
    <w:p>
      <w:pPr>
        <w:pStyle w:val="TOC1"/>
        <w:tabs>
          <w:tab w:val="right" w:leader="dot" w:pos="9926"/>
        </w:tabs>
        <w:rPr>
          <w:rFonts w:ascii="Calibri" w:hAnsi="Calibri"/>
          <w:noProof/>
          <w:sz w:val="22"/>
        </w:rPr>
      </w:pPr>
      <w:hyperlink w:anchor="_Toc256000210" w:history="1">
        <w:r>
          <w:rPr>
            <w:rStyle w:val="Hyperlink"/>
          </w:rPr>
          <w:t>11 REGISTRATION AND FILINGS</w:t>
        </w:r>
        <w:r>
          <w:tab/>
        </w:r>
        <w:r>
          <w:fldChar w:fldCharType="begin"/>
        </w:r>
        <w:r>
          <w:instrText xml:space="preserve"> PAGEREF _Toc256000210 \h </w:instrText>
        </w:r>
        <w:r>
          <w:fldChar w:fldCharType="separate"/>
        </w:r>
        <w:r>
          <w:t>272</w:t>
        </w:r>
        <w:r>
          <w:fldChar w:fldCharType="end"/>
        </w:r>
      </w:hyperlink>
    </w:p>
    <w:p>
      <w:pPr>
        <w:pStyle w:val="TOC2"/>
        <w:tabs>
          <w:tab w:val="right" w:leader="dot" w:pos="9926"/>
        </w:tabs>
        <w:rPr>
          <w:rFonts w:ascii="Calibri" w:hAnsi="Calibri"/>
          <w:noProof/>
          <w:sz w:val="22"/>
        </w:rPr>
      </w:pPr>
      <w:hyperlink w:anchor="_Toc256000211" w:history="1">
        <w:r>
          <w:rPr>
            <w:rStyle w:val="Hyperlink"/>
          </w:rPr>
          <w:t>Introduction</w:t>
        </w:r>
        <w:r>
          <w:tab/>
        </w:r>
        <w:r>
          <w:fldChar w:fldCharType="begin"/>
        </w:r>
        <w:r>
          <w:instrText xml:space="preserve"> PAGEREF _Toc256000211 \h </w:instrText>
        </w:r>
        <w:r>
          <w:fldChar w:fldCharType="separate"/>
        </w:r>
        <w:r>
          <w:t>272</w:t>
        </w:r>
        <w:r>
          <w:fldChar w:fldCharType="end"/>
        </w:r>
      </w:hyperlink>
    </w:p>
    <w:p>
      <w:pPr>
        <w:pStyle w:val="TOC2"/>
        <w:tabs>
          <w:tab w:val="right" w:leader="dot" w:pos="9926"/>
        </w:tabs>
        <w:rPr>
          <w:rFonts w:ascii="Calibri" w:hAnsi="Calibri"/>
          <w:noProof/>
          <w:sz w:val="22"/>
        </w:rPr>
      </w:pPr>
      <w:hyperlink w:anchor="_Toc256000212" w:history="1">
        <w:r>
          <w:rPr>
            <w:rStyle w:val="Hyperlink"/>
          </w:rPr>
          <w:t>11.1 Compliance Reference Chart</w:t>
        </w:r>
        <w:r>
          <w:tab/>
        </w:r>
        <w:r>
          <w:fldChar w:fldCharType="begin"/>
        </w:r>
        <w:r>
          <w:instrText xml:space="preserve"> PAGEREF _Toc256000212 \h </w:instrText>
        </w:r>
        <w:r>
          <w:fldChar w:fldCharType="separate"/>
        </w:r>
        <w:r>
          <w:t>273</w:t>
        </w:r>
        <w:r>
          <w:fldChar w:fldCharType="end"/>
        </w:r>
      </w:hyperlink>
    </w:p>
    <w:p>
      <w:pPr>
        <w:pStyle w:val="TOC2"/>
        <w:tabs>
          <w:tab w:val="right" w:leader="dot" w:pos="9926"/>
        </w:tabs>
        <w:rPr>
          <w:rFonts w:ascii="Calibri" w:hAnsi="Calibri"/>
          <w:noProof/>
          <w:sz w:val="22"/>
        </w:rPr>
      </w:pPr>
      <w:hyperlink w:anchor="_Toc256000213" w:history="1">
        <w:r>
          <w:rPr>
            <w:rStyle w:val="Hyperlink"/>
          </w:rPr>
          <w:t>11.2 Policy</w:t>
        </w:r>
        <w:r>
          <w:tab/>
        </w:r>
        <w:r>
          <w:fldChar w:fldCharType="begin"/>
        </w:r>
        <w:r>
          <w:instrText xml:space="preserve"> PAGEREF _Toc256000213 \h </w:instrText>
        </w:r>
        <w:r>
          <w:fldChar w:fldCharType="separate"/>
        </w:r>
        <w:r>
          <w:t>273</w:t>
        </w:r>
        <w:r>
          <w:fldChar w:fldCharType="end"/>
        </w:r>
      </w:hyperlink>
    </w:p>
    <w:p>
      <w:pPr>
        <w:pStyle w:val="TOC2"/>
        <w:tabs>
          <w:tab w:val="right" w:leader="dot" w:pos="9926"/>
        </w:tabs>
        <w:rPr>
          <w:rFonts w:ascii="Calibri" w:hAnsi="Calibri"/>
          <w:noProof/>
          <w:sz w:val="22"/>
        </w:rPr>
      </w:pPr>
      <w:hyperlink w:anchor="_Toc256000214" w:history="1">
        <w:r>
          <w:rPr>
            <w:rStyle w:val="Hyperlink"/>
          </w:rPr>
          <w:t>11.3 Procedures</w:t>
        </w:r>
        <w:r>
          <w:tab/>
        </w:r>
        <w:r>
          <w:fldChar w:fldCharType="begin"/>
        </w:r>
        <w:r>
          <w:instrText xml:space="preserve"> PAGEREF _Toc256000214 \h </w:instrText>
        </w:r>
        <w:r>
          <w:fldChar w:fldCharType="separate"/>
        </w:r>
        <w:r>
          <w:t>274</w:t>
        </w:r>
        <w:r>
          <w:fldChar w:fldCharType="end"/>
        </w:r>
      </w:hyperlink>
    </w:p>
    <w:p>
      <w:pPr>
        <w:pStyle w:val="TOC3"/>
        <w:tabs>
          <w:tab w:val="right" w:leader="dot" w:pos="9926"/>
        </w:tabs>
        <w:rPr>
          <w:rFonts w:ascii="Calibri" w:hAnsi="Calibri"/>
          <w:noProof/>
          <w:sz w:val="22"/>
        </w:rPr>
      </w:pPr>
      <w:hyperlink w:anchor="_Toc256000215" w:history="1">
        <w:r>
          <w:rPr>
            <w:rStyle w:val="Hyperlink"/>
          </w:rPr>
          <w:t>11.3.1 Investment Adviser Status</w:t>
        </w:r>
        <w:r>
          <w:tab/>
        </w:r>
        <w:r>
          <w:fldChar w:fldCharType="begin"/>
        </w:r>
        <w:r>
          <w:instrText xml:space="preserve"> PAGEREF _Toc256000215 \h </w:instrText>
        </w:r>
        <w:r>
          <w:fldChar w:fldCharType="separate"/>
        </w:r>
        <w:r>
          <w:t>274</w:t>
        </w:r>
        <w:r>
          <w:fldChar w:fldCharType="end"/>
        </w:r>
      </w:hyperlink>
    </w:p>
    <w:p>
      <w:pPr>
        <w:pStyle w:val="TOC3"/>
        <w:tabs>
          <w:tab w:val="right" w:leader="dot" w:pos="9926"/>
        </w:tabs>
        <w:rPr>
          <w:rFonts w:ascii="Calibri" w:hAnsi="Calibri"/>
          <w:noProof/>
          <w:sz w:val="22"/>
        </w:rPr>
      </w:pPr>
      <w:hyperlink w:anchor="_Toc256000216" w:history="1">
        <w:r>
          <w:rPr>
            <w:rStyle w:val="Hyperlink"/>
          </w:rPr>
          <w:t>11.3.2 SEC vs. State Registration and AUM Calculation</w:t>
        </w:r>
        <w:r>
          <w:tab/>
        </w:r>
        <w:r>
          <w:fldChar w:fldCharType="begin"/>
        </w:r>
        <w:r>
          <w:instrText xml:space="preserve"> PAGEREF _Toc256000216 \h </w:instrText>
        </w:r>
        <w:r>
          <w:fldChar w:fldCharType="separate"/>
        </w:r>
        <w:r>
          <w:t>281</w:t>
        </w:r>
        <w:r>
          <w:fldChar w:fldCharType="end"/>
        </w:r>
      </w:hyperlink>
    </w:p>
    <w:p>
      <w:pPr>
        <w:pStyle w:val="TOC3"/>
        <w:tabs>
          <w:tab w:val="right" w:leader="dot" w:pos="9926"/>
        </w:tabs>
        <w:rPr>
          <w:rFonts w:ascii="Calibri" w:hAnsi="Calibri"/>
          <w:noProof/>
          <w:sz w:val="22"/>
        </w:rPr>
      </w:pPr>
      <w:hyperlink w:anchor="_Toc256000217" w:history="1">
        <w:r>
          <w:rPr>
            <w:rStyle w:val="Hyperlink"/>
          </w:rPr>
          <w:t>11.3.3 IARD Registration</w:t>
        </w:r>
        <w:r>
          <w:tab/>
        </w:r>
        <w:r>
          <w:fldChar w:fldCharType="begin"/>
        </w:r>
        <w:r>
          <w:instrText xml:space="preserve"> PAGEREF _Toc256000217 \h </w:instrText>
        </w:r>
        <w:r>
          <w:fldChar w:fldCharType="separate"/>
        </w:r>
        <w:r>
          <w:t>285</w:t>
        </w:r>
        <w:r>
          <w:fldChar w:fldCharType="end"/>
        </w:r>
      </w:hyperlink>
    </w:p>
    <w:p>
      <w:pPr>
        <w:pStyle w:val="TOC3"/>
        <w:tabs>
          <w:tab w:val="right" w:leader="dot" w:pos="9926"/>
        </w:tabs>
        <w:rPr>
          <w:rFonts w:ascii="Calibri" w:hAnsi="Calibri"/>
          <w:noProof/>
          <w:sz w:val="22"/>
        </w:rPr>
      </w:pPr>
      <w:hyperlink w:anchor="_Toc256000218" w:history="1">
        <w:r>
          <w:rPr>
            <w:rStyle w:val="Hyperlink"/>
          </w:rPr>
          <w:t>11.3.4 Form ADV</w:t>
        </w:r>
        <w:r>
          <w:tab/>
        </w:r>
        <w:r>
          <w:fldChar w:fldCharType="begin"/>
        </w:r>
        <w:r>
          <w:instrText xml:space="preserve"> PAGEREF _Toc256000218 \h </w:instrText>
        </w:r>
        <w:r>
          <w:fldChar w:fldCharType="separate"/>
        </w:r>
        <w:r>
          <w:t>287</w:t>
        </w:r>
        <w:r>
          <w:fldChar w:fldCharType="end"/>
        </w:r>
      </w:hyperlink>
    </w:p>
    <w:p>
      <w:pPr>
        <w:pStyle w:val="TOC3"/>
        <w:tabs>
          <w:tab w:val="right" w:leader="dot" w:pos="9926"/>
        </w:tabs>
        <w:rPr>
          <w:rFonts w:ascii="Calibri" w:hAnsi="Calibri"/>
          <w:noProof/>
          <w:sz w:val="22"/>
        </w:rPr>
      </w:pPr>
      <w:hyperlink w:anchor="_Toc256000219" w:history="1">
        <w:r>
          <w:rPr>
            <w:rStyle w:val="Hyperlink"/>
          </w:rPr>
          <w:t>11.3.5 Amendments to Form ADV</w:t>
        </w:r>
        <w:r>
          <w:tab/>
        </w:r>
        <w:r>
          <w:fldChar w:fldCharType="begin"/>
        </w:r>
        <w:r>
          <w:instrText xml:space="preserve"> PAGEREF _Toc256000219 \h </w:instrText>
        </w:r>
        <w:r>
          <w:fldChar w:fldCharType="separate"/>
        </w:r>
        <w:r>
          <w:t>297</w:t>
        </w:r>
        <w:r>
          <w:fldChar w:fldCharType="end"/>
        </w:r>
      </w:hyperlink>
    </w:p>
    <w:p>
      <w:pPr>
        <w:pStyle w:val="TOC3"/>
        <w:tabs>
          <w:tab w:val="right" w:leader="dot" w:pos="9926"/>
        </w:tabs>
        <w:rPr>
          <w:rFonts w:ascii="Calibri" w:hAnsi="Calibri"/>
          <w:noProof/>
          <w:sz w:val="22"/>
        </w:rPr>
      </w:pPr>
      <w:hyperlink w:anchor="_Toc256000220" w:history="1">
        <w:r>
          <w:rPr>
            <w:rStyle w:val="Hyperlink"/>
          </w:rPr>
          <w:t>11.3.6 Relationship Summary</w:t>
        </w:r>
        <w:r>
          <w:tab/>
        </w:r>
        <w:r>
          <w:fldChar w:fldCharType="begin"/>
        </w:r>
        <w:r>
          <w:instrText xml:space="preserve"> PAGEREF _Toc256000220 \h </w:instrText>
        </w:r>
        <w:r>
          <w:fldChar w:fldCharType="separate"/>
        </w:r>
        <w:r>
          <w:t>301</w:t>
        </w:r>
        <w:r>
          <w:fldChar w:fldCharType="end"/>
        </w:r>
      </w:hyperlink>
    </w:p>
    <w:p>
      <w:pPr>
        <w:pStyle w:val="TOC3"/>
        <w:tabs>
          <w:tab w:val="right" w:leader="dot" w:pos="9926"/>
        </w:tabs>
        <w:rPr>
          <w:rFonts w:ascii="Calibri" w:hAnsi="Calibri"/>
          <w:noProof/>
          <w:sz w:val="22"/>
        </w:rPr>
      </w:pPr>
      <w:hyperlink w:anchor="_Toc256000221" w:history="1">
        <w:r>
          <w:rPr>
            <w:rStyle w:val="Hyperlink"/>
          </w:rPr>
          <w:t>11.3.7 Relationship Summary (Form CRS) Filing Requirement</w:t>
        </w:r>
        <w:r>
          <w:tab/>
        </w:r>
        <w:r>
          <w:fldChar w:fldCharType="begin"/>
        </w:r>
        <w:r>
          <w:instrText xml:space="preserve"> PAGEREF _Toc256000221 \h </w:instrText>
        </w:r>
        <w:r>
          <w:fldChar w:fldCharType="separate"/>
        </w:r>
        <w:r>
          <w:t>304</w:t>
        </w:r>
        <w:r>
          <w:fldChar w:fldCharType="end"/>
        </w:r>
      </w:hyperlink>
    </w:p>
    <w:p>
      <w:pPr>
        <w:pStyle w:val="TOC3"/>
        <w:tabs>
          <w:tab w:val="right" w:leader="dot" w:pos="9926"/>
        </w:tabs>
        <w:rPr>
          <w:rFonts w:ascii="Calibri" w:hAnsi="Calibri"/>
          <w:noProof/>
          <w:sz w:val="22"/>
        </w:rPr>
      </w:pPr>
      <w:hyperlink w:anchor="_Toc256000222" w:history="1">
        <w:r>
          <w:rPr>
            <w:rStyle w:val="Hyperlink"/>
          </w:rPr>
          <w:t>11.3.8 Adviser Representative Registration</w:t>
        </w:r>
        <w:r>
          <w:tab/>
        </w:r>
        <w:r>
          <w:fldChar w:fldCharType="begin"/>
        </w:r>
        <w:r>
          <w:instrText xml:space="preserve"> PAGEREF _Toc256000222 \h </w:instrText>
        </w:r>
        <w:r>
          <w:fldChar w:fldCharType="separate"/>
        </w:r>
        <w:r>
          <w:t>305</w:t>
        </w:r>
        <w:r>
          <w:fldChar w:fldCharType="end"/>
        </w:r>
      </w:hyperlink>
    </w:p>
    <w:p>
      <w:pPr>
        <w:pStyle w:val="TOC3"/>
        <w:tabs>
          <w:tab w:val="right" w:leader="dot" w:pos="9926"/>
        </w:tabs>
        <w:rPr>
          <w:rFonts w:ascii="Calibri" w:hAnsi="Calibri"/>
          <w:noProof/>
          <w:sz w:val="22"/>
        </w:rPr>
      </w:pPr>
      <w:hyperlink w:anchor="_Toc256000223" w:history="1">
        <w:r>
          <w:rPr>
            <w:rStyle w:val="Hyperlink"/>
          </w:rPr>
          <w:t>11.3.9 Status Under Other Laws and Regulations</w:t>
        </w:r>
        <w:r>
          <w:tab/>
        </w:r>
        <w:r>
          <w:fldChar w:fldCharType="begin"/>
        </w:r>
        <w:r>
          <w:instrText xml:space="preserve"> PAGEREF _Toc256000223 \h </w:instrText>
        </w:r>
        <w:r>
          <w:fldChar w:fldCharType="separate"/>
        </w:r>
        <w:r>
          <w:t>309</w:t>
        </w:r>
        <w:r>
          <w:fldChar w:fldCharType="end"/>
        </w:r>
      </w:hyperlink>
    </w:p>
    <w:p>
      <w:pPr>
        <w:pStyle w:val="TOC3"/>
        <w:tabs>
          <w:tab w:val="right" w:leader="dot" w:pos="9926"/>
        </w:tabs>
        <w:rPr>
          <w:rFonts w:ascii="Calibri" w:hAnsi="Calibri"/>
          <w:noProof/>
          <w:sz w:val="22"/>
        </w:rPr>
      </w:pPr>
      <w:hyperlink w:anchor="_Toc256000224" w:history="1">
        <w:r>
          <w:rPr>
            <w:rStyle w:val="Hyperlink"/>
          </w:rPr>
          <w:t>11.3.10 Large Traders</w:t>
        </w:r>
        <w:r>
          <w:tab/>
        </w:r>
        <w:r>
          <w:fldChar w:fldCharType="begin"/>
        </w:r>
        <w:r>
          <w:instrText xml:space="preserve"> PAGEREF _Toc256000224 \h </w:instrText>
        </w:r>
        <w:r>
          <w:fldChar w:fldCharType="separate"/>
        </w:r>
        <w:r>
          <w:t>319</w:t>
        </w:r>
        <w:r>
          <w:fldChar w:fldCharType="end"/>
        </w:r>
      </w:hyperlink>
    </w:p>
    <w:p>
      <w:pPr>
        <w:pStyle w:val="TOC3"/>
        <w:tabs>
          <w:tab w:val="right" w:leader="dot" w:pos="9926"/>
        </w:tabs>
        <w:rPr>
          <w:rFonts w:ascii="Calibri" w:hAnsi="Calibri"/>
          <w:noProof/>
          <w:sz w:val="22"/>
        </w:rPr>
      </w:pPr>
      <w:hyperlink w:anchor="_Toc256000225" w:history="1">
        <w:r>
          <w:rPr>
            <w:rStyle w:val="Hyperlink"/>
          </w:rPr>
          <w:t>11.3.11 Hedge Fund Adviser Filings</w:t>
        </w:r>
        <w:r>
          <w:tab/>
        </w:r>
        <w:r>
          <w:fldChar w:fldCharType="begin"/>
        </w:r>
        <w:r>
          <w:instrText xml:space="preserve"> PAGEREF _Toc256000225 \h </w:instrText>
        </w:r>
        <w:r>
          <w:fldChar w:fldCharType="separate"/>
        </w:r>
        <w:r>
          <w:t>320</w:t>
        </w:r>
        <w:r>
          <w:fldChar w:fldCharType="end"/>
        </w:r>
      </w:hyperlink>
    </w:p>
    <w:p>
      <w:pPr>
        <w:pStyle w:val="TOC3"/>
        <w:tabs>
          <w:tab w:val="right" w:leader="dot" w:pos="9926"/>
        </w:tabs>
        <w:rPr>
          <w:rFonts w:ascii="Calibri" w:hAnsi="Calibri"/>
          <w:noProof/>
          <w:sz w:val="22"/>
        </w:rPr>
      </w:pPr>
      <w:hyperlink w:anchor="_Toc256000226" w:history="1">
        <w:r>
          <w:rPr>
            <w:rStyle w:val="Hyperlink"/>
          </w:rPr>
          <w:t>11.3.12 Schedule 13F Filings</w:t>
        </w:r>
        <w:r>
          <w:tab/>
        </w:r>
        <w:r>
          <w:fldChar w:fldCharType="begin"/>
        </w:r>
        <w:r>
          <w:instrText xml:space="preserve"> PAGEREF _Toc256000226 \h </w:instrText>
        </w:r>
        <w:r>
          <w:fldChar w:fldCharType="separate"/>
        </w:r>
        <w:r>
          <w:t>324</w:t>
        </w:r>
        <w:r>
          <w:fldChar w:fldCharType="end"/>
        </w:r>
      </w:hyperlink>
    </w:p>
    <w:p>
      <w:pPr>
        <w:pStyle w:val="TOC3"/>
        <w:tabs>
          <w:tab w:val="right" w:leader="dot" w:pos="9926"/>
        </w:tabs>
        <w:rPr>
          <w:rFonts w:ascii="Calibri" w:hAnsi="Calibri"/>
          <w:noProof/>
          <w:sz w:val="22"/>
        </w:rPr>
      </w:pPr>
      <w:hyperlink w:anchor="_Toc256000227" w:history="1">
        <w:r>
          <w:rPr>
            <w:rStyle w:val="Hyperlink"/>
          </w:rPr>
          <w:t>11.3.13 Schedule 13D and 13G Filings</w:t>
        </w:r>
        <w:r>
          <w:tab/>
        </w:r>
        <w:r>
          <w:fldChar w:fldCharType="begin"/>
        </w:r>
        <w:r>
          <w:instrText xml:space="preserve"> PAGEREF _Toc256000227 \h </w:instrText>
        </w:r>
        <w:r>
          <w:fldChar w:fldCharType="separate"/>
        </w:r>
        <w:r>
          <w:t>324</w:t>
        </w:r>
        <w:r>
          <w:fldChar w:fldCharType="end"/>
        </w:r>
      </w:hyperlink>
    </w:p>
    <w:p>
      <w:pPr>
        <w:pStyle w:val="TOC3"/>
        <w:tabs>
          <w:tab w:val="right" w:leader="dot" w:pos="9926"/>
        </w:tabs>
        <w:rPr>
          <w:rFonts w:ascii="Calibri" w:hAnsi="Calibri"/>
          <w:noProof/>
          <w:sz w:val="22"/>
        </w:rPr>
      </w:pPr>
      <w:hyperlink w:anchor="_Toc256000228" w:history="1">
        <w:r>
          <w:rPr>
            <w:rStyle w:val="Hyperlink"/>
          </w:rPr>
          <w:t>11.3.14 Form 3, 4, and 5 Filings</w:t>
        </w:r>
        <w:r>
          <w:tab/>
        </w:r>
        <w:r>
          <w:fldChar w:fldCharType="begin"/>
        </w:r>
        <w:r>
          <w:instrText xml:space="preserve"> PAGEREF _Toc256000228 \h </w:instrText>
        </w:r>
        <w:r>
          <w:fldChar w:fldCharType="separate"/>
        </w:r>
        <w:r>
          <w:t>327</w:t>
        </w:r>
        <w:r>
          <w:fldChar w:fldCharType="end"/>
        </w:r>
      </w:hyperlink>
    </w:p>
    <w:p>
      <w:pPr>
        <w:pStyle w:val="TOC3"/>
        <w:tabs>
          <w:tab w:val="right" w:leader="dot" w:pos="9926"/>
        </w:tabs>
        <w:rPr>
          <w:rFonts w:ascii="Calibri" w:hAnsi="Calibri"/>
          <w:noProof/>
          <w:sz w:val="22"/>
        </w:rPr>
      </w:pPr>
      <w:hyperlink w:anchor="_Toc256000229" w:history="1">
        <w:r>
          <w:rPr>
            <w:rStyle w:val="Hyperlink"/>
          </w:rPr>
          <w:t>11.3.15 Execution of Signatures on Filings</w:t>
        </w:r>
        <w:r>
          <w:tab/>
        </w:r>
        <w:r>
          <w:fldChar w:fldCharType="begin"/>
        </w:r>
        <w:r>
          <w:instrText xml:space="preserve"> PAGEREF _Toc256000229 \h </w:instrText>
        </w:r>
        <w:r>
          <w:fldChar w:fldCharType="separate"/>
        </w:r>
        <w:r>
          <w:t>328</w:t>
        </w:r>
        <w:r>
          <w:fldChar w:fldCharType="end"/>
        </w:r>
      </w:hyperlink>
    </w:p>
    <w:p>
      <w:pPr>
        <w:pStyle w:val="TOC3"/>
        <w:tabs>
          <w:tab w:val="right" w:leader="dot" w:pos="9926"/>
        </w:tabs>
        <w:rPr>
          <w:rFonts w:ascii="Calibri" w:hAnsi="Calibri"/>
          <w:noProof/>
          <w:sz w:val="22"/>
        </w:rPr>
      </w:pPr>
      <w:hyperlink w:anchor="_Toc256000230" w:history="1">
        <w:r>
          <w:rPr>
            <w:rStyle w:val="Hyperlink"/>
          </w:rPr>
          <w:t>11.3.16 Form SHC Filings</w:t>
        </w:r>
        <w:r>
          <w:tab/>
        </w:r>
        <w:r>
          <w:fldChar w:fldCharType="begin"/>
        </w:r>
        <w:r>
          <w:instrText xml:space="preserve"> PAGEREF _Toc256000230 \h </w:instrText>
        </w:r>
        <w:r>
          <w:fldChar w:fldCharType="separate"/>
        </w:r>
        <w:r>
          <w:t>328</w:t>
        </w:r>
        <w:r>
          <w:fldChar w:fldCharType="end"/>
        </w:r>
      </w:hyperlink>
    </w:p>
    <w:p>
      <w:pPr>
        <w:pStyle w:val="TOC3"/>
        <w:tabs>
          <w:tab w:val="right" w:leader="dot" w:pos="9926"/>
        </w:tabs>
        <w:rPr>
          <w:rFonts w:ascii="Calibri" w:hAnsi="Calibri"/>
          <w:noProof/>
          <w:sz w:val="22"/>
        </w:rPr>
      </w:pPr>
      <w:hyperlink w:anchor="_Toc256000231" w:history="1">
        <w:r>
          <w:rPr>
            <w:rStyle w:val="Hyperlink"/>
          </w:rPr>
          <w:t>11.3.17 Exempt Reporting Advisers</w:t>
        </w:r>
        <w:r>
          <w:tab/>
        </w:r>
        <w:r>
          <w:fldChar w:fldCharType="begin"/>
        </w:r>
        <w:r>
          <w:instrText xml:space="preserve"> PAGEREF _Toc256000231 \h </w:instrText>
        </w:r>
        <w:r>
          <w:fldChar w:fldCharType="separate"/>
        </w:r>
        <w:r>
          <w:t>330</w:t>
        </w:r>
        <w:r>
          <w:fldChar w:fldCharType="end"/>
        </w:r>
      </w:hyperlink>
    </w:p>
    <w:p>
      <w:pPr>
        <w:pStyle w:val="TOC3"/>
        <w:tabs>
          <w:tab w:val="right" w:leader="dot" w:pos="9926"/>
        </w:tabs>
        <w:rPr>
          <w:rFonts w:ascii="Calibri" w:hAnsi="Calibri"/>
          <w:noProof/>
          <w:sz w:val="22"/>
        </w:rPr>
      </w:pPr>
      <w:hyperlink w:anchor="_Toc256000232" w:history="1">
        <w:r>
          <w:rPr>
            <w:rStyle w:val="Hyperlink"/>
          </w:rPr>
          <w:t>11.3.18 Hart Scott Rodino Filings</w:t>
        </w:r>
        <w:r>
          <w:tab/>
        </w:r>
        <w:r>
          <w:fldChar w:fldCharType="begin"/>
        </w:r>
        <w:r>
          <w:instrText xml:space="preserve"> PAGEREF _Toc256000232 \h </w:instrText>
        </w:r>
        <w:r>
          <w:fldChar w:fldCharType="separate"/>
        </w:r>
        <w:r>
          <w:t>331</w:t>
        </w:r>
        <w:r>
          <w:fldChar w:fldCharType="end"/>
        </w:r>
      </w:hyperlink>
    </w:p>
    <w:p>
      <w:pPr>
        <w:pStyle w:val="TOC3"/>
        <w:tabs>
          <w:tab w:val="right" w:leader="dot" w:pos="9926"/>
        </w:tabs>
        <w:rPr>
          <w:rFonts w:ascii="Calibri" w:hAnsi="Calibri"/>
          <w:noProof/>
          <w:sz w:val="22"/>
        </w:rPr>
      </w:pPr>
      <w:hyperlink w:anchor="_Toc256000233" w:history="1">
        <w:r>
          <w:rPr>
            <w:rStyle w:val="Hyperlink"/>
          </w:rPr>
          <w:t>11.3.19 U.S. Department of Commerce BE-10 Filing Requirements</w:t>
        </w:r>
        <w:r>
          <w:tab/>
        </w:r>
        <w:r>
          <w:fldChar w:fldCharType="begin"/>
        </w:r>
        <w:r>
          <w:instrText xml:space="preserve"> PAGEREF _Toc256000233 \h </w:instrText>
        </w:r>
        <w:r>
          <w:fldChar w:fldCharType="separate"/>
        </w:r>
        <w:r>
          <w:t>332</w:t>
        </w:r>
        <w:r>
          <w:fldChar w:fldCharType="end"/>
        </w:r>
      </w:hyperlink>
    </w:p>
    <w:p>
      <w:pPr>
        <w:pStyle w:val="TOC3"/>
        <w:tabs>
          <w:tab w:val="right" w:leader="dot" w:pos="9926"/>
        </w:tabs>
        <w:rPr>
          <w:rFonts w:ascii="Calibri" w:hAnsi="Calibri"/>
          <w:noProof/>
          <w:sz w:val="22"/>
        </w:rPr>
      </w:pPr>
      <w:hyperlink w:anchor="_Toc256000234" w:history="1">
        <w:r>
          <w:rPr>
            <w:rStyle w:val="Hyperlink"/>
          </w:rPr>
          <w:t>11.3.20 Form ADV-NR Filings</w:t>
        </w:r>
        <w:r>
          <w:tab/>
        </w:r>
        <w:r>
          <w:fldChar w:fldCharType="begin"/>
        </w:r>
        <w:r>
          <w:instrText xml:space="preserve"> PAGEREF _Toc256000234 \h </w:instrText>
        </w:r>
        <w:r>
          <w:fldChar w:fldCharType="separate"/>
        </w:r>
        <w:r>
          <w:t>332</w:t>
        </w:r>
        <w:r>
          <w:fldChar w:fldCharType="end"/>
        </w:r>
      </w:hyperlink>
    </w:p>
    <w:p>
      <w:pPr>
        <w:pStyle w:val="TOC2"/>
        <w:tabs>
          <w:tab w:val="right" w:leader="dot" w:pos="9926"/>
        </w:tabs>
        <w:rPr>
          <w:rFonts w:ascii="Calibri" w:hAnsi="Calibri"/>
          <w:noProof/>
          <w:sz w:val="22"/>
        </w:rPr>
      </w:pPr>
      <w:hyperlink w:anchor="_Toc256000235" w:history="1">
        <w:r>
          <w:rPr>
            <w:rStyle w:val="Hyperlink"/>
          </w:rPr>
          <w:t>11.4 Books and Records</w:t>
        </w:r>
        <w:r>
          <w:tab/>
        </w:r>
        <w:r>
          <w:fldChar w:fldCharType="begin"/>
        </w:r>
        <w:r>
          <w:instrText xml:space="preserve"> PAGEREF _Toc256000235 \h </w:instrText>
        </w:r>
        <w:r>
          <w:fldChar w:fldCharType="separate"/>
        </w:r>
        <w:r>
          <w:t>333</w:t>
        </w:r>
        <w:r>
          <w:fldChar w:fldCharType="end"/>
        </w:r>
      </w:hyperlink>
    </w:p>
    <w:p>
      <w:pPr>
        <w:pStyle w:val="TOC1"/>
        <w:tabs>
          <w:tab w:val="right" w:leader="dot" w:pos="9926"/>
        </w:tabs>
        <w:rPr>
          <w:rFonts w:ascii="Calibri" w:hAnsi="Calibri"/>
          <w:noProof/>
          <w:sz w:val="22"/>
        </w:rPr>
      </w:pPr>
      <w:hyperlink w:anchor="_Toc256000236" w:history="1">
        <w:r>
          <w:rPr>
            <w:rStyle w:val="Hyperlink"/>
          </w:rPr>
          <w:t>12 BUSINESS</w:t>
        </w:r>
        <w:r>
          <w:tab/>
        </w:r>
        <w:r>
          <w:fldChar w:fldCharType="begin"/>
        </w:r>
        <w:r>
          <w:instrText xml:space="preserve"> PAGEREF _Toc256000236 \h </w:instrText>
        </w:r>
        <w:r>
          <w:fldChar w:fldCharType="separate"/>
        </w:r>
        <w:r>
          <w:t>334</w:t>
        </w:r>
        <w:r>
          <w:fldChar w:fldCharType="end"/>
        </w:r>
      </w:hyperlink>
    </w:p>
    <w:p>
      <w:pPr>
        <w:pStyle w:val="TOC2"/>
        <w:tabs>
          <w:tab w:val="right" w:leader="dot" w:pos="9926"/>
        </w:tabs>
        <w:rPr>
          <w:rFonts w:ascii="Calibri" w:hAnsi="Calibri"/>
          <w:noProof/>
          <w:sz w:val="22"/>
        </w:rPr>
      </w:pPr>
      <w:hyperlink w:anchor="_Toc256000237" w:history="1">
        <w:r>
          <w:rPr>
            <w:rStyle w:val="Hyperlink"/>
          </w:rPr>
          <w:t>Introduction</w:t>
        </w:r>
        <w:r>
          <w:tab/>
        </w:r>
        <w:r>
          <w:fldChar w:fldCharType="begin"/>
        </w:r>
        <w:r>
          <w:instrText xml:space="preserve"> PAGEREF _Toc256000237 \h </w:instrText>
        </w:r>
        <w:r>
          <w:fldChar w:fldCharType="separate"/>
        </w:r>
        <w:r>
          <w:t>334</w:t>
        </w:r>
        <w:r>
          <w:fldChar w:fldCharType="end"/>
        </w:r>
      </w:hyperlink>
    </w:p>
    <w:p>
      <w:pPr>
        <w:pStyle w:val="TOC2"/>
        <w:tabs>
          <w:tab w:val="right" w:leader="dot" w:pos="9926"/>
        </w:tabs>
        <w:rPr>
          <w:rFonts w:ascii="Calibri" w:hAnsi="Calibri"/>
          <w:noProof/>
          <w:sz w:val="22"/>
        </w:rPr>
      </w:pPr>
      <w:hyperlink w:anchor="_Toc256000238" w:history="1">
        <w:r>
          <w:rPr>
            <w:rStyle w:val="Hyperlink"/>
          </w:rPr>
          <w:t>12.1 Compliance Reference Chart</w:t>
        </w:r>
        <w:r>
          <w:tab/>
        </w:r>
        <w:r>
          <w:fldChar w:fldCharType="begin"/>
        </w:r>
        <w:r>
          <w:instrText xml:space="preserve"> PAGEREF _Toc256000238 \h </w:instrText>
        </w:r>
        <w:r>
          <w:fldChar w:fldCharType="separate"/>
        </w:r>
        <w:r>
          <w:t>334</w:t>
        </w:r>
        <w:r>
          <w:fldChar w:fldCharType="end"/>
        </w:r>
      </w:hyperlink>
    </w:p>
    <w:p>
      <w:pPr>
        <w:pStyle w:val="TOC2"/>
        <w:tabs>
          <w:tab w:val="right" w:leader="dot" w:pos="9926"/>
        </w:tabs>
        <w:rPr>
          <w:rFonts w:ascii="Calibri" w:hAnsi="Calibri"/>
          <w:noProof/>
          <w:sz w:val="22"/>
        </w:rPr>
      </w:pPr>
      <w:hyperlink w:anchor="_Toc256000239" w:history="1">
        <w:r>
          <w:rPr>
            <w:rStyle w:val="Hyperlink"/>
          </w:rPr>
          <w:t>12.2 Policy</w:t>
        </w:r>
        <w:r>
          <w:tab/>
        </w:r>
        <w:r>
          <w:fldChar w:fldCharType="begin"/>
        </w:r>
        <w:r>
          <w:instrText xml:space="preserve"> PAGEREF _Toc256000239 \h </w:instrText>
        </w:r>
        <w:r>
          <w:fldChar w:fldCharType="separate"/>
        </w:r>
        <w:r>
          <w:t>334</w:t>
        </w:r>
        <w:r>
          <w:fldChar w:fldCharType="end"/>
        </w:r>
      </w:hyperlink>
    </w:p>
    <w:p>
      <w:pPr>
        <w:pStyle w:val="TOC2"/>
        <w:tabs>
          <w:tab w:val="right" w:leader="dot" w:pos="9926"/>
        </w:tabs>
        <w:rPr>
          <w:rFonts w:ascii="Calibri" w:hAnsi="Calibri"/>
          <w:noProof/>
          <w:sz w:val="22"/>
        </w:rPr>
      </w:pPr>
      <w:hyperlink w:anchor="_Toc256000240" w:history="1">
        <w:r>
          <w:rPr>
            <w:rStyle w:val="Hyperlink"/>
          </w:rPr>
          <w:t>12.3 Procedures</w:t>
        </w:r>
        <w:r>
          <w:tab/>
        </w:r>
        <w:r>
          <w:fldChar w:fldCharType="begin"/>
        </w:r>
        <w:r>
          <w:instrText xml:space="preserve"> PAGEREF _Toc256000240 \h </w:instrText>
        </w:r>
        <w:r>
          <w:fldChar w:fldCharType="separate"/>
        </w:r>
        <w:r>
          <w:t>335</w:t>
        </w:r>
        <w:r>
          <w:fldChar w:fldCharType="end"/>
        </w:r>
      </w:hyperlink>
    </w:p>
    <w:p>
      <w:pPr>
        <w:pStyle w:val="TOC3"/>
        <w:tabs>
          <w:tab w:val="right" w:leader="dot" w:pos="9926"/>
        </w:tabs>
        <w:rPr>
          <w:rFonts w:ascii="Calibri" w:hAnsi="Calibri"/>
          <w:noProof/>
          <w:sz w:val="22"/>
        </w:rPr>
      </w:pPr>
      <w:hyperlink w:anchor="_Toc256000241" w:history="1">
        <w:r>
          <w:rPr>
            <w:rStyle w:val="Hyperlink"/>
          </w:rPr>
          <w:t>12.3.1 Business Accounting and Financial Condition</w:t>
        </w:r>
        <w:r>
          <w:tab/>
        </w:r>
        <w:r>
          <w:fldChar w:fldCharType="begin"/>
        </w:r>
        <w:r>
          <w:instrText xml:space="preserve"> PAGEREF _Toc256000241 \h </w:instrText>
        </w:r>
        <w:r>
          <w:fldChar w:fldCharType="separate"/>
        </w:r>
        <w:r>
          <w:t>335</w:t>
        </w:r>
        <w:r>
          <w:fldChar w:fldCharType="end"/>
        </w:r>
      </w:hyperlink>
    </w:p>
    <w:p>
      <w:pPr>
        <w:pStyle w:val="TOC3"/>
        <w:tabs>
          <w:tab w:val="right" w:leader="dot" w:pos="9926"/>
        </w:tabs>
        <w:rPr>
          <w:rFonts w:ascii="Calibri" w:hAnsi="Calibri"/>
          <w:noProof/>
          <w:sz w:val="22"/>
        </w:rPr>
      </w:pPr>
      <w:hyperlink w:anchor="_Toc256000242" w:history="1">
        <w:r>
          <w:rPr>
            <w:rStyle w:val="Hyperlink"/>
          </w:rPr>
          <w:t>12.3.2 Taxes</w:t>
        </w:r>
        <w:r>
          <w:tab/>
        </w:r>
        <w:r>
          <w:fldChar w:fldCharType="begin"/>
        </w:r>
        <w:r>
          <w:instrText xml:space="preserve"> PAGEREF _Toc256000242 \h </w:instrText>
        </w:r>
        <w:r>
          <w:fldChar w:fldCharType="separate"/>
        </w:r>
        <w:r>
          <w:t>336</w:t>
        </w:r>
        <w:r>
          <w:fldChar w:fldCharType="end"/>
        </w:r>
      </w:hyperlink>
    </w:p>
    <w:p>
      <w:pPr>
        <w:pStyle w:val="TOC3"/>
        <w:tabs>
          <w:tab w:val="right" w:leader="dot" w:pos="9926"/>
        </w:tabs>
        <w:rPr>
          <w:rFonts w:ascii="Calibri" w:hAnsi="Calibri"/>
          <w:noProof/>
          <w:sz w:val="22"/>
        </w:rPr>
      </w:pPr>
      <w:hyperlink w:anchor="_Toc256000243" w:history="1">
        <w:r>
          <w:rPr>
            <w:rStyle w:val="Hyperlink"/>
          </w:rPr>
          <w:t>12.3.3 Disaster Recovery Plan</w:t>
        </w:r>
        <w:r>
          <w:tab/>
        </w:r>
        <w:r>
          <w:fldChar w:fldCharType="begin"/>
        </w:r>
        <w:r>
          <w:instrText xml:space="preserve"> PAGEREF _Toc256000243 \h </w:instrText>
        </w:r>
        <w:r>
          <w:fldChar w:fldCharType="separate"/>
        </w:r>
        <w:r>
          <w:t>336</w:t>
        </w:r>
        <w:r>
          <w:fldChar w:fldCharType="end"/>
        </w:r>
      </w:hyperlink>
    </w:p>
    <w:p>
      <w:pPr>
        <w:pStyle w:val="TOC3"/>
        <w:tabs>
          <w:tab w:val="right" w:leader="dot" w:pos="9926"/>
        </w:tabs>
        <w:rPr>
          <w:rFonts w:ascii="Calibri" w:hAnsi="Calibri"/>
          <w:noProof/>
          <w:sz w:val="22"/>
        </w:rPr>
      </w:pPr>
      <w:hyperlink w:anchor="_Toc256000244" w:history="1">
        <w:r>
          <w:rPr>
            <w:rStyle w:val="Hyperlink"/>
          </w:rPr>
          <w:t>12.3.4 Service Providers</w:t>
        </w:r>
        <w:r>
          <w:tab/>
        </w:r>
        <w:r>
          <w:fldChar w:fldCharType="begin"/>
        </w:r>
        <w:r>
          <w:instrText xml:space="preserve"> PAGEREF _Toc256000244 \h </w:instrText>
        </w:r>
        <w:r>
          <w:fldChar w:fldCharType="separate"/>
        </w:r>
        <w:r>
          <w:t>342</w:t>
        </w:r>
        <w:r>
          <w:fldChar w:fldCharType="end"/>
        </w:r>
      </w:hyperlink>
    </w:p>
    <w:p>
      <w:pPr>
        <w:pStyle w:val="TOC3"/>
        <w:tabs>
          <w:tab w:val="right" w:leader="dot" w:pos="9926"/>
        </w:tabs>
        <w:rPr>
          <w:rFonts w:ascii="Calibri" w:hAnsi="Calibri"/>
          <w:noProof/>
          <w:sz w:val="22"/>
        </w:rPr>
      </w:pPr>
      <w:hyperlink w:anchor="_Toc256000245" w:history="1">
        <w:r>
          <w:rPr>
            <w:rStyle w:val="Hyperlink"/>
          </w:rPr>
          <w:t>12.3.5 Insurance</w:t>
        </w:r>
        <w:r>
          <w:tab/>
        </w:r>
        <w:r>
          <w:fldChar w:fldCharType="begin"/>
        </w:r>
        <w:r>
          <w:instrText xml:space="preserve"> PAGEREF _Toc256000245 \h </w:instrText>
        </w:r>
        <w:r>
          <w:fldChar w:fldCharType="separate"/>
        </w:r>
        <w:r>
          <w:t>342</w:t>
        </w:r>
        <w:r>
          <w:fldChar w:fldCharType="end"/>
        </w:r>
      </w:hyperlink>
    </w:p>
    <w:p>
      <w:pPr>
        <w:pStyle w:val="TOC3"/>
        <w:tabs>
          <w:tab w:val="right" w:leader="dot" w:pos="9926"/>
        </w:tabs>
        <w:rPr>
          <w:rFonts w:ascii="Calibri" w:hAnsi="Calibri"/>
          <w:noProof/>
          <w:sz w:val="22"/>
        </w:rPr>
      </w:pPr>
      <w:hyperlink w:anchor="_Toc256000246" w:history="1">
        <w:r>
          <w:rPr>
            <w:rStyle w:val="Hyperlink"/>
          </w:rPr>
          <w:t>12.3.6 Bonds</w:t>
        </w:r>
        <w:r>
          <w:tab/>
        </w:r>
        <w:r>
          <w:fldChar w:fldCharType="begin"/>
        </w:r>
        <w:r>
          <w:instrText xml:space="preserve"> PAGEREF _Toc256000246 \h </w:instrText>
        </w:r>
        <w:r>
          <w:fldChar w:fldCharType="separate"/>
        </w:r>
        <w:r>
          <w:t>343</w:t>
        </w:r>
        <w:r>
          <w:fldChar w:fldCharType="end"/>
        </w:r>
      </w:hyperlink>
    </w:p>
    <w:p>
      <w:pPr>
        <w:pStyle w:val="TOC3"/>
        <w:tabs>
          <w:tab w:val="right" w:leader="dot" w:pos="9926"/>
        </w:tabs>
        <w:rPr>
          <w:rFonts w:ascii="Calibri" w:hAnsi="Calibri"/>
          <w:noProof/>
          <w:sz w:val="22"/>
        </w:rPr>
      </w:pPr>
      <w:hyperlink w:anchor="_Toc256000247" w:history="1">
        <w:r>
          <w:rPr>
            <w:rStyle w:val="Hyperlink"/>
          </w:rPr>
          <w:t>12.3.7 Political Contributions</w:t>
        </w:r>
        <w:r>
          <w:tab/>
        </w:r>
        <w:r>
          <w:fldChar w:fldCharType="begin"/>
        </w:r>
        <w:r>
          <w:instrText xml:space="preserve"> PAGEREF _Toc256000247 \h </w:instrText>
        </w:r>
        <w:r>
          <w:fldChar w:fldCharType="separate"/>
        </w:r>
        <w:r>
          <w:t>343</w:t>
        </w:r>
        <w:r>
          <w:fldChar w:fldCharType="end"/>
        </w:r>
      </w:hyperlink>
    </w:p>
    <w:p>
      <w:pPr>
        <w:pStyle w:val="TOC3"/>
        <w:tabs>
          <w:tab w:val="right" w:leader="dot" w:pos="9926"/>
        </w:tabs>
        <w:rPr>
          <w:rFonts w:ascii="Calibri" w:hAnsi="Calibri"/>
          <w:noProof/>
          <w:sz w:val="22"/>
        </w:rPr>
      </w:pPr>
      <w:hyperlink w:anchor="_Toc256000248" w:history="1">
        <w:r>
          <w:rPr>
            <w:rStyle w:val="Hyperlink"/>
          </w:rPr>
          <w:t>12.3.8 Offices</w:t>
        </w:r>
        <w:r>
          <w:tab/>
        </w:r>
        <w:r>
          <w:fldChar w:fldCharType="begin"/>
        </w:r>
        <w:r>
          <w:instrText xml:space="preserve"> PAGEREF _Toc256000248 \h </w:instrText>
        </w:r>
        <w:r>
          <w:fldChar w:fldCharType="separate"/>
        </w:r>
        <w:r>
          <w:t>344</w:t>
        </w:r>
        <w:r>
          <w:fldChar w:fldCharType="end"/>
        </w:r>
      </w:hyperlink>
    </w:p>
    <w:p>
      <w:pPr>
        <w:pStyle w:val="TOC3"/>
        <w:tabs>
          <w:tab w:val="right" w:leader="dot" w:pos="9926"/>
        </w:tabs>
        <w:rPr>
          <w:rFonts w:ascii="Calibri" w:hAnsi="Calibri"/>
          <w:noProof/>
          <w:sz w:val="22"/>
        </w:rPr>
      </w:pPr>
      <w:hyperlink w:anchor="_Toc256000249" w:history="1">
        <w:r>
          <w:rPr>
            <w:rStyle w:val="Hyperlink"/>
          </w:rPr>
          <w:t>12.3.9 Transition Plan</w:t>
        </w:r>
        <w:r>
          <w:tab/>
        </w:r>
        <w:r>
          <w:fldChar w:fldCharType="begin"/>
        </w:r>
        <w:r>
          <w:instrText xml:space="preserve"> PAGEREF _Toc256000249 \h </w:instrText>
        </w:r>
        <w:r>
          <w:fldChar w:fldCharType="separate"/>
        </w:r>
        <w:r>
          <w:t>345</w:t>
        </w:r>
        <w:r>
          <w:fldChar w:fldCharType="end"/>
        </w:r>
      </w:hyperlink>
    </w:p>
    <w:p>
      <w:pPr>
        <w:pStyle w:val="TOC3"/>
        <w:tabs>
          <w:tab w:val="right" w:leader="dot" w:pos="9926"/>
        </w:tabs>
        <w:rPr>
          <w:rFonts w:ascii="Calibri" w:hAnsi="Calibri"/>
          <w:noProof/>
          <w:sz w:val="22"/>
        </w:rPr>
      </w:pPr>
      <w:hyperlink w:anchor="_Toc256000250" w:history="1">
        <w:r>
          <w:rPr>
            <w:rStyle w:val="Hyperlink"/>
          </w:rPr>
          <w:t>12.3.10 Mergers and Consolidations</w:t>
        </w:r>
        <w:r>
          <w:tab/>
        </w:r>
        <w:r>
          <w:fldChar w:fldCharType="begin"/>
        </w:r>
        <w:r>
          <w:instrText xml:space="preserve"> PAGEREF _Toc256000250 \h </w:instrText>
        </w:r>
        <w:r>
          <w:fldChar w:fldCharType="separate"/>
        </w:r>
        <w:r>
          <w:t>346</w:t>
        </w:r>
        <w:r>
          <w:fldChar w:fldCharType="end"/>
        </w:r>
      </w:hyperlink>
    </w:p>
    <w:p>
      <w:pPr>
        <w:pStyle w:val="TOC2"/>
        <w:tabs>
          <w:tab w:val="right" w:leader="dot" w:pos="9926"/>
        </w:tabs>
        <w:rPr>
          <w:rFonts w:ascii="Calibri" w:hAnsi="Calibri"/>
          <w:noProof/>
          <w:sz w:val="22"/>
        </w:rPr>
      </w:pPr>
      <w:hyperlink w:anchor="_Toc256000251" w:history="1">
        <w:r>
          <w:rPr>
            <w:rStyle w:val="Hyperlink"/>
          </w:rPr>
          <w:t>12.4 Form ADV Disclosure</w:t>
        </w:r>
        <w:r>
          <w:tab/>
        </w:r>
        <w:r>
          <w:fldChar w:fldCharType="begin"/>
        </w:r>
        <w:r>
          <w:instrText xml:space="preserve"> PAGEREF _Toc256000251 \h </w:instrText>
        </w:r>
        <w:r>
          <w:fldChar w:fldCharType="separate"/>
        </w:r>
        <w:r>
          <w:t>346</w:t>
        </w:r>
        <w:r>
          <w:fldChar w:fldCharType="end"/>
        </w:r>
      </w:hyperlink>
    </w:p>
    <w:p>
      <w:pPr>
        <w:pStyle w:val="TOC2"/>
        <w:tabs>
          <w:tab w:val="right" w:leader="dot" w:pos="9926"/>
        </w:tabs>
        <w:rPr>
          <w:rFonts w:ascii="Calibri" w:hAnsi="Calibri"/>
          <w:noProof/>
          <w:sz w:val="22"/>
        </w:rPr>
      </w:pPr>
      <w:hyperlink w:anchor="_Toc256000252" w:history="1">
        <w:r>
          <w:rPr>
            <w:rStyle w:val="Hyperlink"/>
          </w:rPr>
          <w:t>12.5 Books and Records</w:t>
        </w:r>
        <w:r>
          <w:tab/>
        </w:r>
        <w:r>
          <w:fldChar w:fldCharType="begin"/>
        </w:r>
        <w:r>
          <w:instrText xml:space="preserve"> PAGEREF _Toc256000252 \h </w:instrText>
        </w:r>
        <w:r>
          <w:fldChar w:fldCharType="separate"/>
        </w:r>
        <w:r>
          <w:t>346</w:t>
        </w:r>
        <w:r>
          <w:fldChar w:fldCharType="end"/>
        </w:r>
      </w:hyperlink>
    </w:p>
    <w:p>
      <w:pPr>
        <w:pStyle w:val="TOC1"/>
        <w:tabs>
          <w:tab w:val="right" w:leader="dot" w:pos="9926"/>
        </w:tabs>
        <w:rPr>
          <w:rFonts w:ascii="Calibri" w:hAnsi="Calibri"/>
          <w:noProof/>
          <w:sz w:val="22"/>
        </w:rPr>
      </w:pPr>
      <w:hyperlink w:anchor="_Toc256000253" w:history="1">
        <w:r>
          <w:rPr>
            <w:rStyle w:val="Hyperlink"/>
          </w:rPr>
          <w:t>13 BOOKS AND RECORDS</w:t>
        </w:r>
        <w:r>
          <w:tab/>
        </w:r>
        <w:r>
          <w:fldChar w:fldCharType="begin"/>
        </w:r>
        <w:r>
          <w:instrText xml:space="preserve"> PAGEREF _Toc256000253 \h </w:instrText>
        </w:r>
        <w:r>
          <w:fldChar w:fldCharType="separate"/>
        </w:r>
        <w:r>
          <w:t>347</w:t>
        </w:r>
        <w:r>
          <w:fldChar w:fldCharType="end"/>
        </w:r>
      </w:hyperlink>
    </w:p>
    <w:p>
      <w:pPr>
        <w:pStyle w:val="TOC2"/>
        <w:tabs>
          <w:tab w:val="right" w:leader="dot" w:pos="9926"/>
        </w:tabs>
        <w:rPr>
          <w:rFonts w:ascii="Calibri" w:hAnsi="Calibri"/>
          <w:noProof/>
          <w:sz w:val="22"/>
        </w:rPr>
      </w:pPr>
      <w:hyperlink w:anchor="_Toc256000254" w:history="1">
        <w:r>
          <w:rPr>
            <w:rStyle w:val="Hyperlink"/>
          </w:rPr>
          <w:t>Introduction</w:t>
        </w:r>
        <w:r>
          <w:tab/>
        </w:r>
        <w:r>
          <w:fldChar w:fldCharType="begin"/>
        </w:r>
        <w:r>
          <w:instrText xml:space="preserve"> PAGEREF _Toc256000254 \h </w:instrText>
        </w:r>
        <w:r>
          <w:fldChar w:fldCharType="separate"/>
        </w:r>
        <w:r>
          <w:t>347</w:t>
        </w:r>
        <w:r>
          <w:fldChar w:fldCharType="end"/>
        </w:r>
      </w:hyperlink>
    </w:p>
    <w:p>
      <w:pPr>
        <w:pStyle w:val="TOC2"/>
        <w:tabs>
          <w:tab w:val="right" w:leader="dot" w:pos="9926"/>
        </w:tabs>
        <w:rPr>
          <w:rFonts w:ascii="Calibri" w:hAnsi="Calibri"/>
          <w:noProof/>
          <w:sz w:val="22"/>
        </w:rPr>
      </w:pPr>
      <w:hyperlink w:anchor="_Toc256000255" w:history="1">
        <w:r>
          <w:rPr>
            <w:rStyle w:val="Hyperlink"/>
          </w:rPr>
          <w:t>13.1 Compliance Reference Chart</w:t>
        </w:r>
        <w:r>
          <w:tab/>
        </w:r>
        <w:r>
          <w:fldChar w:fldCharType="begin"/>
        </w:r>
        <w:r>
          <w:instrText xml:space="preserve"> PAGEREF _Toc256000255 \h </w:instrText>
        </w:r>
        <w:r>
          <w:fldChar w:fldCharType="separate"/>
        </w:r>
        <w:r>
          <w:t>347</w:t>
        </w:r>
        <w:r>
          <w:fldChar w:fldCharType="end"/>
        </w:r>
      </w:hyperlink>
    </w:p>
    <w:p>
      <w:pPr>
        <w:pStyle w:val="TOC2"/>
        <w:tabs>
          <w:tab w:val="right" w:leader="dot" w:pos="9926"/>
        </w:tabs>
        <w:rPr>
          <w:rFonts w:ascii="Calibri" w:hAnsi="Calibri"/>
          <w:noProof/>
          <w:sz w:val="22"/>
        </w:rPr>
      </w:pPr>
      <w:hyperlink w:anchor="_Toc256000256" w:history="1">
        <w:r>
          <w:rPr>
            <w:rStyle w:val="Hyperlink"/>
          </w:rPr>
          <w:t>13.2 Policy</w:t>
        </w:r>
        <w:r>
          <w:tab/>
        </w:r>
        <w:r>
          <w:fldChar w:fldCharType="begin"/>
        </w:r>
        <w:r>
          <w:instrText xml:space="preserve"> PAGEREF _Toc256000256 \h </w:instrText>
        </w:r>
        <w:r>
          <w:fldChar w:fldCharType="separate"/>
        </w:r>
        <w:r>
          <w:t>347</w:t>
        </w:r>
        <w:r>
          <w:fldChar w:fldCharType="end"/>
        </w:r>
      </w:hyperlink>
    </w:p>
    <w:p>
      <w:pPr>
        <w:pStyle w:val="TOC2"/>
        <w:tabs>
          <w:tab w:val="right" w:leader="dot" w:pos="9926"/>
        </w:tabs>
        <w:rPr>
          <w:rFonts w:ascii="Calibri" w:hAnsi="Calibri"/>
          <w:noProof/>
          <w:sz w:val="22"/>
        </w:rPr>
      </w:pPr>
      <w:hyperlink w:anchor="_Toc256000257" w:history="1">
        <w:r>
          <w:rPr>
            <w:rStyle w:val="Hyperlink"/>
          </w:rPr>
          <w:t>13.3 Procedures</w:t>
        </w:r>
        <w:r>
          <w:tab/>
        </w:r>
        <w:r>
          <w:fldChar w:fldCharType="begin"/>
        </w:r>
        <w:r>
          <w:instrText xml:space="preserve"> PAGEREF _Toc256000257 \h </w:instrText>
        </w:r>
        <w:r>
          <w:fldChar w:fldCharType="separate"/>
        </w:r>
        <w:r>
          <w:t>347</w:t>
        </w:r>
        <w:r>
          <w:fldChar w:fldCharType="end"/>
        </w:r>
      </w:hyperlink>
    </w:p>
    <w:p>
      <w:pPr>
        <w:pStyle w:val="TOC3"/>
        <w:tabs>
          <w:tab w:val="right" w:leader="dot" w:pos="9926"/>
        </w:tabs>
        <w:rPr>
          <w:rFonts w:ascii="Calibri" w:hAnsi="Calibri"/>
          <w:noProof/>
          <w:sz w:val="22"/>
        </w:rPr>
      </w:pPr>
      <w:hyperlink w:anchor="_Toc256000258" w:history="1">
        <w:r>
          <w:rPr>
            <w:rStyle w:val="Hyperlink"/>
          </w:rPr>
          <w:t>13.3.1 Required Records</w:t>
        </w:r>
        <w:r>
          <w:tab/>
        </w:r>
        <w:r>
          <w:fldChar w:fldCharType="begin"/>
        </w:r>
        <w:r>
          <w:instrText xml:space="preserve"> PAGEREF _Toc256000258 \h </w:instrText>
        </w:r>
        <w:r>
          <w:fldChar w:fldCharType="separate"/>
        </w:r>
        <w:r>
          <w:t>347</w:t>
        </w:r>
        <w:r>
          <w:fldChar w:fldCharType="end"/>
        </w:r>
      </w:hyperlink>
    </w:p>
    <w:p>
      <w:pPr>
        <w:pStyle w:val="TOC3"/>
        <w:tabs>
          <w:tab w:val="right" w:leader="dot" w:pos="9926"/>
        </w:tabs>
        <w:rPr>
          <w:rFonts w:ascii="Calibri" w:hAnsi="Calibri"/>
          <w:noProof/>
          <w:sz w:val="22"/>
        </w:rPr>
      </w:pPr>
      <w:hyperlink w:anchor="_Toc256000259" w:history="1">
        <w:r>
          <w:rPr>
            <w:rStyle w:val="Hyperlink"/>
          </w:rPr>
          <w:t>13.3.2 Record Retention</w:t>
        </w:r>
        <w:r>
          <w:tab/>
        </w:r>
        <w:r>
          <w:fldChar w:fldCharType="begin"/>
        </w:r>
        <w:r>
          <w:instrText xml:space="preserve"> PAGEREF _Toc256000259 \h </w:instrText>
        </w:r>
        <w:r>
          <w:fldChar w:fldCharType="separate"/>
        </w:r>
        <w:r>
          <w:t>352</w:t>
        </w:r>
        <w:r>
          <w:fldChar w:fldCharType="end"/>
        </w:r>
      </w:hyperlink>
    </w:p>
    <w:p>
      <w:pPr>
        <w:pStyle w:val="TOC3"/>
        <w:tabs>
          <w:tab w:val="right" w:leader="dot" w:pos="9926"/>
        </w:tabs>
        <w:rPr>
          <w:rFonts w:ascii="Calibri" w:hAnsi="Calibri"/>
          <w:noProof/>
          <w:sz w:val="22"/>
        </w:rPr>
      </w:pPr>
      <w:hyperlink w:anchor="_Toc256000260" w:history="1">
        <w:r>
          <w:rPr>
            <w:rStyle w:val="Hyperlink"/>
          </w:rPr>
          <w:t>13.3.3 Method of Recordkeeping</w:t>
        </w:r>
        <w:r>
          <w:tab/>
        </w:r>
        <w:r>
          <w:fldChar w:fldCharType="begin"/>
        </w:r>
        <w:r>
          <w:instrText xml:space="preserve"> PAGEREF _Toc256000260 \h </w:instrText>
        </w:r>
        <w:r>
          <w:fldChar w:fldCharType="separate"/>
        </w:r>
        <w:r>
          <w:t>353</w:t>
        </w:r>
        <w:r>
          <w:fldChar w:fldCharType="end"/>
        </w:r>
      </w:hyperlink>
    </w:p>
    <w:p>
      <w:pPr>
        <w:pStyle w:val="TOC3"/>
        <w:tabs>
          <w:tab w:val="right" w:leader="dot" w:pos="9926"/>
        </w:tabs>
        <w:rPr>
          <w:rFonts w:ascii="Calibri" w:hAnsi="Calibri"/>
          <w:noProof/>
          <w:sz w:val="22"/>
        </w:rPr>
      </w:pPr>
      <w:hyperlink w:anchor="_Toc256000261" w:history="1">
        <w:r>
          <w:rPr>
            <w:rStyle w:val="Hyperlink"/>
          </w:rPr>
          <w:t>13.3.4 Manner of Recordkeeping</w:t>
        </w:r>
        <w:r>
          <w:tab/>
        </w:r>
        <w:r>
          <w:fldChar w:fldCharType="begin"/>
        </w:r>
        <w:r>
          <w:instrText xml:space="preserve"> PAGEREF _Toc256000261 \h </w:instrText>
        </w:r>
        <w:r>
          <w:fldChar w:fldCharType="separate"/>
        </w:r>
        <w:r>
          <w:t>353</w:t>
        </w:r>
        <w:r>
          <w:fldChar w:fldCharType="end"/>
        </w:r>
      </w:hyperlink>
    </w:p>
    <w:p>
      <w:pPr>
        <w:pStyle w:val="TOC3"/>
        <w:tabs>
          <w:tab w:val="right" w:leader="dot" w:pos="9926"/>
        </w:tabs>
        <w:rPr>
          <w:rFonts w:ascii="Calibri" w:hAnsi="Calibri"/>
          <w:noProof/>
          <w:sz w:val="22"/>
        </w:rPr>
      </w:pPr>
      <w:hyperlink w:anchor="_Toc256000262" w:history="1">
        <w:r>
          <w:rPr>
            <w:rStyle w:val="Hyperlink"/>
          </w:rPr>
          <w:t>13.3.5 Recordkeeping Officer Duties</w:t>
        </w:r>
        <w:r>
          <w:tab/>
        </w:r>
        <w:r>
          <w:fldChar w:fldCharType="begin"/>
        </w:r>
        <w:r>
          <w:instrText xml:space="preserve"> PAGEREF _Toc256000262 \h </w:instrText>
        </w:r>
        <w:r>
          <w:fldChar w:fldCharType="separate"/>
        </w:r>
        <w:r>
          <w:t>355</w:t>
        </w:r>
        <w:r>
          <w:fldChar w:fldCharType="end"/>
        </w:r>
      </w:hyperlink>
    </w:p>
    <w:p>
      <w:pPr>
        <w:pStyle w:val="TOC3"/>
        <w:tabs>
          <w:tab w:val="right" w:leader="dot" w:pos="9926"/>
        </w:tabs>
        <w:rPr>
          <w:rFonts w:ascii="Calibri" w:hAnsi="Calibri"/>
          <w:noProof/>
          <w:sz w:val="22"/>
        </w:rPr>
      </w:pPr>
      <w:hyperlink w:anchor="_Toc256000263" w:history="1">
        <w:r>
          <w:rPr>
            <w:rStyle w:val="Hyperlink"/>
          </w:rPr>
          <w:t>13.3.6 Records Review</w:t>
        </w:r>
        <w:r>
          <w:tab/>
        </w:r>
        <w:r>
          <w:fldChar w:fldCharType="begin"/>
        </w:r>
        <w:r>
          <w:instrText xml:space="preserve"> PAGEREF _Toc256000263 \h </w:instrText>
        </w:r>
        <w:r>
          <w:fldChar w:fldCharType="separate"/>
        </w:r>
        <w:r>
          <w:t>355</w:t>
        </w:r>
        <w:r>
          <w:fldChar w:fldCharType="end"/>
        </w:r>
      </w:hyperlink>
    </w:p>
    <w:p>
      <w:pPr>
        <w:pStyle w:val="TOC3"/>
        <w:tabs>
          <w:tab w:val="right" w:leader="dot" w:pos="9926"/>
        </w:tabs>
        <w:rPr>
          <w:rFonts w:ascii="Calibri" w:hAnsi="Calibri"/>
          <w:noProof/>
          <w:sz w:val="22"/>
        </w:rPr>
      </w:pPr>
      <w:hyperlink w:anchor="_Toc256000264" w:history="1">
        <w:r>
          <w:rPr>
            <w:rStyle w:val="Hyperlink"/>
          </w:rPr>
          <w:t>13.3.7 Records Destruction Policy</w:t>
        </w:r>
        <w:r>
          <w:tab/>
        </w:r>
        <w:r>
          <w:fldChar w:fldCharType="begin"/>
        </w:r>
        <w:r>
          <w:instrText xml:space="preserve"> PAGEREF _Toc256000264 \h </w:instrText>
        </w:r>
        <w:r>
          <w:fldChar w:fldCharType="separate"/>
        </w:r>
        <w:r>
          <w:t>356</w:t>
        </w:r>
        <w:r>
          <w:fldChar w:fldCharType="end"/>
        </w:r>
      </w:hyperlink>
    </w:p>
    <w:p>
      <w:pPr>
        <w:pStyle w:val="TOC2"/>
        <w:tabs>
          <w:tab w:val="right" w:leader="dot" w:pos="9926"/>
        </w:tabs>
        <w:rPr>
          <w:rFonts w:ascii="Calibri" w:hAnsi="Calibri"/>
          <w:noProof/>
          <w:sz w:val="22"/>
        </w:rPr>
      </w:pPr>
      <w:hyperlink w:anchor="_Toc256000265" w:history="1">
        <w:r>
          <w:rPr>
            <w:rStyle w:val="Hyperlink"/>
          </w:rPr>
          <w:t>13.4 Books and Records</w:t>
        </w:r>
        <w:r>
          <w:tab/>
        </w:r>
        <w:r>
          <w:fldChar w:fldCharType="begin"/>
        </w:r>
        <w:r>
          <w:instrText xml:space="preserve"> PAGEREF _Toc256000265 \h </w:instrText>
        </w:r>
        <w:r>
          <w:fldChar w:fldCharType="separate"/>
        </w:r>
        <w:r>
          <w:t>356</w:t>
        </w:r>
        <w:r>
          <w:fldChar w:fldCharType="end"/>
        </w:r>
      </w:hyperlink>
    </w:p>
    <w:p>
      <w:pPr>
        <w:pStyle w:val="TOC1"/>
        <w:tabs>
          <w:tab w:val="right" w:leader="dot" w:pos="9926"/>
        </w:tabs>
        <w:rPr>
          <w:rFonts w:ascii="Calibri" w:hAnsi="Calibri"/>
          <w:noProof/>
          <w:sz w:val="22"/>
        </w:rPr>
      </w:pPr>
      <w:hyperlink w:anchor="_Toc256000266" w:history="1">
        <w:r>
          <w:rPr>
            <w:rStyle w:val="Hyperlink"/>
          </w:rPr>
          <w:t>14 COMPLIANCE</w:t>
        </w:r>
        <w:r>
          <w:tab/>
        </w:r>
        <w:r>
          <w:fldChar w:fldCharType="begin"/>
        </w:r>
        <w:r>
          <w:instrText xml:space="preserve"> PAGEREF _Toc256000266 \h </w:instrText>
        </w:r>
        <w:r>
          <w:fldChar w:fldCharType="separate"/>
        </w:r>
        <w:r>
          <w:t>357</w:t>
        </w:r>
        <w:r>
          <w:fldChar w:fldCharType="end"/>
        </w:r>
      </w:hyperlink>
    </w:p>
    <w:p>
      <w:pPr>
        <w:pStyle w:val="TOC2"/>
        <w:tabs>
          <w:tab w:val="right" w:leader="dot" w:pos="9926"/>
        </w:tabs>
        <w:rPr>
          <w:rFonts w:ascii="Calibri" w:hAnsi="Calibri"/>
          <w:noProof/>
          <w:sz w:val="22"/>
        </w:rPr>
      </w:pPr>
      <w:hyperlink w:anchor="_Toc256000267" w:history="1">
        <w:r>
          <w:rPr>
            <w:rStyle w:val="Hyperlink"/>
          </w:rPr>
          <w:t>Introduction</w:t>
        </w:r>
        <w:r>
          <w:tab/>
        </w:r>
        <w:r>
          <w:fldChar w:fldCharType="begin"/>
        </w:r>
        <w:r>
          <w:instrText xml:space="preserve"> PAGEREF _Toc256000267 \h </w:instrText>
        </w:r>
        <w:r>
          <w:fldChar w:fldCharType="separate"/>
        </w:r>
        <w:r>
          <w:t>357</w:t>
        </w:r>
        <w:r>
          <w:fldChar w:fldCharType="end"/>
        </w:r>
      </w:hyperlink>
    </w:p>
    <w:p>
      <w:pPr>
        <w:pStyle w:val="TOC2"/>
        <w:tabs>
          <w:tab w:val="right" w:leader="dot" w:pos="9926"/>
        </w:tabs>
        <w:rPr>
          <w:rFonts w:ascii="Calibri" w:hAnsi="Calibri"/>
          <w:noProof/>
          <w:sz w:val="22"/>
        </w:rPr>
      </w:pPr>
      <w:hyperlink w:anchor="_Toc256000268" w:history="1">
        <w:r>
          <w:rPr>
            <w:rStyle w:val="Hyperlink"/>
          </w:rPr>
          <w:t>14.1 Compliance Reference Chart</w:t>
        </w:r>
        <w:r>
          <w:tab/>
        </w:r>
        <w:r>
          <w:fldChar w:fldCharType="begin"/>
        </w:r>
        <w:r>
          <w:instrText xml:space="preserve"> PAGEREF _Toc256000268 \h </w:instrText>
        </w:r>
        <w:r>
          <w:fldChar w:fldCharType="separate"/>
        </w:r>
        <w:r>
          <w:t>357</w:t>
        </w:r>
        <w:r>
          <w:fldChar w:fldCharType="end"/>
        </w:r>
      </w:hyperlink>
    </w:p>
    <w:p>
      <w:pPr>
        <w:pStyle w:val="TOC2"/>
        <w:tabs>
          <w:tab w:val="right" w:leader="dot" w:pos="9926"/>
        </w:tabs>
        <w:rPr>
          <w:rFonts w:ascii="Calibri" w:hAnsi="Calibri"/>
          <w:noProof/>
          <w:sz w:val="22"/>
        </w:rPr>
      </w:pPr>
      <w:hyperlink w:anchor="_Toc256000269" w:history="1">
        <w:r>
          <w:rPr>
            <w:rStyle w:val="Hyperlink"/>
          </w:rPr>
          <w:t>14.2 Policy</w:t>
        </w:r>
        <w:r>
          <w:tab/>
        </w:r>
        <w:r>
          <w:fldChar w:fldCharType="begin"/>
        </w:r>
        <w:r>
          <w:instrText xml:space="preserve"> PAGEREF _Toc256000269 \h </w:instrText>
        </w:r>
        <w:r>
          <w:fldChar w:fldCharType="separate"/>
        </w:r>
        <w:r>
          <w:t>357</w:t>
        </w:r>
        <w:r>
          <w:fldChar w:fldCharType="end"/>
        </w:r>
      </w:hyperlink>
    </w:p>
    <w:p>
      <w:pPr>
        <w:pStyle w:val="TOC2"/>
        <w:tabs>
          <w:tab w:val="right" w:leader="dot" w:pos="9926"/>
        </w:tabs>
        <w:rPr>
          <w:rFonts w:ascii="Calibri" w:hAnsi="Calibri"/>
          <w:noProof/>
          <w:sz w:val="22"/>
        </w:rPr>
      </w:pPr>
      <w:hyperlink w:anchor="_Toc256000270" w:history="1">
        <w:r>
          <w:rPr>
            <w:rStyle w:val="Hyperlink"/>
          </w:rPr>
          <w:t>14.3 Procedures</w:t>
        </w:r>
        <w:r>
          <w:tab/>
        </w:r>
        <w:r>
          <w:fldChar w:fldCharType="begin"/>
        </w:r>
        <w:r>
          <w:instrText xml:space="preserve"> PAGEREF _Toc256000270 \h </w:instrText>
        </w:r>
        <w:r>
          <w:fldChar w:fldCharType="separate"/>
        </w:r>
        <w:r>
          <w:t>358</w:t>
        </w:r>
        <w:r>
          <w:fldChar w:fldCharType="end"/>
        </w:r>
      </w:hyperlink>
    </w:p>
    <w:p>
      <w:pPr>
        <w:pStyle w:val="TOC3"/>
        <w:tabs>
          <w:tab w:val="right" w:leader="dot" w:pos="9926"/>
        </w:tabs>
        <w:rPr>
          <w:rFonts w:ascii="Calibri" w:hAnsi="Calibri"/>
          <w:noProof/>
          <w:sz w:val="22"/>
        </w:rPr>
      </w:pPr>
      <w:hyperlink w:anchor="_Toc256000271" w:history="1">
        <w:r>
          <w:rPr>
            <w:rStyle w:val="Hyperlink"/>
          </w:rPr>
          <w:t>14.3.1 Compliance Procedures</w:t>
        </w:r>
        <w:r>
          <w:tab/>
        </w:r>
        <w:r>
          <w:fldChar w:fldCharType="begin"/>
        </w:r>
        <w:r>
          <w:instrText xml:space="preserve"> PAGEREF _Toc256000271 \h </w:instrText>
        </w:r>
        <w:r>
          <w:fldChar w:fldCharType="separate"/>
        </w:r>
        <w:r>
          <w:t>358</w:t>
        </w:r>
        <w:r>
          <w:fldChar w:fldCharType="end"/>
        </w:r>
      </w:hyperlink>
    </w:p>
    <w:p>
      <w:pPr>
        <w:pStyle w:val="TOC3"/>
        <w:tabs>
          <w:tab w:val="right" w:leader="dot" w:pos="9926"/>
        </w:tabs>
        <w:rPr>
          <w:rFonts w:ascii="Calibri" w:hAnsi="Calibri"/>
          <w:noProof/>
          <w:sz w:val="22"/>
        </w:rPr>
      </w:pPr>
      <w:hyperlink w:anchor="_Toc256000272" w:history="1">
        <w:r>
          <w:rPr>
            <w:rStyle w:val="Hyperlink"/>
          </w:rPr>
          <w:t>14.3.2 Chief Compliance Officer</w:t>
        </w:r>
        <w:r>
          <w:tab/>
        </w:r>
        <w:r>
          <w:fldChar w:fldCharType="begin"/>
        </w:r>
        <w:r>
          <w:instrText xml:space="preserve"> PAGEREF _Toc256000272 \h </w:instrText>
        </w:r>
        <w:r>
          <w:fldChar w:fldCharType="separate"/>
        </w:r>
        <w:r>
          <w:t>358</w:t>
        </w:r>
        <w:r>
          <w:fldChar w:fldCharType="end"/>
        </w:r>
      </w:hyperlink>
    </w:p>
    <w:p>
      <w:pPr>
        <w:pStyle w:val="TOC3"/>
        <w:tabs>
          <w:tab w:val="right" w:leader="dot" w:pos="9926"/>
        </w:tabs>
        <w:rPr>
          <w:rFonts w:ascii="Calibri" w:hAnsi="Calibri"/>
          <w:noProof/>
          <w:sz w:val="22"/>
        </w:rPr>
      </w:pPr>
      <w:hyperlink w:anchor="_Toc256000273" w:history="1">
        <w:r>
          <w:rPr>
            <w:rStyle w:val="Hyperlink"/>
          </w:rPr>
          <w:t>14.3.3 Senior Management</w:t>
        </w:r>
        <w:r>
          <w:tab/>
        </w:r>
        <w:r>
          <w:fldChar w:fldCharType="begin"/>
        </w:r>
        <w:r>
          <w:instrText xml:space="preserve"> PAGEREF _Toc256000273 \h </w:instrText>
        </w:r>
        <w:r>
          <w:fldChar w:fldCharType="separate"/>
        </w:r>
        <w:r>
          <w:t>359</w:t>
        </w:r>
        <w:r>
          <w:fldChar w:fldCharType="end"/>
        </w:r>
      </w:hyperlink>
    </w:p>
    <w:p>
      <w:pPr>
        <w:pStyle w:val="TOC3"/>
        <w:tabs>
          <w:tab w:val="right" w:leader="dot" w:pos="9926"/>
        </w:tabs>
        <w:rPr>
          <w:rFonts w:ascii="Calibri" w:hAnsi="Calibri"/>
          <w:noProof/>
          <w:sz w:val="22"/>
        </w:rPr>
      </w:pPr>
      <w:hyperlink w:anchor="_Toc256000274" w:history="1">
        <w:r>
          <w:rPr>
            <w:rStyle w:val="Hyperlink"/>
          </w:rPr>
          <w:t>14.3.4 Service Providers</w:t>
        </w:r>
        <w:r>
          <w:tab/>
        </w:r>
        <w:r>
          <w:fldChar w:fldCharType="begin"/>
        </w:r>
        <w:r>
          <w:instrText xml:space="preserve"> PAGEREF _Toc256000274 \h </w:instrText>
        </w:r>
        <w:r>
          <w:fldChar w:fldCharType="separate"/>
        </w:r>
        <w:r>
          <w:t>359</w:t>
        </w:r>
        <w:r>
          <w:fldChar w:fldCharType="end"/>
        </w:r>
      </w:hyperlink>
    </w:p>
    <w:p>
      <w:pPr>
        <w:pStyle w:val="TOC3"/>
        <w:tabs>
          <w:tab w:val="right" w:leader="dot" w:pos="9926"/>
        </w:tabs>
        <w:rPr>
          <w:rFonts w:ascii="Calibri" w:hAnsi="Calibri"/>
          <w:noProof/>
          <w:sz w:val="22"/>
        </w:rPr>
      </w:pPr>
      <w:hyperlink w:anchor="_Toc256000275" w:history="1">
        <w:r>
          <w:rPr>
            <w:rStyle w:val="Hyperlink"/>
          </w:rPr>
          <w:t>14.3.5 Supervisory System</w:t>
        </w:r>
        <w:r>
          <w:tab/>
        </w:r>
        <w:r>
          <w:fldChar w:fldCharType="begin"/>
        </w:r>
        <w:r>
          <w:instrText xml:space="preserve"> PAGEREF _Toc256000275 \h </w:instrText>
        </w:r>
        <w:r>
          <w:fldChar w:fldCharType="separate"/>
        </w:r>
        <w:r>
          <w:t>360</w:t>
        </w:r>
        <w:r>
          <w:fldChar w:fldCharType="end"/>
        </w:r>
      </w:hyperlink>
    </w:p>
    <w:p>
      <w:pPr>
        <w:pStyle w:val="TOC3"/>
        <w:tabs>
          <w:tab w:val="right" w:leader="dot" w:pos="9926"/>
        </w:tabs>
        <w:rPr>
          <w:rFonts w:ascii="Calibri" w:hAnsi="Calibri"/>
          <w:noProof/>
          <w:sz w:val="22"/>
        </w:rPr>
      </w:pPr>
      <w:hyperlink w:anchor="_Toc256000276" w:history="1">
        <w:r>
          <w:rPr>
            <w:rStyle w:val="Hyperlink"/>
          </w:rPr>
          <w:t>14.3.6 Certification</w:t>
        </w:r>
        <w:r>
          <w:tab/>
        </w:r>
        <w:r>
          <w:fldChar w:fldCharType="begin"/>
        </w:r>
        <w:r>
          <w:instrText xml:space="preserve"> PAGEREF _Toc256000276 \h </w:instrText>
        </w:r>
        <w:r>
          <w:fldChar w:fldCharType="separate"/>
        </w:r>
        <w:r>
          <w:t>364</w:t>
        </w:r>
        <w:r>
          <w:fldChar w:fldCharType="end"/>
        </w:r>
      </w:hyperlink>
    </w:p>
    <w:p>
      <w:pPr>
        <w:pStyle w:val="TOC3"/>
        <w:tabs>
          <w:tab w:val="right" w:leader="dot" w:pos="9926"/>
        </w:tabs>
        <w:rPr>
          <w:rFonts w:ascii="Calibri" w:hAnsi="Calibri"/>
          <w:noProof/>
          <w:sz w:val="22"/>
        </w:rPr>
      </w:pPr>
      <w:hyperlink w:anchor="_Toc256000277" w:history="1">
        <w:r>
          <w:rPr>
            <w:rStyle w:val="Hyperlink"/>
          </w:rPr>
          <w:t>14.3.7 Training</w:t>
        </w:r>
        <w:r>
          <w:tab/>
        </w:r>
        <w:r>
          <w:fldChar w:fldCharType="begin"/>
        </w:r>
        <w:r>
          <w:instrText xml:space="preserve"> PAGEREF _Toc256000277 \h </w:instrText>
        </w:r>
        <w:r>
          <w:fldChar w:fldCharType="separate"/>
        </w:r>
        <w:r>
          <w:t>364</w:t>
        </w:r>
        <w:r>
          <w:fldChar w:fldCharType="end"/>
        </w:r>
      </w:hyperlink>
    </w:p>
    <w:p>
      <w:pPr>
        <w:pStyle w:val="TOC3"/>
        <w:tabs>
          <w:tab w:val="right" w:leader="dot" w:pos="9926"/>
        </w:tabs>
        <w:rPr>
          <w:rFonts w:ascii="Calibri" w:hAnsi="Calibri"/>
          <w:noProof/>
          <w:sz w:val="22"/>
        </w:rPr>
      </w:pPr>
      <w:hyperlink w:anchor="_Toc256000278" w:history="1">
        <w:r>
          <w:rPr>
            <w:rStyle w:val="Hyperlink"/>
          </w:rPr>
          <w:t>14.3.8 Audits</w:t>
        </w:r>
        <w:r>
          <w:tab/>
        </w:r>
        <w:r>
          <w:fldChar w:fldCharType="begin"/>
        </w:r>
        <w:r>
          <w:instrText xml:space="preserve"> PAGEREF _Toc256000278 \h </w:instrText>
        </w:r>
        <w:r>
          <w:fldChar w:fldCharType="separate"/>
        </w:r>
        <w:r>
          <w:t>365</w:t>
        </w:r>
        <w:r>
          <w:fldChar w:fldCharType="end"/>
        </w:r>
      </w:hyperlink>
    </w:p>
    <w:p>
      <w:pPr>
        <w:pStyle w:val="TOC3"/>
        <w:tabs>
          <w:tab w:val="right" w:leader="dot" w:pos="9926"/>
        </w:tabs>
        <w:rPr>
          <w:rFonts w:ascii="Calibri" w:hAnsi="Calibri"/>
          <w:noProof/>
          <w:sz w:val="22"/>
        </w:rPr>
      </w:pPr>
      <w:hyperlink w:anchor="_Toc256000279" w:history="1">
        <w:r>
          <w:rPr>
            <w:rStyle w:val="Hyperlink"/>
          </w:rPr>
          <w:t>14.3.9 Resources</w:t>
        </w:r>
        <w:r>
          <w:tab/>
        </w:r>
        <w:r>
          <w:fldChar w:fldCharType="begin"/>
        </w:r>
        <w:r>
          <w:instrText xml:space="preserve"> PAGEREF _Toc256000279 \h </w:instrText>
        </w:r>
        <w:r>
          <w:fldChar w:fldCharType="separate"/>
        </w:r>
        <w:r>
          <w:t>369</w:t>
        </w:r>
        <w:r>
          <w:fldChar w:fldCharType="end"/>
        </w:r>
      </w:hyperlink>
    </w:p>
    <w:p>
      <w:pPr>
        <w:pStyle w:val="TOC3"/>
        <w:tabs>
          <w:tab w:val="right" w:leader="dot" w:pos="9926"/>
        </w:tabs>
        <w:rPr>
          <w:rFonts w:ascii="Calibri" w:hAnsi="Calibri"/>
          <w:noProof/>
          <w:sz w:val="22"/>
        </w:rPr>
      </w:pPr>
      <w:hyperlink w:anchor="_Toc256000280" w:history="1">
        <w:r>
          <w:rPr>
            <w:rStyle w:val="Hyperlink"/>
          </w:rPr>
          <w:t>14.3.10 Independent Review of Compliance Program</w:t>
        </w:r>
        <w:r>
          <w:tab/>
        </w:r>
        <w:r>
          <w:fldChar w:fldCharType="begin"/>
        </w:r>
        <w:r>
          <w:instrText xml:space="preserve"> PAGEREF _Toc256000280 \h </w:instrText>
        </w:r>
        <w:r>
          <w:fldChar w:fldCharType="separate"/>
        </w:r>
        <w:r>
          <w:t>369</w:t>
        </w:r>
        <w:r>
          <w:fldChar w:fldCharType="end"/>
        </w:r>
      </w:hyperlink>
    </w:p>
    <w:p>
      <w:pPr>
        <w:pStyle w:val="TOC3"/>
        <w:tabs>
          <w:tab w:val="right" w:leader="dot" w:pos="9926"/>
        </w:tabs>
        <w:rPr>
          <w:rFonts w:ascii="Calibri" w:hAnsi="Calibri"/>
          <w:noProof/>
          <w:sz w:val="22"/>
        </w:rPr>
      </w:pPr>
      <w:hyperlink w:anchor="_Toc256000281" w:history="1">
        <w:r>
          <w:rPr>
            <w:rStyle w:val="Hyperlink"/>
          </w:rPr>
          <w:t>14.3.11 Regulatory Inspections</w:t>
        </w:r>
        <w:r>
          <w:tab/>
        </w:r>
        <w:r>
          <w:fldChar w:fldCharType="begin"/>
        </w:r>
        <w:r>
          <w:instrText xml:space="preserve"> PAGEREF _Toc256000281 \h </w:instrText>
        </w:r>
        <w:r>
          <w:fldChar w:fldCharType="separate"/>
        </w:r>
        <w:r>
          <w:t>369</w:t>
        </w:r>
        <w:r>
          <w:fldChar w:fldCharType="end"/>
        </w:r>
      </w:hyperlink>
    </w:p>
    <w:p>
      <w:pPr>
        <w:pStyle w:val="TOC3"/>
        <w:tabs>
          <w:tab w:val="right" w:leader="dot" w:pos="9926"/>
        </w:tabs>
        <w:rPr>
          <w:rFonts w:ascii="Calibri" w:hAnsi="Calibri"/>
          <w:noProof/>
          <w:sz w:val="22"/>
        </w:rPr>
      </w:pPr>
      <w:hyperlink w:anchor="_Toc256000282" w:history="1">
        <w:r>
          <w:rPr>
            <w:rStyle w:val="Hyperlink"/>
          </w:rPr>
          <w:t>14.3.12 Compliance Manual Violations</w:t>
        </w:r>
        <w:r>
          <w:tab/>
        </w:r>
        <w:r>
          <w:fldChar w:fldCharType="begin"/>
        </w:r>
        <w:r>
          <w:instrText xml:space="preserve"> PAGEREF _Toc256000282 \h </w:instrText>
        </w:r>
        <w:r>
          <w:fldChar w:fldCharType="separate"/>
        </w:r>
        <w:r>
          <w:t>371</w:t>
        </w:r>
        <w:r>
          <w:fldChar w:fldCharType="end"/>
        </w:r>
      </w:hyperlink>
    </w:p>
    <w:p>
      <w:pPr>
        <w:pStyle w:val="TOC3"/>
        <w:tabs>
          <w:tab w:val="right" w:leader="dot" w:pos="9926"/>
        </w:tabs>
        <w:rPr>
          <w:rFonts w:ascii="Calibri" w:hAnsi="Calibri"/>
          <w:noProof/>
          <w:sz w:val="22"/>
        </w:rPr>
      </w:pPr>
      <w:hyperlink w:anchor="_Toc256000283" w:history="1">
        <w:r>
          <w:rPr>
            <w:rStyle w:val="Hyperlink"/>
          </w:rPr>
          <w:t>14.3.13 Risk Assessment</w:t>
        </w:r>
        <w:r>
          <w:tab/>
        </w:r>
        <w:r>
          <w:fldChar w:fldCharType="begin"/>
        </w:r>
        <w:r>
          <w:instrText xml:space="preserve"> PAGEREF _Toc256000283 \h </w:instrText>
        </w:r>
        <w:r>
          <w:fldChar w:fldCharType="separate"/>
        </w:r>
        <w:r>
          <w:t>371</w:t>
        </w:r>
        <w:r>
          <w:fldChar w:fldCharType="end"/>
        </w:r>
      </w:hyperlink>
    </w:p>
    <w:p>
      <w:pPr>
        <w:pStyle w:val="TOC3"/>
        <w:tabs>
          <w:tab w:val="right" w:leader="dot" w:pos="9926"/>
        </w:tabs>
        <w:rPr>
          <w:rFonts w:ascii="Calibri" w:hAnsi="Calibri"/>
          <w:noProof/>
          <w:sz w:val="22"/>
        </w:rPr>
      </w:pPr>
      <w:hyperlink w:anchor="_Toc256000284" w:history="1">
        <w:r>
          <w:rPr>
            <w:rStyle w:val="Hyperlink"/>
          </w:rPr>
          <w:t>14.3.14 CCO-CEO Communications</w:t>
        </w:r>
        <w:r>
          <w:tab/>
        </w:r>
        <w:r>
          <w:fldChar w:fldCharType="begin"/>
        </w:r>
        <w:r>
          <w:instrText xml:space="preserve"> PAGEREF _Toc256000284 \h </w:instrText>
        </w:r>
        <w:r>
          <w:fldChar w:fldCharType="separate"/>
        </w:r>
        <w:r>
          <w:t>372</w:t>
        </w:r>
        <w:r>
          <w:fldChar w:fldCharType="end"/>
        </w:r>
      </w:hyperlink>
    </w:p>
    <w:p>
      <w:pPr>
        <w:pStyle w:val="TOC3"/>
        <w:tabs>
          <w:tab w:val="right" w:leader="dot" w:pos="9926"/>
        </w:tabs>
        <w:rPr>
          <w:rFonts w:ascii="Calibri" w:hAnsi="Calibri"/>
          <w:noProof/>
          <w:sz w:val="22"/>
        </w:rPr>
      </w:pPr>
      <w:hyperlink w:anchor="_Toc256000285" w:history="1">
        <w:r>
          <w:rPr>
            <w:rStyle w:val="Hyperlink"/>
          </w:rPr>
          <w:t>14.3.15 Amendments to Compliance Procedures</w:t>
        </w:r>
        <w:r>
          <w:tab/>
        </w:r>
        <w:r>
          <w:fldChar w:fldCharType="begin"/>
        </w:r>
        <w:r>
          <w:instrText xml:space="preserve"> PAGEREF _Toc256000285 \h </w:instrText>
        </w:r>
        <w:r>
          <w:fldChar w:fldCharType="separate"/>
        </w:r>
        <w:r>
          <w:t>373</w:t>
        </w:r>
        <w:r>
          <w:fldChar w:fldCharType="end"/>
        </w:r>
      </w:hyperlink>
    </w:p>
    <w:p>
      <w:pPr>
        <w:pStyle w:val="TOC3"/>
        <w:tabs>
          <w:tab w:val="right" w:leader="dot" w:pos="9926"/>
        </w:tabs>
        <w:rPr>
          <w:rFonts w:ascii="Calibri" w:hAnsi="Calibri"/>
          <w:noProof/>
          <w:sz w:val="22"/>
        </w:rPr>
      </w:pPr>
      <w:hyperlink w:anchor="_Toc256000286" w:history="1">
        <w:r>
          <w:rPr>
            <w:rStyle w:val="Hyperlink"/>
          </w:rPr>
          <w:t>14.3.16 Forensic Testing</w:t>
        </w:r>
        <w:r>
          <w:tab/>
        </w:r>
        <w:r>
          <w:fldChar w:fldCharType="begin"/>
        </w:r>
        <w:r>
          <w:instrText xml:space="preserve"> PAGEREF _Toc256000286 \h </w:instrText>
        </w:r>
        <w:r>
          <w:fldChar w:fldCharType="separate"/>
        </w:r>
        <w:r>
          <w:t>373</w:t>
        </w:r>
        <w:r>
          <w:fldChar w:fldCharType="end"/>
        </w:r>
      </w:hyperlink>
    </w:p>
    <w:p>
      <w:pPr>
        <w:pStyle w:val="TOC3"/>
        <w:tabs>
          <w:tab w:val="right" w:leader="dot" w:pos="9926"/>
        </w:tabs>
        <w:rPr>
          <w:rFonts w:ascii="Calibri" w:hAnsi="Calibri"/>
          <w:noProof/>
          <w:sz w:val="22"/>
        </w:rPr>
      </w:pPr>
      <w:hyperlink w:anchor="_Toc256000287" w:history="1">
        <w:r>
          <w:rPr>
            <w:rStyle w:val="Hyperlink"/>
          </w:rPr>
          <w:t>14.3.17 SEC Exemptive Orders and No-Action Letters</w:t>
        </w:r>
        <w:r>
          <w:tab/>
        </w:r>
        <w:r>
          <w:fldChar w:fldCharType="begin"/>
        </w:r>
        <w:r>
          <w:instrText xml:space="preserve"> PAGEREF _Toc256000287 \h </w:instrText>
        </w:r>
        <w:r>
          <w:fldChar w:fldCharType="separate"/>
        </w:r>
        <w:r>
          <w:t>376</w:t>
        </w:r>
        <w:r>
          <w:fldChar w:fldCharType="end"/>
        </w:r>
      </w:hyperlink>
    </w:p>
    <w:p>
      <w:pPr>
        <w:pStyle w:val="TOC3"/>
        <w:tabs>
          <w:tab w:val="right" w:leader="dot" w:pos="9926"/>
        </w:tabs>
        <w:rPr>
          <w:rFonts w:ascii="Calibri" w:hAnsi="Calibri"/>
          <w:noProof/>
          <w:sz w:val="22"/>
        </w:rPr>
      </w:pPr>
      <w:hyperlink w:anchor="_Toc256000288" w:history="1">
        <w:r>
          <w:rPr>
            <w:rStyle w:val="Hyperlink"/>
          </w:rPr>
          <w:t>14.3.18 Branch Offices</w:t>
        </w:r>
        <w:r>
          <w:tab/>
        </w:r>
        <w:r>
          <w:fldChar w:fldCharType="begin"/>
        </w:r>
        <w:r>
          <w:instrText xml:space="preserve"> PAGEREF _Toc256000288 \h </w:instrText>
        </w:r>
        <w:r>
          <w:fldChar w:fldCharType="separate"/>
        </w:r>
        <w:r>
          <w:t>378</w:t>
        </w:r>
        <w:r>
          <w:fldChar w:fldCharType="end"/>
        </w:r>
      </w:hyperlink>
    </w:p>
    <w:p>
      <w:pPr>
        <w:pStyle w:val="TOC3"/>
        <w:tabs>
          <w:tab w:val="right" w:leader="dot" w:pos="9926"/>
        </w:tabs>
        <w:rPr>
          <w:rFonts w:ascii="Calibri" w:hAnsi="Calibri"/>
          <w:noProof/>
          <w:sz w:val="22"/>
        </w:rPr>
      </w:pPr>
      <w:hyperlink w:anchor="_Toc256000289" w:history="1">
        <w:r>
          <w:rPr>
            <w:rStyle w:val="Hyperlink"/>
          </w:rPr>
          <w:t>14.3.19 Automated Compliance Tools</w:t>
        </w:r>
        <w:r>
          <w:tab/>
        </w:r>
        <w:r>
          <w:fldChar w:fldCharType="begin"/>
        </w:r>
        <w:r>
          <w:instrText xml:space="preserve"> PAGEREF _Toc256000289 \h </w:instrText>
        </w:r>
        <w:r>
          <w:fldChar w:fldCharType="separate"/>
        </w:r>
        <w:r>
          <w:t>378</w:t>
        </w:r>
        <w:r>
          <w:fldChar w:fldCharType="end"/>
        </w:r>
      </w:hyperlink>
    </w:p>
    <w:p>
      <w:pPr>
        <w:pStyle w:val="TOC2"/>
        <w:tabs>
          <w:tab w:val="right" w:leader="dot" w:pos="9926"/>
        </w:tabs>
        <w:rPr>
          <w:rFonts w:ascii="Calibri" w:hAnsi="Calibri"/>
          <w:noProof/>
          <w:sz w:val="22"/>
        </w:rPr>
      </w:pPr>
      <w:hyperlink w:anchor="_Toc256000290" w:history="1">
        <w:r>
          <w:rPr>
            <w:rStyle w:val="Hyperlink"/>
          </w:rPr>
          <w:t>14.4 Form ADV Disclosure</w:t>
        </w:r>
        <w:r>
          <w:tab/>
        </w:r>
        <w:r>
          <w:fldChar w:fldCharType="begin"/>
        </w:r>
        <w:r>
          <w:instrText xml:space="preserve"> PAGEREF _Toc256000290 \h </w:instrText>
        </w:r>
        <w:r>
          <w:fldChar w:fldCharType="separate"/>
        </w:r>
        <w:r>
          <w:t>379</w:t>
        </w:r>
        <w:r>
          <w:fldChar w:fldCharType="end"/>
        </w:r>
      </w:hyperlink>
    </w:p>
    <w:p>
      <w:pPr>
        <w:pStyle w:val="TOC2"/>
        <w:tabs>
          <w:tab w:val="right" w:leader="dot" w:pos="9926"/>
        </w:tabs>
        <w:rPr>
          <w:rFonts w:ascii="Calibri" w:hAnsi="Calibri"/>
          <w:noProof/>
          <w:sz w:val="22"/>
        </w:rPr>
      </w:pPr>
      <w:hyperlink w:anchor="_Toc256000291" w:history="1">
        <w:r>
          <w:rPr>
            <w:rStyle w:val="Hyperlink"/>
          </w:rPr>
          <w:t>14.5 Books and Records</w:t>
        </w:r>
        <w:r>
          <w:tab/>
        </w:r>
        <w:r>
          <w:fldChar w:fldCharType="begin"/>
        </w:r>
        <w:r>
          <w:instrText xml:space="preserve"> PAGEREF _Toc256000291 \h </w:instrText>
        </w:r>
        <w:r>
          <w:fldChar w:fldCharType="separate"/>
        </w:r>
        <w:r>
          <w:t>379</w:t>
        </w:r>
        <w:r>
          <w:fldChar w:fldCharType="end"/>
        </w:r>
      </w:hyperlink>
    </w:p>
    <w:p>
      <w:pPr>
        <w:jc w:val="left"/>
        <w:rPr>
          <w:rFonts w:ascii="Arial" w:eastAsia="Arial" w:hAnsi="Arial" w:cs="Arial"/>
          <w:b w:val="0"/>
          <w:color w:val="000000"/>
          <w:sz w:val="20"/>
        </w:rPr>
      </w:pPr>
      <w:r>
        <w:rPr>
          <w:rFonts w:ascii="Arial" w:eastAsia="Arial" w:hAnsi="Arial" w:cs="Arial"/>
          <w:b w:val="0"/>
          <w:color w:val="000000"/>
          <w:sz w:val="20"/>
        </w:rPr>
        <w:fldChar w:fldCharType="end"/>
      </w:r>
    </w:p>
    <w:p>
      <w:pPr>
        <w:jc w:val="left"/>
        <w:rPr>
          <w:rFonts w:ascii="Arial" w:eastAsia="Arial" w:hAnsi="Arial" w:cs="Arial"/>
          <w:b w:val="0"/>
          <w:color w:val="000000"/>
          <w:sz w:val="20"/>
        </w:rPr>
        <w:sectPr>
          <w:headerReference w:type="default" r:id="rId4"/>
          <w:footerReference w:type="default" r:id="rId5"/>
          <w:pgSz w:w="12240" w:h="15840"/>
          <w:pgMar w:top="1200" w:right="1152" w:bottom="1200" w:left="1152" w:header="400" w:footer="360" w:gutter="0"/>
          <w:pgNumType w:fmt="lowerRoman" w:start="1"/>
          <w:cols w:space="720"/>
          <w:docGrid w:linePitch="360"/>
        </w:sectPr>
      </w:pPr>
    </w:p>
    <w:p/>
    <w:p>
      <w:pPr>
        <w:pStyle w:val="Heading1"/>
      </w:pPr>
      <w:bookmarkStart w:id="0" w:name="_Toc256000000"/>
      <w:r>
        <w:t>1 INTRODUCTION</w:t>
      </w:r>
      <w:bookmarkEnd w:id="0"/>
    </w:p>
    <w:p>
      <w:bookmarkStart w:id="1" w:name="Sec_Chp_061016102254625_061016102255234"/>
    </w:p>
    <w:p>
      <w:pPr>
        <w:pStyle w:val="Heading2"/>
      </w:pPr>
      <w:bookmarkStart w:id="2" w:name="_Toc256000001"/>
      <w:r>
        <w:t>1.1 Testimonials and Endorsements</w:t>
      </w:r>
      <w:bookmarkEnd w:id="2"/>
    </w:p>
    <w:p/>
    <w:p>
      <w:pPr>
        <w:rPr>
          <w:rFonts w:eastAsia="Arial" w:cs="Arial"/>
          <w:sz w:val="16"/>
          <w:szCs w:val="16"/>
        </w:rPr>
      </w:pPr>
      <w:r>
        <w:rPr>
          <w:rFonts w:eastAsia="Arial" w:cs="Arial"/>
          <w:sz w:val="16"/>
          <w:szCs w:val="16"/>
        </w:rPr>
        <w:t>[Investment Advisers Act of 1940 Rule 206(4)-1(e)(9)]</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Endorsement</w:t>
            </w:r>
            <w:r>
              <w:rPr>
                <w:rFonts w:eastAsia="Arial" w:cs="Arial"/>
                <w:b w:val="0"/>
                <w:bCs w:val="0"/>
                <w:i w:val="0"/>
                <w:iCs w:val="0"/>
                <w:smallCaps w:val="0"/>
                <w:color w:val="000000"/>
                <w:sz w:val="20"/>
              </w:rPr>
              <w:t xml:space="preserve">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Endorsement means any statement by a person other than a current client or investor in a private fund advised by KCD that:</w:t>
            </w:r>
          </w:p>
          <w:p>
            <w:pPr>
              <w:numPr>
                <w:ilvl w:val="0"/>
                <w:numId w:val="35"/>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Indicates approval, support, or recommendation of KCD or its supervised persons or describes that person's experience with KCD or its supervised persons;</w:t>
            </w:r>
          </w:p>
          <w:p>
            <w:pPr>
              <w:numPr>
                <w:ilvl w:val="0"/>
                <w:numId w:val="3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Directly or indirectly solicits any current or prospective client or investor to be a client of, or an investor in a private fund advised by, KCD; or</w:t>
            </w:r>
          </w:p>
          <w:p>
            <w:pPr>
              <w:numPr>
                <w:ilvl w:val="0"/>
                <w:numId w:val="3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Refers any current or prospective client or investor to be a client of, or an investor in a private fund advised by, KCD.</w:t>
            </w:r>
          </w:p>
          <w:p>
            <w:pPr>
              <w:rPr>
                <w:rFonts w:eastAsia="Arial" w:cs="Arial"/>
                <w:b w:val="0"/>
                <w:bCs w:val="0"/>
                <w:i w:val="0"/>
                <w:iCs w:val="0"/>
                <w:smallCaps w:val="0"/>
                <w:color w:val="000000"/>
                <w:sz w:val="24"/>
                <w:u w:val="single" w:color="000000"/>
              </w:rPr>
            </w:pPr>
            <w:r>
              <w:rPr>
                <w:rFonts w:eastAsia="Arial" w:cs="Arial"/>
                <w:b w:val="0"/>
                <w:bCs w:val="0"/>
                <w:i w:val="0"/>
                <w:iCs w:val="0"/>
                <w:smallCaps w:val="0"/>
                <w:color w:val="000000"/>
                <w:sz w:val="20"/>
                <w:u w:val="single" w:color="000000"/>
              </w:rPr>
              <w:t>Testimonial</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Testimonial means any statement by a current client or investor in a private fund advised by KCD:</w:t>
            </w:r>
          </w:p>
          <w:p>
            <w:pPr>
              <w:numPr>
                <w:ilvl w:val="0"/>
                <w:numId w:val="36"/>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About the client or investor's experience with KCD or its supervised persons;</w:t>
            </w:r>
          </w:p>
          <w:p>
            <w:pPr>
              <w:numPr>
                <w:ilvl w:val="0"/>
                <w:numId w:val="36"/>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That directly or indirectly solicits any current or prospective client or investor to be a client of, or an investor in a private fund advised by, KCD;</w:t>
            </w:r>
          </w:p>
          <w:p>
            <w:pPr>
              <w:numPr>
                <w:ilvl w:val="0"/>
                <w:numId w:val="36"/>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That refers any current or prospective client or investor to be a client of, or an investor in a private fund advised by, KCD; or</w:t>
            </w:r>
          </w:p>
          <w:p>
            <w:pPr>
              <w:numPr>
                <w:ilvl w:val="0"/>
                <w:numId w:val="3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Certain "entanglement" type actions such as KCD posting responses to a third-party social media site's postings about KCD or its investment adviser representatives.</w:t>
            </w:r>
          </w:p>
        </w:tc>
      </w:tr>
    </w:tbl>
    <w:p>
      <w:pPr>
        <w:pStyle w:val="normal0"/>
        <w:spacing w:before="200" w:after="200"/>
        <w:rPr>
          <w:rFonts w:eastAsia="Arial" w:cs="Arial"/>
          <w:sz w:val="20"/>
          <w:szCs w:val="20"/>
        </w:rPr>
      </w:pPr>
      <w:r>
        <w:rPr>
          <w:rFonts w:eastAsia="Arial" w:cs="Arial"/>
          <w:sz w:val="20"/>
          <w:szCs w:val="20"/>
        </w:rPr>
        <w:t>KCD may include a testimonial or endorsement in an advertisement if the following conditions are met:</w:t>
      </w:r>
    </w:p>
    <w:p>
      <w:pPr>
        <w:numPr>
          <w:ilvl w:val="0"/>
          <w:numId w:val="37"/>
        </w:numPr>
        <w:spacing w:before="200"/>
        <w:ind w:left="720" w:hanging="267"/>
        <w:jc w:val="left"/>
        <w:rPr>
          <w:rFonts w:eastAsia="Arial" w:cs="Arial"/>
          <w:sz w:val="20"/>
          <w:szCs w:val="20"/>
        </w:rPr>
      </w:pPr>
      <w:r>
        <w:rPr>
          <w:rFonts w:eastAsia="Arial" w:cs="Arial"/>
          <w:sz w:val="20"/>
          <w:szCs w:val="20"/>
        </w:rPr>
        <w:t>The advertisement clearly and prominently:</w:t>
      </w:r>
    </w:p>
    <w:p>
      <w:pPr>
        <w:numPr>
          <w:ilvl w:val="1"/>
          <w:numId w:val="37"/>
        </w:numPr>
        <w:ind w:left="1440" w:hanging="220"/>
        <w:jc w:val="left"/>
        <w:rPr>
          <w:rFonts w:eastAsia="Arial" w:cs="Arial"/>
          <w:sz w:val="20"/>
          <w:szCs w:val="20"/>
        </w:rPr>
      </w:pPr>
      <w:r>
        <w:rPr>
          <w:rFonts w:eastAsia="Arial" w:cs="Arial"/>
          <w:sz w:val="20"/>
          <w:szCs w:val="20"/>
        </w:rPr>
        <w:t>Discloses that the testimonial was given by a current client or investor in a private fund advised by the Fund, and the endorsement was given by a person other than a current client or investor in a private fund advised by the Fund, as applicable;</w:t>
      </w:r>
    </w:p>
    <w:p>
      <w:pPr>
        <w:numPr>
          <w:ilvl w:val="1"/>
          <w:numId w:val="37"/>
        </w:numPr>
        <w:ind w:left="1440" w:hanging="220"/>
        <w:jc w:val="left"/>
        <w:rPr>
          <w:rFonts w:eastAsia="Arial" w:cs="Arial"/>
          <w:sz w:val="20"/>
          <w:szCs w:val="20"/>
        </w:rPr>
      </w:pPr>
      <w:r>
        <w:rPr>
          <w:rFonts w:eastAsia="Arial" w:cs="Arial"/>
          <w:sz w:val="20"/>
          <w:szCs w:val="20"/>
        </w:rPr>
        <w:t>Discloses that cash or non-cash compensation was provided for the testimonial or endorsement, if applicable; and</w:t>
      </w:r>
    </w:p>
    <w:p>
      <w:pPr>
        <w:numPr>
          <w:ilvl w:val="1"/>
          <w:numId w:val="37"/>
        </w:numPr>
        <w:ind w:left="1440" w:hanging="220"/>
        <w:jc w:val="left"/>
        <w:rPr>
          <w:rFonts w:eastAsia="Arial" w:cs="Arial"/>
          <w:sz w:val="20"/>
          <w:szCs w:val="20"/>
        </w:rPr>
      </w:pPr>
      <w:r>
        <w:rPr>
          <w:rFonts w:eastAsia="Arial" w:cs="Arial"/>
          <w:sz w:val="20"/>
          <w:szCs w:val="20"/>
        </w:rPr>
        <w:t>Contains a brief statement of any material conflicts of interest on the part of the person giving the testimonial or endorsement resulting from KCD's relationship with such person;</w:t>
      </w:r>
    </w:p>
    <w:p>
      <w:pPr>
        <w:numPr>
          <w:ilvl w:val="0"/>
          <w:numId w:val="37"/>
        </w:numPr>
        <w:ind w:left="720" w:hanging="267"/>
        <w:jc w:val="left"/>
        <w:rPr>
          <w:rFonts w:eastAsia="Arial" w:cs="Arial"/>
          <w:sz w:val="20"/>
          <w:szCs w:val="20"/>
        </w:rPr>
      </w:pPr>
      <w:r>
        <w:rPr>
          <w:rFonts w:eastAsia="Arial" w:cs="Arial"/>
          <w:sz w:val="20"/>
          <w:szCs w:val="20"/>
        </w:rPr>
        <w:t>The advertisement discloses the material terms of any compensation arrangement, including a description of the compensation provided or to be provided, directly or indirectly, to the person for the testimonial or endorsement;</w:t>
      </w:r>
    </w:p>
    <w:p>
      <w:pPr>
        <w:numPr>
          <w:ilvl w:val="0"/>
          <w:numId w:val="37"/>
        </w:numPr>
        <w:ind w:left="720" w:hanging="267"/>
        <w:jc w:val="left"/>
        <w:rPr>
          <w:rFonts w:eastAsia="Arial" w:cs="Arial"/>
          <w:sz w:val="20"/>
          <w:szCs w:val="20"/>
        </w:rPr>
      </w:pPr>
      <w:r>
        <w:rPr>
          <w:rFonts w:eastAsia="Arial" w:cs="Arial"/>
          <w:sz w:val="20"/>
          <w:szCs w:val="20"/>
        </w:rPr>
        <w:t>The advertisement describes any material conflicts of interest on the part of the person giving the testimonial or endorsement resulting from KCD's relationship with such person and/or any compensation arrangement;</w:t>
      </w:r>
    </w:p>
    <w:p>
      <w:pPr>
        <w:numPr>
          <w:ilvl w:val="0"/>
          <w:numId w:val="37"/>
        </w:numPr>
        <w:ind w:left="720" w:hanging="267"/>
        <w:jc w:val="left"/>
        <w:rPr>
          <w:rFonts w:eastAsia="Arial" w:cs="Arial"/>
          <w:sz w:val="20"/>
          <w:szCs w:val="20"/>
        </w:rPr>
      </w:pPr>
      <w:r>
        <w:rPr>
          <w:rFonts w:eastAsia="Arial" w:cs="Arial"/>
          <w:sz w:val="20"/>
          <w:szCs w:val="20"/>
        </w:rPr>
        <w:t>KCD has a reasonable basis for believing that the testimonial or endorsement complies with the requirements of Rule 206-1 under the Advisers Act;</w:t>
      </w:r>
    </w:p>
    <w:p>
      <w:pPr>
        <w:numPr>
          <w:ilvl w:val="0"/>
          <w:numId w:val="37"/>
        </w:numPr>
        <w:ind w:left="720" w:hanging="267"/>
        <w:jc w:val="left"/>
        <w:rPr>
          <w:rFonts w:eastAsia="Arial" w:cs="Arial"/>
          <w:sz w:val="20"/>
          <w:szCs w:val="20"/>
        </w:rPr>
      </w:pPr>
      <w:r>
        <w:rPr>
          <w:rFonts w:eastAsia="Arial" w:cs="Arial"/>
          <w:sz w:val="20"/>
          <w:szCs w:val="20"/>
        </w:rPr>
        <w:t>KCD has executed a written agreement with the person giving the testimonial or endorsement that describes the scope of the agreed-upon activities and the terms of compensation for those activities. Note: KCD need not enter such written agreement if compensation paid to a person for providing a testimonial or endorsement is $1,000 or less (or the equivalent value in non-cash compensation) during the preceding 12 months; and</w:t>
      </w:r>
    </w:p>
    <w:p>
      <w:pPr>
        <w:numPr>
          <w:ilvl w:val="0"/>
          <w:numId w:val="37"/>
        </w:numPr>
        <w:ind w:left="720" w:hanging="267"/>
        <w:jc w:val="left"/>
        <w:rPr>
          <w:rFonts w:eastAsia="Arial" w:cs="Arial"/>
          <w:sz w:val="20"/>
          <w:szCs w:val="20"/>
        </w:rPr>
      </w:pPr>
      <w:r>
        <w:rPr>
          <w:rFonts w:eastAsia="Arial" w:cs="Arial"/>
          <w:sz w:val="20"/>
          <w:szCs w:val="20"/>
        </w:rPr>
        <w:t>Appropriate and proper disclaimers will be included. For example:</w:t>
      </w:r>
    </w:p>
    <w:p>
      <w:pPr>
        <w:numPr>
          <w:ilvl w:val="1"/>
          <w:numId w:val="37"/>
        </w:numPr>
        <w:spacing w:after="200"/>
        <w:ind w:left="1440" w:hanging="220"/>
        <w:jc w:val="left"/>
        <w:rPr>
          <w:rFonts w:eastAsia="Arial" w:cs="Arial"/>
          <w:sz w:val="20"/>
          <w:szCs w:val="20"/>
        </w:rPr>
      </w:pPr>
      <w:r>
        <w:rPr>
          <w:rFonts w:eastAsia="Arial" w:cs="Arial"/>
          <w:sz w:val="20"/>
          <w:szCs w:val="20"/>
        </w:rPr>
        <w:t>"The above testimonial is a verbatim statement made by the client except for certain grammatical and other changes that do not alter the substance of the statement."</w:t>
      </w:r>
    </w:p>
    <w:p>
      <w:pPr>
        <w:pStyle w:val="normal0"/>
        <w:spacing w:before="200" w:after="200"/>
        <w:rPr>
          <w:rFonts w:eastAsia="Arial" w:cs="Arial"/>
          <w:sz w:val="20"/>
          <w:szCs w:val="20"/>
        </w:rPr>
      </w:pPr>
      <w:r>
        <w:rPr>
          <w:rFonts w:eastAsia="Arial" w:cs="Arial"/>
          <w:b/>
          <w:bCs/>
          <w:sz w:val="20"/>
          <w:szCs w:val="20"/>
        </w:rPr>
        <w:t>Compensation Disclosure Requirement</w:t>
      </w:r>
    </w:p>
    <w:p>
      <w:pPr>
        <w:pStyle w:val="normal0"/>
        <w:spacing w:before="200" w:after="200"/>
        <w:rPr>
          <w:rFonts w:eastAsia="Arial" w:cs="Arial"/>
          <w:sz w:val="20"/>
          <w:szCs w:val="20"/>
        </w:rPr>
      </w:pPr>
      <w:r>
        <w:rPr>
          <w:rFonts w:eastAsia="Arial" w:cs="Arial"/>
          <w:sz w:val="20"/>
          <w:szCs w:val="20"/>
        </w:rPr>
        <w:t>When meeting the requirement to disclose the material terms of any compensation arrangement to a person providing a testimonial or endorsement, KCD will make the following disclosures if applicable:</w:t>
      </w:r>
    </w:p>
    <w:p>
      <w:pPr>
        <w:numPr>
          <w:ilvl w:val="0"/>
          <w:numId w:val="38"/>
        </w:numPr>
        <w:spacing w:before="200"/>
        <w:ind w:left="720" w:hanging="192"/>
        <w:jc w:val="left"/>
        <w:rPr>
          <w:rFonts w:eastAsia="Arial" w:cs="Arial"/>
          <w:sz w:val="20"/>
          <w:szCs w:val="20"/>
        </w:rPr>
      </w:pPr>
      <w:r>
        <w:rPr>
          <w:rFonts w:eastAsia="Arial" w:cs="Arial"/>
          <w:sz w:val="20"/>
          <w:szCs w:val="20"/>
        </w:rPr>
        <w:t>If a specific amount of cash compensation is paid, the advertisement will disclose that amount;</w:t>
      </w:r>
    </w:p>
    <w:p>
      <w:pPr>
        <w:numPr>
          <w:ilvl w:val="0"/>
          <w:numId w:val="38"/>
        </w:numPr>
        <w:ind w:left="720" w:hanging="192"/>
        <w:jc w:val="left"/>
        <w:rPr>
          <w:rFonts w:eastAsia="Arial" w:cs="Arial"/>
          <w:sz w:val="20"/>
          <w:szCs w:val="20"/>
        </w:rPr>
      </w:pPr>
      <w:r>
        <w:rPr>
          <w:rFonts w:eastAsia="Arial" w:cs="Arial"/>
          <w:sz w:val="20"/>
          <w:szCs w:val="20"/>
        </w:rPr>
        <w:t>If the compensation takes the form of a percentage of the total advisory fee over a period of time, then the advertisement will disclose such percentage and time period;</w:t>
      </w:r>
    </w:p>
    <w:p>
      <w:pPr>
        <w:numPr>
          <w:ilvl w:val="0"/>
          <w:numId w:val="38"/>
        </w:numPr>
        <w:ind w:left="720" w:hanging="192"/>
        <w:jc w:val="left"/>
        <w:rPr>
          <w:rFonts w:eastAsia="Arial" w:cs="Arial"/>
          <w:sz w:val="20"/>
          <w:szCs w:val="20"/>
        </w:rPr>
      </w:pPr>
      <w:r>
        <w:rPr>
          <w:rFonts w:eastAsia="Arial" w:cs="Arial"/>
          <w:sz w:val="20"/>
          <w:szCs w:val="20"/>
        </w:rPr>
        <w:t>With respect to non-cash compensation, if the value of the non-cash compensation is readily ascertainable, the disclosures will include that amount; and</w:t>
      </w:r>
    </w:p>
    <w:p>
      <w:pPr>
        <w:numPr>
          <w:ilvl w:val="0"/>
          <w:numId w:val="38"/>
        </w:numPr>
        <w:spacing w:after="200"/>
        <w:ind w:left="720" w:hanging="192"/>
        <w:jc w:val="left"/>
        <w:rPr>
          <w:rFonts w:eastAsia="Arial" w:cs="Arial"/>
          <w:sz w:val="20"/>
          <w:szCs w:val="20"/>
        </w:rPr>
      </w:pPr>
      <w:r>
        <w:rPr>
          <w:rFonts w:eastAsia="Arial" w:cs="Arial"/>
          <w:sz w:val="20"/>
          <w:szCs w:val="20"/>
        </w:rPr>
        <w:t>If all or part of the compensation, cash or non-cash, is payable upon dissemination of the testimonial or endorsement or is deferred or contingent on a certain future event, such as a client's continuation or renewal of its advisory relationship, agreement, or investment, then the advertisement should disclose those terms.</w:t>
      </w:r>
    </w:p>
    <w:p>
      <w:pPr>
        <w:pStyle w:val="normal0"/>
        <w:spacing w:before="200" w:after="200"/>
        <w:rPr>
          <w:rFonts w:eastAsia="Arial" w:cs="Arial"/>
          <w:sz w:val="20"/>
          <w:szCs w:val="20"/>
        </w:rPr>
      </w:pPr>
      <w:r>
        <w:rPr>
          <w:rFonts w:eastAsia="Arial" w:cs="Arial"/>
          <w:b/>
          <w:bCs/>
          <w:sz w:val="20"/>
          <w:szCs w:val="20"/>
        </w:rPr>
        <w:t>Ineligible Persons Providing Testimonials or Endorsements</w:t>
      </w:r>
    </w:p>
    <w:p>
      <w:pPr>
        <w:pStyle w:val="normal0"/>
        <w:spacing w:before="200" w:after="200"/>
        <w:rPr>
          <w:rFonts w:eastAsia="Arial" w:cs="Arial"/>
          <w:sz w:val="20"/>
          <w:szCs w:val="20"/>
        </w:rPr>
      </w:pPr>
      <w:r>
        <w:rPr>
          <w:rFonts w:eastAsia="Arial" w:cs="Arial"/>
          <w:sz w:val="20"/>
          <w:szCs w:val="20"/>
        </w:rPr>
        <w:t>KCD will not compensate a person, directly or indirectly, for a testimonial or endorsement if KCD or Adviser Representative knows, or in the exercise of reasonable care should know, that the person giving the testimonial or endorsement is an ineligible person (as defined in Rule 206-1(e)(9)) under the Advisers Act at the time the testimonial or endorsement is disseminated.</w:t>
      </w:r>
    </w:p>
    <w:p>
      <w:pPr>
        <w:pStyle w:val="normal0"/>
        <w:spacing w:before="200" w:after="200"/>
        <w:rPr>
          <w:rFonts w:eastAsia="Arial" w:cs="Arial"/>
          <w:sz w:val="20"/>
          <w:szCs w:val="20"/>
        </w:rPr>
      </w:pPr>
      <w:r>
        <w:rPr>
          <w:rFonts w:eastAsia="Arial" w:cs="Arial"/>
          <w:sz w:val="20"/>
          <w:szCs w:val="20"/>
        </w:rPr>
        <w:t>Notwithstanding the above, the following are not ineligible persons:</w:t>
      </w:r>
    </w:p>
    <w:p>
      <w:pPr>
        <w:numPr>
          <w:ilvl w:val="0"/>
          <w:numId w:val="39"/>
        </w:numPr>
        <w:spacing w:before="200"/>
        <w:ind w:left="720" w:hanging="192"/>
        <w:jc w:val="left"/>
        <w:rPr>
          <w:rFonts w:eastAsia="Arial" w:cs="Arial"/>
          <w:sz w:val="20"/>
          <w:szCs w:val="20"/>
        </w:rPr>
      </w:pPr>
      <w:r>
        <w:rPr>
          <w:rFonts w:eastAsia="Arial" w:cs="Arial"/>
          <w:sz w:val="20"/>
          <w:szCs w:val="20"/>
        </w:rPr>
        <w:t>A person who receives compensation for providing a testimonial or endorsement that is $1,000 or less (or the equivalent value in non-cash compensation) during the preceding 12 months;</w:t>
      </w:r>
    </w:p>
    <w:p>
      <w:pPr>
        <w:numPr>
          <w:ilvl w:val="0"/>
          <w:numId w:val="39"/>
        </w:numPr>
        <w:ind w:left="720" w:hanging="192"/>
        <w:jc w:val="left"/>
        <w:rPr>
          <w:rFonts w:eastAsia="Arial" w:cs="Arial"/>
          <w:sz w:val="20"/>
          <w:szCs w:val="20"/>
        </w:rPr>
      </w:pPr>
      <w:r>
        <w:rPr>
          <w:rFonts w:eastAsia="Arial" w:cs="Arial"/>
          <w:sz w:val="20"/>
          <w:szCs w:val="20"/>
        </w:rPr>
        <w:t>Compensated promoters that are broker-dealers registered with the Commission in accordance with section 15(b) of the Exchange Act, provided that they are not subject to statutory disqualification as defined in the Exchange Act;</w:t>
      </w:r>
    </w:p>
    <w:p>
      <w:pPr>
        <w:numPr>
          <w:ilvl w:val="0"/>
          <w:numId w:val="39"/>
        </w:numPr>
        <w:ind w:left="720" w:hanging="192"/>
        <w:jc w:val="left"/>
        <w:rPr>
          <w:rFonts w:eastAsia="Arial" w:cs="Arial"/>
          <w:sz w:val="20"/>
          <w:szCs w:val="20"/>
        </w:rPr>
      </w:pPr>
      <w:r>
        <w:rPr>
          <w:rFonts w:eastAsia="Arial" w:cs="Arial"/>
          <w:sz w:val="20"/>
          <w:szCs w:val="20"/>
        </w:rPr>
        <w:t>Persons covered by rule 506(d) of Regulation D with respect to a rule 506 securities offering, provided the person's involvement would not disqualify the offering under that rule;</w:t>
      </w:r>
    </w:p>
    <w:p>
      <w:pPr>
        <w:numPr>
          <w:ilvl w:val="0"/>
          <w:numId w:val="39"/>
        </w:numPr>
        <w:ind w:left="720" w:hanging="192"/>
        <w:jc w:val="left"/>
        <w:rPr>
          <w:rFonts w:eastAsia="Arial" w:cs="Arial"/>
          <w:sz w:val="20"/>
          <w:szCs w:val="20"/>
        </w:rPr>
      </w:pPr>
      <w:r>
        <w:rPr>
          <w:rFonts w:eastAsia="Arial" w:cs="Arial"/>
          <w:sz w:val="20"/>
          <w:szCs w:val="20"/>
        </w:rPr>
        <w:t>Compensated person with only disqualifying event(s) that occurred over 10 years ago; and</w:t>
      </w:r>
    </w:p>
    <w:p>
      <w:pPr>
        <w:numPr>
          <w:ilvl w:val="0"/>
          <w:numId w:val="39"/>
        </w:numPr>
        <w:spacing w:after="200"/>
        <w:ind w:left="720" w:hanging="192"/>
        <w:jc w:val="left"/>
        <w:rPr>
          <w:rFonts w:eastAsia="Arial" w:cs="Arial"/>
          <w:sz w:val="20"/>
          <w:szCs w:val="20"/>
        </w:rPr>
      </w:pPr>
      <w:r>
        <w:rPr>
          <w:rFonts w:eastAsia="Arial" w:cs="Arial"/>
          <w:sz w:val="20"/>
          <w:szCs w:val="20"/>
        </w:rPr>
        <w:t>A non-compensated promoter.</w:t>
      </w:r>
    </w:p>
    <w:p>
      <w:pPr>
        <w:pStyle w:val="normal0"/>
        <w:spacing w:before="200" w:after="200"/>
        <w:rPr>
          <w:rFonts w:eastAsia="Arial" w:cs="Arial"/>
          <w:sz w:val="20"/>
          <w:szCs w:val="20"/>
        </w:rPr>
      </w:pPr>
      <w:r>
        <w:rPr>
          <w:rFonts w:eastAsia="Arial" w:cs="Arial"/>
          <w:sz w:val="20"/>
          <w:szCs w:val="20"/>
        </w:rPr>
        <w:t>The SEC noted when adopting this rule that it has been, and continues to be, its view that the disqualification provisions are needed most where there are financial incentives for a promoter to engage in fraudulent conduct to persuade an investor to hire an investment adviser or invest in an investment adviser's private fund.</w:t>
      </w:r>
    </w:p>
    <w:p>
      <w:pPr>
        <w:pStyle w:val="normal0"/>
        <w:spacing w:before="200" w:after="200"/>
        <w:rPr>
          <w:rFonts w:eastAsia="Arial" w:cs="Arial"/>
          <w:sz w:val="20"/>
          <w:szCs w:val="20"/>
        </w:rPr>
      </w:pPr>
      <w:r>
        <w:rPr>
          <w:rFonts w:eastAsia="Arial" w:cs="Arial"/>
          <w:b/>
          <w:bCs/>
          <w:sz w:val="20"/>
          <w:szCs w:val="20"/>
        </w:rPr>
        <w:t>Scope of Ineligible Persons</w:t>
      </w:r>
    </w:p>
    <w:p>
      <w:pPr>
        <w:pStyle w:val="normal0"/>
        <w:spacing w:before="200" w:after="200"/>
        <w:rPr>
          <w:rFonts w:eastAsia="Arial" w:cs="Arial"/>
          <w:sz w:val="20"/>
          <w:szCs w:val="20"/>
        </w:rPr>
      </w:pPr>
      <w:r>
        <w:rPr>
          <w:rFonts w:eastAsia="Arial" w:cs="Arial"/>
          <w:sz w:val="20"/>
          <w:szCs w:val="20"/>
        </w:rPr>
        <w:t>The scope of ineligible persons additionally includes:</w:t>
      </w:r>
    </w:p>
    <w:p>
      <w:pPr>
        <w:numPr>
          <w:ilvl w:val="0"/>
          <w:numId w:val="40"/>
        </w:numPr>
        <w:spacing w:before="200"/>
        <w:ind w:left="720" w:hanging="192"/>
        <w:jc w:val="left"/>
        <w:rPr>
          <w:rFonts w:eastAsia="Arial" w:cs="Arial"/>
          <w:sz w:val="20"/>
          <w:szCs w:val="20"/>
        </w:rPr>
      </w:pPr>
      <w:r>
        <w:rPr>
          <w:rFonts w:eastAsia="Arial" w:cs="Arial"/>
          <w:sz w:val="20"/>
          <w:szCs w:val="20"/>
        </w:rPr>
        <w:t>any employee, officer, or director of an ineligible person and any other individuals with similar status or functions within the scope of an association with an ineligible person. If the ineligible person is a partnership, the definition includes all general partners. If the ineligible person is a limited liability company managed by elected managers, the definition includes all elected managers.</w:t>
      </w:r>
    </w:p>
    <w:p>
      <w:pPr>
        <w:numPr>
          <w:ilvl w:val="0"/>
          <w:numId w:val="40"/>
        </w:numPr>
        <w:spacing w:after="200"/>
        <w:ind w:left="720" w:hanging="192"/>
        <w:jc w:val="left"/>
        <w:rPr>
          <w:rFonts w:eastAsia="Arial" w:cs="Arial"/>
          <w:sz w:val="20"/>
          <w:szCs w:val="20"/>
        </w:rPr>
      </w:pPr>
      <w:r>
        <w:rPr>
          <w:rFonts w:eastAsia="Arial" w:cs="Arial"/>
          <w:sz w:val="20"/>
          <w:szCs w:val="20"/>
        </w:rPr>
        <w:t>persons who are not currently clients of KCD (See Howard Bailey Securities LLC; Investment Advisers Act Rel. No. 6681 (Sept. 9, 2024)).</w:t>
      </w:r>
    </w:p>
    <w:p>
      <w:pPr>
        <w:pStyle w:val="normal0"/>
        <w:spacing w:before="200" w:after="200"/>
        <w:rPr>
          <w:rFonts w:eastAsia="Arial" w:cs="Arial"/>
          <w:sz w:val="20"/>
          <w:szCs w:val="20"/>
        </w:rPr>
      </w:pPr>
      <w:r>
        <w:rPr>
          <w:rFonts w:eastAsia="Arial" w:cs="Arial"/>
          <w:b/>
          <w:bCs/>
          <w:sz w:val="20"/>
          <w:szCs w:val="20"/>
        </w:rPr>
        <w:t>Disqualifying Event</w:t>
      </w:r>
    </w:p>
    <w:p>
      <w:pPr>
        <w:pStyle w:val="normal0"/>
        <w:spacing w:before="200" w:after="200"/>
        <w:rPr>
          <w:rFonts w:eastAsia="Arial" w:cs="Arial"/>
          <w:sz w:val="20"/>
          <w:szCs w:val="20"/>
        </w:rPr>
      </w:pPr>
      <w:r>
        <w:rPr>
          <w:rFonts w:eastAsia="Arial" w:cs="Arial"/>
          <w:sz w:val="20"/>
          <w:szCs w:val="20"/>
        </w:rPr>
        <w:t>A disqualifying event is any of the following events that occurred within 10 years prior to the person disseminating an endorsement or testimonial:</w:t>
      </w:r>
    </w:p>
    <w:p>
      <w:pPr>
        <w:numPr>
          <w:ilvl w:val="0"/>
          <w:numId w:val="41"/>
        </w:numPr>
        <w:spacing w:before="200"/>
        <w:ind w:left="720" w:hanging="192"/>
        <w:jc w:val="left"/>
        <w:rPr>
          <w:rFonts w:eastAsia="Arial" w:cs="Arial"/>
          <w:sz w:val="20"/>
          <w:szCs w:val="20"/>
        </w:rPr>
      </w:pPr>
      <w:r>
        <w:rPr>
          <w:rFonts w:eastAsia="Arial" w:cs="Arial"/>
          <w:sz w:val="20"/>
          <w:szCs w:val="20"/>
        </w:rPr>
        <w:t>A conviction by a court of competent jurisdiction within the United States of any felony or misdemeanor involving conduct described in Advisers Act Section 203(e)(2)(A)-(D);</w:t>
      </w:r>
    </w:p>
    <w:p>
      <w:pPr>
        <w:numPr>
          <w:ilvl w:val="0"/>
          <w:numId w:val="41"/>
        </w:numPr>
        <w:ind w:left="720" w:hanging="192"/>
        <w:jc w:val="left"/>
        <w:rPr>
          <w:rFonts w:eastAsia="Arial" w:cs="Arial"/>
          <w:sz w:val="20"/>
          <w:szCs w:val="20"/>
        </w:rPr>
      </w:pPr>
      <w:r>
        <w:rPr>
          <w:rFonts w:eastAsia="Arial" w:cs="Arial"/>
          <w:sz w:val="20"/>
          <w:szCs w:val="20"/>
        </w:rPr>
        <w:t>A conviction by a court of competent jurisdiction within the United States of engaging in any of the conduct specified in Advisers Act Section 203(e)(1), (5), or (6);</w:t>
      </w:r>
    </w:p>
    <w:p>
      <w:pPr>
        <w:numPr>
          <w:ilvl w:val="0"/>
          <w:numId w:val="41"/>
        </w:numPr>
        <w:ind w:left="720" w:hanging="192"/>
        <w:jc w:val="left"/>
        <w:rPr>
          <w:rFonts w:eastAsia="Arial" w:cs="Arial"/>
          <w:sz w:val="20"/>
          <w:szCs w:val="20"/>
        </w:rPr>
      </w:pPr>
      <w:r>
        <w:rPr>
          <w:rFonts w:eastAsia="Arial" w:cs="Arial"/>
          <w:sz w:val="20"/>
          <w:szCs w:val="20"/>
        </w:rPr>
        <w:t>The entry of any final order by any entity described in Advisers Act Section 203(e)(9) including certain state securities, banking and insurance regulators, appropriate federal banking agencies, and the National Credit Union Administration, or by the U.S. Commodity Futures Trading Commission or a self-regulatory organization (as defined in the Form ADV - Glossary of Terms), of the type described in Advisers Act Section 203(e)(9);</w:t>
      </w:r>
    </w:p>
    <w:p>
      <w:pPr>
        <w:numPr>
          <w:ilvl w:val="0"/>
          <w:numId w:val="41"/>
        </w:numPr>
        <w:ind w:left="720" w:hanging="192"/>
        <w:jc w:val="left"/>
        <w:rPr>
          <w:rFonts w:eastAsia="Arial" w:cs="Arial"/>
          <w:sz w:val="20"/>
          <w:szCs w:val="20"/>
        </w:rPr>
      </w:pPr>
      <w:r>
        <w:rPr>
          <w:rFonts w:eastAsia="Arial" w:cs="Arial"/>
          <w:sz w:val="20"/>
          <w:szCs w:val="20"/>
        </w:rPr>
        <w:t>The entry of an order, judgment or decree described in Advisers Act Section 203(e)(4), and still in effect, by any court of competent jurisdiction within the United States;</w:t>
      </w:r>
    </w:p>
    <w:p>
      <w:pPr>
        <w:numPr>
          <w:ilvl w:val="0"/>
          <w:numId w:val="41"/>
        </w:numPr>
        <w:ind w:left="720" w:hanging="192"/>
        <w:jc w:val="left"/>
        <w:rPr>
          <w:rFonts w:eastAsia="Arial" w:cs="Arial"/>
          <w:sz w:val="20"/>
          <w:szCs w:val="20"/>
        </w:rPr>
      </w:pPr>
      <w:r>
        <w:rPr>
          <w:rFonts w:eastAsia="Arial" w:cs="Arial"/>
          <w:sz w:val="20"/>
          <w:szCs w:val="20"/>
        </w:rPr>
        <w:t>An SEC order that a person cease and desist from committing or causing a violation or future violation of (A) any scienter-based fraud provision of the federal securities laws, or (B) Section 5 of the Securities Act of 1933; and</w:t>
      </w:r>
    </w:p>
    <w:p>
      <w:pPr>
        <w:numPr>
          <w:ilvl w:val="0"/>
          <w:numId w:val="41"/>
        </w:numPr>
        <w:spacing w:after="200"/>
        <w:ind w:left="720" w:hanging="192"/>
        <w:jc w:val="left"/>
        <w:rPr>
          <w:rFonts w:eastAsia="Arial" w:cs="Arial"/>
          <w:sz w:val="20"/>
          <w:szCs w:val="20"/>
        </w:rPr>
      </w:pPr>
      <w:r>
        <w:rPr>
          <w:rFonts w:eastAsia="Arial" w:cs="Arial"/>
          <w:sz w:val="20"/>
          <w:szCs w:val="20"/>
        </w:rPr>
        <w:t>The entry of any final order by a self-regulatory organization (SRO) based on violations of any laws or regulations that prohibit fraudulent, manipulative, or deceptive conduct.</w:t>
      </w:r>
    </w:p>
    <w:p>
      <w:pPr>
        <w:pStyle w:val="normal0"/>
        <w:spacing w:before="200" w:after="200"/>
        <w:rPr>
          <w:rFonts w:eastAsia="Arial" w:cs="Arial"/>
          <w:sz w:val="20"/>
          <w:szCs w:val="20"/>
        </w:rPr>
      </w:pPr>
      <w:r>
        <w:rPr>
          <w:rFonts w:eastAsia="Arial" w:cs="Arial"/>
          <w:sz w:val="20"/>
          <w:szCs w:val="20"/>
        </w:rPr>
        <w:t xml:space="preserve">With respect to disqualification because of a SRO order, the SEC has stated it would not recommend enforcement action if the violation occurred within 10 years of the SRO order, provided: </w:t>
      </w:r>
    </w:p>
    <w:p>
      <w:pPr>
        <w:numPr>
          <w:ilvl w:val="0"/>
          <w:numId w:val="42"/>
        </w:numPr>
        <w:spacing w:before="200"/>
        <w:ind w:left="720" w:hanging="192"/>
        <w:jc w:val="left"/>
        <w:rPr>
          <w:rFonts w:eastAsia="Arial" w:cs="Arial"/>
          <w:sz w:val="20"/>
          <w:szCs w:val="20"/>
        </w:rPr>
      </w:pPr>
      <w:r>
        <w:rPr>
          <w:rFonts w:eastAsia="Arial" w:cs="Arial"/>
          <w:sz w:val="20"/>
          <w:szCs w:val="20"/>
        </w:rPr>
        <w:t>the sole reason the person is an ineligible person is the SRO's final order;</w:t>
      </w:r>
    </w:p>
    <w:p>
      <w:pPr>
        <w:numPr>
          <w:ilvl w:val="0"/>
          <w:numId w:val="42"/>
        </w:numPr>
        <w:ind w:left="720" w:hanging="192"/>
        <w:jc w:val="left"/>
        <w:rPr>
          <w:rFonts w:eastAsia="Arial" w:cs="Arial"/>
          <w:sz w:val="20"/>
          <w:szCs w:val="20"/>
        </w:rPr>
      </w:pPr>
      <w:r>
        <w:rPr>
          <w:rFonts w:eastAsia="Arial" w:cs="Arial"/>
          <w:sz w:val="20"/>
          <w:szCs w:val="20"/>
        </w:rPr>
        <w:t>the SRO did not expel or suspend the person from membership, bar or suspend the person from association with other members, or prohibit the person from acting in any capacity;</w:t>
      </w:r>
    </w:p>
    <w:p>
      <w:pPr>
        <w:numPr>
          <w:ilvl w:val="0"/>
          <w:numId w:val="42"/>
        </w:numPr>
        <w:ind w:left="720" w:hanging="192"/>
        <w:jc w:val="left"/>
        <w:rPr>
          <w:rFonts w:eastAsia="Arial" w:cs="Arial"/>
          <w:sz w:val="20"/>
          <w:szCs w:val="20"/>
        </w:rPr>
      </w:pPr>
      <w:r>
        <w:rPr>
          <w:rFonts w:eastAsia="Arial" w:cs="Arial"/>
          <w:sz w:val="20"/>
          <w:szCs w:val="20"/>
        </w:rPr>
        <w:t>the person is in compliance with the terms of the SRO's final order, including, but not limited to, paying disgorgement, prejudgment interest, civil or administrative penalties, and fines; and</w:t>
      </w:r>
    </w:p>
    <w:p>
      <w:pPr>
        <w:numPr>
          <w:ilvl w:val="0"/>
          <w:numId w:val="42"/>
        </w:numPr>
        <w:spacing w:after="200"/>
        <w:ind w:left="720" w:hanging="192"/>
        <w:jc w:val="left"/>
        <w:rPr>
          <w:rFonts w:eastAsia="Arial" w:cs="Arial"/>
          <w:sz w:val="20"/>
          <w:szCs w:val="20"/>
        </w:rPr>
      </w:pPr>
      <w:r>
        <w:rPr>
          <w:rFonts w:eastAsia="Arial" w:cs="Arial"/>
          <w:sz w:val="20"/>
          <w:szCs w:val="20"/>
        </w:rPr>
        <w:t>for a period of 10 years following the date of such final order, any advertisement containing the testimonial or endorsement discloses that the person providing the testimonial or endorsement is subject to a SRO order, and includes the order, or a link to the order on the self-regulatory organization's website or other public disclosure system, if available.</w:t>
      </w:r>
    </w:p>
    <w:p>
      <w:pPr>
        <w:pStyle w:val="normal0"/>
        <w:spacing w:before="200" w:after="200"/>
        <w:rPr>
          <w:rFonts w:eastAsia="Arial" w:cs="Arial"/>
          <w:sz w:val="20"/>
          <w:szCs w:val="20"/>
        </w:rPr>
      </w:pPr>
      <w:r>
        <w:rPr>
          <w:rFonts w:eastAsia="Arial" w:cs="Arial"/>
          <w:b/>
          <w:bCs/>
          <w:sz w:val="20"/>
          <w:szCs w:val="20"/>
        </w:rPr>
        <w:t>Testimonials or Endorsements Made by Affiliates</w:t>
      </w:r>
    </w:p>
    <w:p>
      <w:pPr>
        <w:pStyle w:val="normal0"/>
        <w:spacing w:before="200" w:after="200"/>
        <w:rPr>
          <w:rFonts w:eastAsia="Arial" w:cs="Arial"/>
          <w:sz w:val="20"/>
          <w:szCs w:val="20"/>
        </w:rPr>
      </w:pPr>
      <w:r>
        <w:rPr>
          <w:rFonts w:eastAsia="Arial" w:cs="Arial"/>
          <w:sz w:val="20"/>
          <w:szCs w:val="20"/>
        </w:rPr>
        <w:t>If a testimonial or endorsement is made by an affiliate of KCD, KCD will include the following disclosure in the advertisement:</w:t>
      </w:r>
    </w:p>
    <w:p>
      <w:pPr>
        <w:pStyle w:val="normal0"/>
        <w:spacing w:before="200" w:after="200"/>
        <w:ind w:left="600" w:right="600"/>
        <w:rPr>
          <w:rFonts w:eastAsia="Arial" w:cs="Arial"/>
          <w:sz w:val="20"/>
          <w:szCs w:val="20"/>
        </w:rPr>
      </w:pPr>
      <w:r>
        <w:rPr>
          <w:rFonts w:eastAsia="Arial" w:cs="Arial"/>
          <w:sz w:val="20"/>
          <w:szCs w:val="20"/>
        </w:rPr>
        <w:t>The [testimonial/endorsement] was provided by an affiliate of [Name of the Firm].</w:t>
      </w:r>
    </w:p>
    <w:p>
      <w:bookmarkEnd w:id="1"/>
    </w:p>
    <w:p>
      <w:pPr>
        <w:pStyle w:val="Heading2"/>
      </w:pPr>
      <w:bookmarkStart w:id="3" w:name="_Toc256000002"/>
      <w:r>
        <w:t>1.2 Inclusion of Top Performing and Least Performing Current and Past Specific Recommendations in Advertisements</w:t>
      </w:r>
      <w:bookmarkEnd w:id="3"/>
    </w:p>
    <w:p/>
    <w:p>
      <w:pPr>
        <w:rPr>
          <w:rFonts w:eastAsia="Arial" w:cs="Arial"/>
          <w:sz w:val="16"/>
          <w:szCs w:val="16"/>
        </w:rPr>
      </w:pPr>
      <w:r>
        <w:rPr>
          <w:rFonts w:eastAsia="Arial" w:cs="Arial"/>
          <w:sz w:val="16"/>
          <w:szCs w:val="16"/>
        </w:rPr>
        <w:t>[Investment Advisers Act of 1940 Rule 206(4)-1(a)(5)]</w:t>
      </w:r>
    </w:p>
    <w:p/>
    <w:p>
      <w:pPr>
        <w:pStyle w:val="normal0"/>
        <w:spacing w:after="200"/>
        <w:rPr>
          <w:rFonts w:eastAsia="Arial" w:cs="Arial"/>
          <w:sz w:val="20"/>
          <w:szCs w:val="20"/>
        </w:rPr>
      </w:pPr>
      <w:r>
        <w:rPr>
          <w:rFonts w:eastAsia="Arial" w:cs="Arial"/>
          <w:sz w:val="20"/>
          <w:szCs w:val="20"/>
        </w:rPr>
        <w:t>KCD may include in an advertisement or marketing piece a chart or table showing top performing client holdings, provided the following conditions are met:</w:t>
      </w:r>
    </w:p>
    <w:p>
      <w:pPr>
        <w:numPr>
          <w:ilvl w:val="0"/>
          <w:numId w:val="43"/>
        </w:numPr>
        <w:spacing w:before="200"/>
        <w:ind w:left="720" w:hanging="267"/>
        <w:jc w:val="left"/>
        <w:rPr>
          <w:rFonts w:eastAsia="Arial" w:cs="Arial"/>
          <w:sz w:val="20"/>
          <w:szCs w:val="20"/>
        </w:rPr>
      </w:pPr>
      <w:r>
        <w:rPr>
          <w:rFonts w:eastAsia="Arial" w:cs="Arial"/>
          <w:sz w:val="20"/>
          <w:szCs w:val="20"/>
        </w:rPr>
        <w:t>The chart or table showing top performing client holdings are presented in a way that does not violate any of the general conditions of Rule 206(4)-1;</w:t>
      </w:r>
    </w:p>
    <w:p>
      <w:pPr>
        <w:numPr>
          <w:ilvl w:val="0"/>
          <w:numId w:val="43"/>
        </w:numPr>
        <w:ind w:left="720" w:hanging="267"/>
        <w:jc w:val="left"/>
        <w:rPr>
          <w:rFonts w:eastAsia="Arial" w:cs="Arial"/>
          <w:sz w:val="20"/>
          <w:szCs w:val="20"/>
        </w:rPr>
      </w:pPr>
      <w:r>
        <w:rPr>
          <w:rFonts w:eastAsia="Arial" w:cs="Arial"/>
          <w:sz w:val="20"/>
          <w:szCs w:val="20"/>
        </w:rPr>
        <w:t>The methodology to calculate the performance of the representative accounts is applied to all holdings of the representative accounts;</w:t>
      </w:r>
    </w:p>
    <w:p>
      <w:pPr>
        <w:numPr>
          <w:ilvl w:val="0"/>
          <w:numId w:val="43"/>
        </w:numPr>
        <w:ind w:left="720" w:hanging="267"/>
        <w:jc w:val="left"/>
        <w:rPr>
          <w:rFonts w:eastAsia="Arial" w:cs="Arial"/>
          <w:sz w:val="20"/>
          <w:szCs w:val="20"/>
        </w:rPr>
      </w:pPr>
      <w:r>
        <w:rPr>
          <w:rFonts w:eastAsia="Arial" w:cs="Arial"/>
          <w:sz w:val="20"/>
          <w:szCs w:val="20"/>
        </w:rPr>
        <w:t xml:space="preserve">The holdings presented were the result of a methodology that mechanically calculates an equal number of best-performing holdings and worst-performing holdings and such methodology does not involve any subjective factor or allow KCD the opportunity to "cherry-pick" the holdings presented; </w:t>
      </w:r>
    </w:p>
    <w:p>
      <w:pPr>
        <w:numPr>
          <w:ilvl w:val="0"/>
          <w:numId w:val="43"/>
        </w:numPr>
        <w:ind w:left="720" w:hanging="267"/>
        <w:jc w:val="left"/>
        <w:rPr>
          <w:rFonts w:eastAsia="Arial" w:cs="Arial"/>
          <w:sz w:val="20"/>
          <w:szCs w:val="20"/>
        </w:rPr>
      </w:pPr>
      <w:r>
        <w:rPr>
          <w:rFonts w:eastAsia="Arial" w:cs="Arial"/>
          <w:sz w:val="20"/>
          <w:szCs w:val="20"/>
        </w:rPr>
        <w:t>The best and worst performers are presented: (i) on the same page; (ii) with equal prominence; and (iii) with appropriate disclosure;</w:t>
      </w:r>
    </w:p>
    <w:p>
      <w:pPr>
        <w:numPr>
          <w:ilvl w:val="0"/>
          <w:numId w:val="43"/>
        </w:numPr>
        <w:ind w:left="720" w:hanging="267"/>
        <w:jc w:val="left"/>
        <w:rPr>
          <w:rFonts w:eastAsia="Arial" w:cs="Arial"/>
          <w:sz w:val="20"/>
          <w:szCs w:val="20"/>
        </w:rPr>
      </w:pPr>
      <w:r>
        <w:rPr>
          <w:rFonts w:eastAsia="Arial" w:cs="Arial"/>
          <w:sz w:val="20"/>
          <w:szCs w:val="20"/>
        </w:rPr>
        <w:t>The chart or table discloses how someone may obtain: (i) the calculation methodology; and (ii) a list showing the contribution of each holding in the representative account to the account's performance during the measurement period;</w:t>
      </w:r>
    </w:p>
    <w:p>
      <w:pPr>
        <w:numPr>
          <w:ilvl w:val="0"/>
          <w:numId w:val="43"/>
        </w:numPr>
        <w:ind w:left="720" w:hanging="267"/>
        <w:jc w:val="left"/>
        <w:rPr>
          <w:rFonts w:eastAsia="Arial" w:cs="Arial"/>
          <w:sz w:val="20"/>
          <w:szCs w:val="20"/>
        </w:rPr>
      </w:pPr>
      <w:r>
        <w:rPr>
          <w:rFonts w:eastAsia="Arial" w:cs="Arial"/>
          <w:sz w:val="20"/>
          <w:szCs w:val="20"/>
        </w:rPr>
        <w:t>The chart or table clearly indicates that the holdings identified do not represent all of the securities purchased, sold or recommended for clients and states that past performance does not guarantee future results;</w:t>
      </w:r>
    </w:p>
    <w:p>
      <w:pPr>
        <w:numPr>
          <w:ilvl w:val="0"/>
          <w:numId w:val="43"/>
        </w:numPr>
        <w:ind w:left="720" w:hanging="267"/>
        <w:jc w:val="left"/>
        <w:rPr>
          <w:rFonts w:eastAsia="Arial" w:cs="Arial"/>
          <w:sz w:val="20"/>
          <w:szCs w:val="20"/>
        </w:rPr>
      </w:pPr>
      <w:r>
        <w:rPr>
          <w:rFonts w:eastAsia="Arial" w:cs="Arial"/>
          <w:sz w:val="20"/>
          <w:szCs w:val="20"/>
        </w:rPr>
        <w:t>At least ten holdings are shown, including an equal number of holdings that contributed most positively to a representative account's performance and an equal number of holdings that contributed most negatively to the representative account's performance;</w:t>
      </w:r>
    </w:p>
    <w:p>
      <w:pPr>
        <w:numPr>
          <w:ilvl w:val="0"/>
          <w:numId w:val="43"/>
        </w:numPr>
        <w:ind w:left="720" w:hanging="267"/>
        <w:jc w:val="left"/>
        <w:rPr>
          <w:rFonts w:eastAsia="Arial" w:cs="Arial"/>
          <w:sz w:val="20"/>
          <w:szCs w:val="20"/>
        </w:rPr>
      </w:pPr>
      <w:r>
        <w:rPr>
          <w:rFonts w:eastAsia="Arial" w:cs="Arial"/>
          <w:sz w:val="20"/>
          <w:szCs w:val="20"/>
        </w:rPr>
        <w:t>The methodology consistently weighs every holding in the account;</w:t>
      </w:r>
    </w:p>
    <w:p>
      <w:pPr>
        <w:numPr>
          <w:ilvl w:val="0"/>
          <w:numId w:val="43"/>
        </w:numPr>
        <w:ind w:left="720" w:hanging="267"/>
        <w:jc w:val="left"/>
        <w:rPr>
          <w:rFonts w:eastAsia="Arial" w:cs="Arial"/>
          <w:sz w:val="20"/>
          <w:szCs w:val="20"/>
        </w:rPr>
      </w:pPr>
      <w:r>
        <w:rPr>
          <w:rFonts w:eastAsia="Arial" w:cs="Arial"/>
          <w:sz w:val="20"/>
          <w:szCs w:val="20"/>
        </w:rPr>
        <w:t>The number of holdings presented, the calculation methodology and the presentation of information are consistent from period to period; and</w:t>
      </w:r>
    </w:p>
    <w:p>
      <w:pPr>
        <w:numPr>
          <w:ilvl w:val="0"/>
          <w:numId w:val="43"/>
        </w:numPr>
        <w:spacing w:after="200"/>
        <w:ind w:left="720" w:hanging="378"/>
        <w:jc w:val="left"/>
        <w:rPr>
          <w:rFonts w:eastAsia="Arial" w:cs="Arial"/>
          <w:sz w:val="20"/>
          <w:szCs w:val="20"/>
        </w:rPr>
      </w:pPr>
      <w:r>
        <w:rPr>
          <w:rFonts w:eastAsia="Arial" w:cs="Arial"/>
          <w:sz w:val="20"/>
          <w:szCs w:val="20"/>
        </w:rPr>
        <w:t>KCD maintains the following records: (i) the criteria used to select the specific securities listed in the charts or tables; (ii) a list showing the contribution of each holding in the representative account to the account's performance during the measurement period; and (iii) all supporting the data necessary to demonstrate the calculation of the contribution of each holding and the appropriateness of the holdings included in each chart.</w:t>
      </w:r>
    </w:p>
    <w:p>
      <w:pPr>
        <w:rPr>
          <w:rFonts w:ascii="Times New Roman" w:eastAsia="Times New Roman" w:hAnsi="Times New Roman" w:cs="Times New Roman"/>
          <w:sz w:val="24"/>
        </w:rPr>
      </w:pPr>
      <w:bookmarkStart w:id="4" w:name="Sec_Chp_061016102246984_061016102247031"/>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developed this Compliance Manual to ensure its compliance with applicable securities laws and regulations when it engages in the business of providing investment management services to clients. The Compliance Manual sets forth KCD's policies and procedures designed to (1) prevent violations from occurring, (2) detect violations that have occurred, and (3) promptly correct any violations that have occurred. In addition, the Compliance Manual designates supervisors and describes their supervisory responsibilities over KCD's personnel.</w:t>
      </w:r>
    </w:p>
    <w:p>
      <w:pPr>
        <w:pStyle w:val="normal0"/>
        <w:spacing w:before="200" w:after="200"/>
        <w:rPr>
          <w:rFonts w:eastAsia="Arial" w:cs="Arial"/>
          <w:sz w:val="20"/>
          <w:szCs w:val="20"/>
        </w:rPr>
      </w:pPr>
      <w:r>
        <w:rPr>
          <w:rFonts w:eastAsia="Arial" w:cs="Arial"/>
          <w:sz w:val="20"/>
          <w:szCs w:val="20"/>
        </w:rPr>
        <w:t>KCD is a registered investment adviser and has investment management responsibility for various clients. KCD requires full compliance with all laws and regulations governing the provision of advisory services to clients, including Rule 206(4)-7 under the Investment Advisers Act of 1940, which requires an SEC-registered investment adviser to maintain written policies and procedures designed to prevent violations of such laws and regulations. It is also the policy of KCD to conduct its business in a manner that meets the highest standards of commercial honor and just and equitable principles of trade. Inherent in all client relationships is the fundamental responsibility to deal fairly with clients.</w:t>
      </w:r>
    </w:p>
    <w:p>
      <w:pPr>
        <w:pStyle w:val="normal0"/>
        <w:spacing w:before="200" w:after="200"/>
        <w:rPr>
          <w:rFonts w:eastAsia="Arial" w:cs="Arial"/>
          <w:sz w:val="20"/>
          <w:szCs w:val="20"/>
        </w:rPr>
      </w:pPr>
      <w:r>
        <w:rPr>
          <w:rFonts w:eastAsia="Arial" w:cs="Arial"/>
          <w:sz w:val="20"/>
          <w:szCs w:val="20"/>
        </w:rPr>
        <w:t>KCD depends on its employees and officers to provide high-quality investment advisory services to clients, in a manner that is ethical, fair and equitable to all concerned. Every employee of KCD is required to read the Compliance Manual, maintain a copy of the Compliance Manual, and sign a statement acknowledging receipt of the Manual and affirming his or her understanding and compliance. KCD will maintain a copy of the acknowledgment receipt in each employee's personnel file. Failure to comply fully with the policies and procedures contained in the Compliance Manual and all applicable securities laws may jeopardize the individual, his or her supervisors, and KCD itself.</w:t>
      </w:r>
    </w:p>
    <w:p>
      <w:pPr>
        <w:pStyle w:val="normal0"/>
        <w:spacing w:before="200" w:after="200"/>
        <w:rPr>
          <w:rFonts w:eastAsia="Arial" w:cs="Arial"/>
          <w:sz w:val="20"/>
          <w:szCs w:val="20"/>
        </w:rPr>
      </w:pPr>
      <w:r>
        <w:rPr>
          <w:rFonts w:eastAsia="Arial" w:cs="Arial"/>
          <w:sz w:val="20"/>
          <w:szCs w:val="20"/>
        </w:rPr>
        <w:t>KCD will review, no less frequently than annually, the adequacy and effectiveness of the policies and procedures contained in this Compliance Manual. The Compliance Manual will be periodically revised and supplemented. Each page of this Compliance Manual remains in effect until superseded by a revised version. When changes are made, the Compliance Manual will be updated electronically or revised copies of the relevant pages will be provided to each employee for insertion.</w:t>
      </w:r>
    </w:p>
    <w:p>
      <w:pPr>
        <w:pStyle w:val="normal0"/>
        <w:spacing w:before="200" w:after="200"/>
        <w:rPr>
          <w:rFonts w:eastAsia="Arial" w:cs="Arial"/>
          <w:sz w:val="20"/>
          <w:szCs w:val="20"/>
        </w:rPr>
      </w:pPr>
      <w:r>
        <w:rPr>
          <w:rFonts w:eastAsia="Arial" w:cs="Arial"/>
          <w:sz w:val="20"/>
          <w:szCs w:val="20"/>
        </w:rPr>
        <w:t>Each employee is required to:</w:t>
      </w:r>
    </w:p>
    <w:p>
      <w:pPr>
        <w:numPr>
          <w:ilvl w:val="0"/>
          <w:numId w:val="44"/>
        </w:numPr>
        <w:spacing w:before="200"/>
        <w:ind w:left="720" w:hanging="267"/>
        <w:jc w:val="left"/>
        <w:rPr>
          <w:rFonts w:eastAsia="Arial" w:cs="Arial"/>
          <w:sz w:val="20"/>
          <w:szCs w:val="20"/>
        </w:rPr>
      </w:pPr>
      <w:r>
        <w:rPr>
          <w:rFonts w:eastAsia="Arial" w:cs="Arial"/>
          <w:sz w:val="20"/>
          <w:szCs w:val="20"/>
        </w:rPr>
        <w:t>Know and understand the contents of the Compliance Manual;</w:t>
      </w:r>
    </w:p>
    <w:p>
      <w:pPr>
        <w:numPr>
          <w:ilvl w:val="0"/>
          <w:numId w:val="44"/>
        </w:numPr>
        <w:ind w:left="720" w:hanging="267"/>
        <w:jc w:val="left"/>
        <w:rPr>
          <w:rFonts w:eastAsia="Arial" w:cs="Arial"/>
          <w:sz w:val="20"/>
          <w:szCs w:val="20"/>
        </w:rPr>
      </w:pPr>
      <w:r>
        <w:rPr>
          <w:rFonts w:eastAsia="Arial" w:cs="Arial"/>
          <w:sz w:val="20"/>
          <w:szCs w:val="20"/>
        </w:rPr>
        <w:t>Ensure that those persons he or she supervises have a copy of the Compliance Manual and know and understand its contents;</w:t>
      </w:r>
    </w:p>
    <w:p>
      <w:pPr>
        <w:numPr>
          <w:ilvl w:val="0"/>
          <w:numId w:val="44"/>
        </w:numPr>
        <w:ind w:left="720" w:hanging="267"/>
        <w:jc w:val="left"/>
        <w:rPr>
          <w:rFonts w:eastAsia="Arial" w:cs="Arial"/>
          <w:sz w:val="20"/>
          <w:szCs w:val="20"/>
        </w:rPr>
      </w:pPr>
      <w:r>
        <w:rPr>
          <w:rFonts w:eastAsia="Arial" w:cs="Arial"/>
          <w:sz w:val="20"/>
          <w:szCs w:val="20"/>
        </w:rPr>
        <w:t>Maintain the Compliance Manual in a place that allows easy reference; and</w:t>
      </w:r>
    </w:p>
    <w:p>
      <w:pPr>
        <w:numPr>
          <w:ilvl w:val="0"/>
          <w:numId w:val="44"/>
        </w:numPr>
        <w:spacing w:after="200"/>
        <w:ind w:left="720" w:hanging="267"/>
        <w:jc w:val="left"/>
        <w:rPr>
          <w:rFonts w:eastAsia="Arial" w:cs="Arial"/>
          <w:sz w:val="20"/>
          <w:szCs w:val="20"/>
        </w:rPr>
      </w:pPr>
      <w:r>
        <w:rPr>
          <w:rFonts w:eastAsia="Arial" w:cs="Arial"/>
          <w:sz w:val="20"/>
          <w:szCs w:val="20"/>
        </w:rPr>
        <w:t>Contact his or her supervisor or the Chief Compliance Officer when he or she suspects or detects violations of the Compliance Manual.</w:t>
      </w:r>
    </w:p>
    <w:p>
      <w:pPr>
        <w:pStyle w:val="normal0"/>
        <w:spacing w:before="200" w:after="200"/>
        <w:rPr>
          <w:rFonts w:eastAsia="Arial" w:cs="Arial"/>
          <w:sz w:val="20"/>
          <w:szCs w:val="20"/>
        </w:rPr>
      </w:pPr>
      <w:r>
        <w:rPr>
          <w:rFonts w:eastAsia="Arial" w:cs="Arial"/>
          <w:sz w:val="20"/>
          <w:szCs w:val="20"/>
        </w:rPr>
        <w:t>This Compliance Manual belongs to KCD and may not be given to any person, other than an employee of KCD, without the permission of the Chief Compliance Officer.</w:t>
      </w:r>
    </w:p>
    <w:p>
      <w:pPr>
        <w:pStyle w:val="normal0"/>
        <w:spacing w:before="200" w:after="200"/>
        <w:rPr>
          <w:rFonts w:eastAsia="Arial" w:cs="Arial"/>
          <w:sz w:val="20"/>
          <w:szCs w:val="20"/>
        </w:rPr>
      </w:pPr>
      <w:r>
        <w:rPr>
          <w:rFonts w:eastAsia="Arial" w:cs="Arial"/>
          <w:sz w:val="20"/>
          <w:szCs w:val="20"/>
        </w:rPr>
        <w:t>On February 18 and 19, 2025, President Donald Trump issued two executive orders that are likely to significantly impact the regulation of investment advisers. The first order, Ensuring Accountability for All Agencies, establishes a degree of oversight and control of the SEC. The second order, Ensuring Lawful Governance and Implementing the President's "Department of Government Efficiency" Deregulatory Initiative, seeks to end perceived regulatory overreach and overzealous enforcement by agencies and puts in motion plans to rescind or modify rules of the SEC.</w:t>
      </w:r>
    </w:p>
    <w:p>
      <w:pPr>
        <w:pStyle w:val="normal0"/>
        <w:spacing w:before="200" w:after="200"/>
        <w:rPr>
          <w:rFonts w:eastAsia="Arial" w:cs="Arial"/>
          <w:sz w:val="20"/>
          <w:szCs w:val="20"/>
        </w:rPr>
      </w:pPr>
      <w:r>
        <w:rPr>
          <w:rFonts w:eastAsia="Arial" w:cs="Arial"/>
          <w:sz w:val="20"/>
          <w:szCs w:val="20"/>
        </w:rPr>
        <w:t>The Ensuring Accountability for All Agencies executive order:</w:t>
      </w:r>
    </w:p>
    <w:p>
      <w:pPr>
        <w:numPr>
          <w:ilvl w:val="0"/>
          <w:numId w:val="45"/>
        </w:numPr>
        <w:spacing w:before="200"/>
        <w:ind w:left="720" w:hanging="192"/>
        <w:jc w:val="left"/>
        <w:rPr>
          <w:rFonts w:eastAsia="Arial" w:cs="Arial"/>
          <w:sz w:val="20"/>
          <w:szCs w:val="20"/>
        </w:rPr>
      </w:pPr>
      <w:r>
        <w:rPr>
          <w:rFonts w:eastAsia="Arial" w:cs="Arial"/>
          <w:sz w:val="20"/>
          <w:szCs w:val="20"/>
        </w:rPr>
        <w:t>requires "independent regulatory agency chairmen [to] regularly consult with and coordinate policies and priorities with the directors of OMB, the White House Domestic Policy Council, and the White House National Economic Council";</w:t>
      </w:r>
    </w:p>
    <w:p>
      <w:pPr>
        <w:numPr>
          <w:ilvl w:val="0"/>
          <w:numId w:val="45"/>
        </w:numPr>
        <w:ind w:left="720" w:hanging="192"/>
        <w:jc w:val="left"/>
        <w:rPr>
          <w:rFonts w:eastAsia="Arial" w:cs="Arial"/>
          <w:sz w:val="20"/>
          <w:szCs w:val="20"/>
        </w:rPr>
      </w:pPr>
      <w:r>
        <w:rPr>
          <w:rFonts w:eastAsia="Arial" w:cs="Arial"/>
          <w:sz w:val="20"/>
          <w:szCs w:val="20"/>
        </w:rPr>
        <w:t>requires "heads of independent regulatory agencies [to] establish a position of White House Liaison in their respective agencies";</w:t>
      </w:r>
    </w:p>
    <w:p>
      <w:pPr>
        <w:numPr>
          <w:ilvl w:val="0"/>
          <w:numId w:val="45"/>
        </w:numPr>
        <w:ind w:left="720" w:hanging="192"/>
        <w:jc w:val="left"/>
        <w:rPr>
          <w:rFonts w:eastAsia="Arial" w:cs="Arial"/>
          <w:sz w:val="20"/>
          <w:szCs w:val="20"/>
        </w:rPr>
      </w:pPr>
      <w:r>
        <w:rPr>
          <w:rFonts w:eastAsia="Arial" w:cs="Arial"/>
          <w:sz w:val="20"/>
          <w:szCs w:val="20"/>
        </w:rPr>
        <w:t>requires independent regulatory agency chairmen to submit strategic plans to the Director of OMB;</w:t>
      </w:r>
    </w:p>
    <w:p>
      <w:pPr>
        <w:numPr>
          <w:ilvl w:val="0"/>
          <w:numId w:val="45"/>
        </w:numPr>
        <w:ind w:left="720" w:hanging="192"/>
        <w:jc w:val="left"/>
        <w:rPr>
          <w:rFonts w:eastAsia="Arial" w:cs="Arial"/>
          <w:sz w:val="20"/>
          <w:szCs w:val="20"/>
        </w:rPr>
      </w:pPr>
      <w:r>
        <w:rPr>
          <w:rFonts w:eastAsia="Arial" w:cs="Arial"/>
          <w:sz w:val="20"/>
          <w:szCs w:val="20"/>
        </w:rPr>
        <w:t>requires the Director of OMB to "establish performance standards and management objectives for independent agency heads"; and</w:t>
      </w:r>
    </w:p>
    <w:p>
      <w:pPr>
        <w:numPr>
          <w:ilvl w:val="0"/>
          <w:numId w:val="45"/>
        </w:numPr>
        <w:spacing w:after="200"/>
        <w:ind w:left="720" w:hanging="192"/>
        <w:jc w:val="left"/>
        <w:rPr>
          <w:rFonts w:eastAsia="Arial" w:cs="Arial"/>
          <w:sz w:val="20"/>
          <w:szCs w:val="20"/>
        </w:rPr>
      </w:pPr>
      <w:r>
        <w:rPr>
          <w:rFonts w:eastAsia="Arial" w:cs="Arial"/>
          <w:sz w:val="20"/>
          <w:szCs w:val="20"/>
        </w:rPr>
        <w:t>provides that "[t]he President and the Attorney General, subject to the President's supervision and control, shall provide authoritative interpretations of law for the executive branch."</w:t>
      </w:r>
    </w:p>
    <w:p>
      <w:pPr>
        <w:pStyle w:val="normal0"/>
        <w:spacing w:before="200" w:after="200"/>
        <w:rPr>
          <w:rFonts w:eastAsia="Arial" w:cs="Arial"/>
          <w:sz w:val="20"/>
          <w:szCs w:val="20"/>
        </w:rPr>
      </w:pPr>
      <w:r>
        <w:rPr>
          <w:rFonts w:eastAsia="Arial" w:cs="Arial"/>
          <w:sz w:val="20"/>
          <w:szCs w:val="20"/>
        </w:rPr>
        <w:t>The Ensuring Lawful Governance and Implementing the President's "Department of Government Efficiency" Deregulatory Initiative executive order, among other things, requires the SEC Chairman, "in consultation with the Attorney General as appropriate," to identify the following types of regulations for potential rescission or modification:</w:t>
      </w:r>
    </w:p>
    <w:p>
      <w:pPr>
        <w:numPr>
          <w:ilvl w:val="0"/>
          <w:numId w:val="46"/>
        </w:numPr>
        <w:spacing w:before="200"/>
        <w:ind w:left="720" w:hanging="192"/>
        <w:jc w:val="left"/>
        <w:rPr>
          <w:rFonts w:eastAsia="Arial" w:cs="Arial"/>
          <w:sz w:val="20"/>
          <w:szCs w:val="20"/>
        </w:rPr>
      </w:pPr>
      <w:r>
        <w:rPr>
          <w:rFonts w:eastAsia="Arial" w:cs="Arial"/>
          <w:sz w:val="20"/>
          <w:szCs w:val="20"/>
        </w:rPr>
        <w:t>Unconstitutional regulations and regulations that raise serious constitutional difficulties, such as exceeding the scope of the power vested in the federal government by the Constitution.</w:t>
      </w:r>
    </w:p>
    <w:p>
      <w:pPr>
        <w:numPr>
          <w:ilvl w:val="0"/>
          <w:numId w:val="46"/>
        </w:numPr>
        <w:ind w:left="720" w:hanging="192"/>
        <w:jc w:val="left"/>
        <w:rPr>
          <w:rFonts w:eastAsia="Arial" w:cs="Arial"/>
          <w:sz w:val="20"/>
          <w:szCs w:val="20"/>
        </w:rPr>
      </w:pPr>
      <w:r>
        <w:rPr>
          <w:rFonts w:eastAsia="Arial" w:cs="Arial"/>
          <w:sz w:val="20"/>
          <w:szCs w:val="20"/>
        </w:rPr>
        <w:t>Regulations that are based on unlawful delegations of legislative power.</w:t>
      </w:r>
    </w:p>
    <w:p>
      <w:pPr>
        <w:numPr>
          <w:ilvl w:val="0"/>
          <w:numId w:val="46"/>
        </w:numPr>
        <w:ind w:left="720" w:hanging="192"/>
        <w:jc w:val="left"/>
        <w:rPr>
          <w:rFonts w:eastAsia="Arial" w:cs="Arial"/>
          <w:sz w:val="20"/>
          <w:szCs w:val="20"/>
        </w:rPr>
      </w:pPr>
      <w:r>
        <w:rPr>
          <w:rFonts w:eastAsia="Arial" w:cs="Arial"/>
          <w:sz w:val="20"/>
          <w:szCs w:val="20"/>
        </w:rPr>
        <w:t>Regulations that are based on anything other than the best reading of the underlying statutory authority or prohibition.</w:t>
      </w:r>
    </w:p>
    <w:p>
      <w:pPr>
        <w:numPr>
          <w:ilvl w:val="0"/>
          <w:numId w:val="46"/>
        </w:numPr>
        <w:ind w:left="720" w:hanging="192"/>
        <w:jc w:val="left"/>
        <w:rPr>
          <w:rFonts w:eastAsia="Arial" w:cs="Arial"/>
          <w:sz w:val="20"/>
          <w:szCs w:val="20"/>
        </w:rPr>
      </w:pPr>
      <w:r>
        <w:rPr>
          <w:rFonts w:eastAsia="Arial" w:cs="Arial"/>
          <w:sz w:val="20"/>
          <w:szCs w:val="20"/>
        </w:rPr>
        <w:t>Regulations that implicate matters of social, political, or economic significance that are not authorized by clear statutory authority.</w:t>
      </w:r>
    </w:p>
    <w:p>
      <w:pPr>
        <w:numPr>
          <w:ilvl w:val="0"/>
          <w:numId w:val="46"/>
        </w:numPr>
        <w:ind w:left="720" w:hanging="192"/>
        <w:jc w:val="left"/>
        <w:rPr>
          <w:rFonts w:eastAsia="Arial" w:cs="Arial"/>
          <w:sz w:val="20"/>
          <w:szCs w:val="20"/>
        </w:rPr>
      </w:pPr>
      <w:r>
        <w:rPr>
          <w:rFonts w:eastAsia="Arial" w:cs="Arial"/>
          <w:sz w:val="20"/>
          <w:szCs w:val="20"/>
        </w:rPr>
        <w:t>Regulations that impose significant costs upon private parties that are not outweighed by public benefits.</w:t>
      </w:r>
    </w:p>
    <w:p>
      <w:pPr>
        <w:numPr>
          <w:ilvl w:val="0"/>
          <w:numId w:val="46"/>
        </w:numPr>
        <w:ind w:left="720" w:hanging="192"/>
        <w:jc w:val="left"/>
        <w:rPr>
          <w:rFonts w:eastAsia="Arial" w:cs="Arial"/>
          <w:sz w:val="20"/>
          <w:szCs w:val="20"/>
        </w:rPr>
      </w:pPr>
      <w:r>
        <w:rPr>
          <w:rFonts w:eastAsia="Arial" w:cs="Arial"/>
          <w:sz w:val="20"/>
          <w:szCs w:val="20"/>
        </w:rPr>
        <w:t>Regulations that harm the national interest by significantly and unjustifiably impeding technological innovation, infrastructure development, disaster response, inflation reduction, research and development, economic development, energy production, land use, and foreign policy objectives.</w:t>
      </w:r>
    </w:p>
    <w:p>
      <w:pPr>
        <w:numPr>
          <w:ilvl w:val="0"/>
          <w:numId w:val="46"/>
        </w:numPr>
        <w:spacing w:after="200"/>
        <w:ind w:left="720" w:hanging="192"/>
        <w:jc w:val="left"/>
        <w:rPr>
          <w:rFonts w:eastAsia="Arial" w:cs="Arial"/>
          <w:sz w:val="20"/>
          <w:szCs w:val="20"/>
        </w:rPr>
      </w:pPr>
      <w:r>
        <w:rPr>
          <w:rFonts w:eastAsia="Arial" w:cs="Arial"/>
          <w:sz w:val="20"/>
          <w:szCs w:val="20"/>
        </w:rPr>
        <w:t>Regulations that impose undue burdens on small business and impede private enterprise and entrepreneurship.</w:t>
      </w:r>
    </w:p>
    <w:p>
      <w:pPr>
        <w:pStyle w:val="normal0"/>
        <w:spacing w:before="200" w:after="200"/>
        <w:rPr>
          <w:rFonts w:eastAsia="Arial" w:cs="Arial"/>
          <w:sz w:val="20"/>
          <w:szCs w:val="20"/>
        </w:rPr>
      </w:pPr>
      <w:r>
        <w:rPr>
          <w:rFonts w:eastAsia="Arial" w:cs="Arial"/>
          <w:sz w:val="20"/>
          <w:szCs w:val="20"/>
        </w:rPr>
        <w:t>In addition, this order directs the SEC to "preserve its limited enforcement resources by generally de-prioritizing actions to enforce regulations that are based on anything other than the best reading of a statute and de-prioritizing actions to enforce regulations that go beyond the powers vested in the Federal Government by the Constitution."</w:t>
      </w:r>
    </w:p>
    <w:p>
      <w:pPr>
        <w:pStyle w:val="normal0"/>
        <w:spacing w:before="200" w:after="200"/>
        <w:rPr>
          <w:rFonts w:eastAsia="Arial" w:cs="Arial"/>
          <w:sz w:val="20"/>
          <w:szCs w:val="20"/>
        </w:rPr>
      </w:pPr>
      <w:r>
        <w:rPr>
          <w:rFonts w:eastAsia="Arial" w:cs="Arial"/>
          <w:sz w:val="20"/>
          <w:szCs w:val="20"/>
        </w:rPr>
        <w:t>On June 12, 2025, the SEC withdrew the following rules proposed between March 2022 and November 2023:</w:t>
      </w:r>
    </w:p>
    <w:p>
      <w:pPr>
        <w:numPr>
          <w:ilvl w:val="0"/>
          <w:numId w:val="47"/>
        </w:numPr>
        <w:spacing w:before="200"/>
        <w:ind w:left="720" w:hanging="192"/>
        <w:jc w:val="left"/>
        <w:rPr>
          <w:rFonts w:eastAsia="Arial" w:cs="Arial"/>
          <w:sz w:val="20"/>
          <w:szCs w:val="20"/>
        </w:rPr>
      </w:pPr>
      <w:r>
        <w:rPr>
          <w:rFonts w:eastAsia="Arial" w:cs="Arial"/>
          <w:sz w:val="20"/>
          <w:szCs w:val="20"/>
        </w:rPr>
        <w:t>Predictive Analytics Rule for RIAs and BDs</w:t>
      </w:r>
    </w:p>
    <w:p>
      <w:pPr>
        <w:numPr>
          <w:ilvl w:val="0"/>
          <w:numId w:val="47"/>
        </w:numPr>
        <w:ind w:left="720" w:hanging="192"/>
        <w:jc w:val="left"/>
        <w:rPr>
          <w:rFonts w:eastAsia="Arial" w:cs="Arial"/>
          <w:sz w:val="20"/>
          <w:szCs w:val="20"/>
        </w:rPr>
      </w:pPr>
      <w:r>
        <w:rPr>
          <w:rFonts w:eastAsia="Arial" w:cs="Arial"/>
          <w:sz w:val="20"/>
          <w:szCs w:val="20"/>
        </w:rPr>
        <w:t>Advisers Act Custody Rule Amendments</w:t>
      </w:r>
    </w:p>
    <w:p>
      <w:pPr>
        <w:numPr>
          <w:ilvl w:val="0"/>
          <w:numId w:val="47"/>
        </w:numPr>
        <w:ind w:left="720" w:hanging="192"/>
        <w:jc w:val="left"/>
        <w:rPr>
          <w:rFonts w:eastAsia="Arial" w:cs="Arial"/>
          <w:sz w:val="20"/>
          <w:szCs w:val="20"/>
        </w:rPr>
      </w:pPr>
      <w:r>
        <w:rPr>
          <w:rFonts w:eastAsia="Arial" w:cs="Arial"/>
          <w:sz w:val="20"/>
          <w:szCs w:val="20"/>
        </w:rPr>
        <w:t>Cybersecurity Risk Management Rules for RIAs and Registered Funds</w:t>
      </w:r>
    </w:p>
    <w:p>
      <w:pPr>
        <w:numPr>
          <w:ilvl w:val="0"/>
          <w:numId w:val="47"/>
        </w:numPr>
        <w:ind w:left="720" w:hanging="192"/>
        <w:jc w:val="left"/>
        <w:rPr>
          <w:rFonts w:eastAsia="Arial" w:cs="Arial"/>
          <w:sz w:val="20"/>
          <w:szCs w:val="20"/>
        </w:rPr>
      </w:pPr>
      <w:r>
        <w:rPr>
          <w:rFonts w:eastAsia="Arial" w:cs="Arial"/>
          <w:sz w:val="20"/>
          <w:szCs w:val="20"/>
        </w:rPr>
        <w:t>ESG Rules for RIAs and Registered Funds</w:t>
      </w:r>
    </w:p>
    <w:p>
      <w:pPr>
        <w:numPr>
          <w:ilvl w:val="0"/>
          <w:numId w:val="47"/>
        </w:numPr>
        <w:spacing w:after="200"/>
        <w:ind w:left="720" w:hanging="192"/>
        <w:jc w:val="left"/>
        <w:rPr>
          <w:rFonts w:eastAsia="Arial" w:cs="Arial"/>
          <w:sz w:val="20"/>
          <w:szCs w:val="20"/>
        </w:rPr>
      </w:pPr>
      <w:r>
        <w:rPr>
          <w:rFonts w:eastAsia="Arial" w:cs="Arial"/>
          <w:sz w:val="20"/>
          <w:szCs w:val="20"/>
        </w:rPr>
        <w:t>RIA Outsourcing Rule</w:t>
      </w:r>
    </w:p>
    <w:p>
      <w:pPr>
        <w:pStyle w:val="normal0"/>
        <w:spacing w:before="200" w:after="200"/>
        <w:rPr>
          <w:rFonts w:eastAsia="Arial" w:cs="Arial"/>
          <w:sz w:val="20"/>
          <w:szCs w:val="20"/>
        </w:rPr>
      </w:pPr>
      <w:r>
        <w:rPr>
          <w:rFonts w:eastAsia="Arial" w:cs="Arial"/>
          <w:sz w:val="20"/>
          <w:szCs w:val="20"/>
        </w:rPr>
        <w:t>By withdrawing the notices of proposed rulemaking issued, the SEC does not intend to issue final rules with respect to these proposals. If the SEC decides to pursue future regulatory action in any of these areas, it will issue a new proposed rule.</w:t>
      </w:r>
    </w:p>
    <w:p>
      <w:pPr>
        <w:rPr>
          <w:rFonts w:ascii="Times New Roman" w:eastAsia="Times New Roman" w:hAnsi="Times New Roman" w:cs="Times New Roman"/>
          <w:sz w:val="24"/>
        </w:rPr>
      </w:pPr>
      <w:bookmarkEnd w:id="4"/>
    </w:p>
    <w:p>
      <w:r>
        <w:rPr>
          <w:rFonts w:ascii="Times New Roman" w:eastAsia="Times New Roman" w:hAnsi="Times New Roman" w:cs="Times New Roman"/>
          <w:sz w:val="24"/>
        </w:rPr>
        <w:br w:type="page"/>
      </w:r>
    </w:p>
    <w:p>
      <w:pPr>
        <w:pStyle w:val="Heading1"/>
      </w:pPr>
      <w:bookmarkStart w:id="5" w:name="_Toc256000003"/>
      <w:r>
        <w:t>2 NEW CLIENTS AND ANTI-MONEY LAUNDERING</w:t>
      </w:r>
      <w:bookmarkEnd w:id="5"/>
    </w:p>
    <w:p>
      <w:bookmarkStart w:id="6" w:name="Sec_Chp_061016102247218_061016102247265"/>
    </w:p>
    <w:p>
      <w:pPr>
        <w:pStyle w:val="Heading2"/>
      </w:pPr>
      <w:bookmarkStart w:id="7" w:name="_Toc256000004"/>
      <w:r>
        <w:t>Introduction</w:t>
      </w:r>
      <w:bookmarkEnd w:id="7"/>
    </w:p>
    <w:p/>
    <w:p>
      <w:pPr>
        <w:rPr>
          <w:rFonts w:eastAsia="Arial" w:cs="Arial"/>
          <w:sz w:val="16"/>
          <w:szCs w:val="16"/>
        </w:rPr>
      </w:pPr>
      <w:r>
        <w:rPr>
          <w:rFonts w:eastAsia="Arial" w:cs="Arial"/>
          <w:sz w:val="16"/>
          <w:szCs w:val="16"/>
        </w:rPr>
        <w:t>[</w:t>
      </w:r>
      <w:hyperlink r:id="rId6" w:tgtFrame="_blank" w:history="1">
        <w:r>
          <w:rPr>
            <w:rStyle w:val="Hyperlink"/>
            <w:rFonts w:eastAsia="Arial" w:cs="Arial"/>
            <w:color w:val="0000EE"/>
            <w:sz w:val="16"/>
            <w:szCs w:val="16"/>
            <w:u w:color="0000EE"/>
          </w:rPr>
          <w:t>https://www.fincen.gov/resources/statutes-regulations/usa-patriot-act</w:t>
        </w:r>
      </w:hyperlink>
      <w:r>
        <w:rPr>
          <w:rFonts w:eastAsia="Arial" w:cs="Arial"/>
          <w:sz w:val="16"/>
          <w:szCs w:val="16"/>
        </w:rPr>
        <w:t>]</w:t>
      </w:r>
    </w:p>
    <w:p/>
    <w:p>
      <w:pPr>
        <w:pStyle w:val="normal0"/>
        <w:spacing w:after="200"/>
        <w:rPr>
          <w:rFonts w:eastAsia="Arial" w:cs="Arial"/>
          <w:sz w:val="20"/>
          <w:szCs w:val="20"/>
        </w:rPr>
      </w:pPr>
      <w:r>
        <w:rPr>
          <w:rFonts w:eastAsia="Arial" w:cs="Arial"/>
          <w:sz w:val="20"/>
          <w:szCs w:val="20"/>
        </w:rPr>
        <w:t>Opening client accounts raises important compliance considerations primarily related to the intake of information and its management. Obtaining reliable client information is critical to an advisory firm's ability to make suitable investment decisions for clients, as well as to have an effective anti-money laundering program.</w:t>
      </w:r>
    </w:p>
    <w:p>
      <w:pPr>
        <w:pStyle w:val="normal0"/>
        <w:spacing w:before="200" w:after="200"/>
        <w:rPr>
          <w:rFonts w:eastAsia="Arial" w:cs="Arial"/>
          <w:sz w:val="20"/>
          <w:szCs w:val="20"/>
        </w:rPr>
      </w:pPr>
      <w:r>
        <w:rPr>
          <w:rFonts w:eastAsia="Arial" w:cs="Arial"/>
          <w:sz w:val="20"/>
          <w:szCs w:val="20"/>
        </w:rPr>
        <w:t xml:space="preserve">The USA PATRIOT Act of 2001 requires all "financial institutions" to implement anti-money laundering programs. On August 25, 2015, the Financial Crimes Enforcement Network (FinCEN), a bureau of the Department of the Treasury (Treasury), proposed rules that prescribe minimum standards for anti-money laundering programs (AML) to be established by certain investment advisers and to require such investment advisers to report suspicious activity to FinCEN pursuant to the Bank Secrecy Act (BSA). </w:t>
      </w:r>
    </w:p>
    <w:p>
      <w:pPr>
        <w:pStyle w:val="normal0"/>
        <w:spacing w:before="200" w:after="200"/>
        <w:rPr>
          <w:rFonts w:eastAsia="Arial" w:cs="Arial"/>
          <w:sz w:val="20"/>
          <w:szCs w:val="20"/>
        </w:rPr>
      </w:pPr>
      <w:r>
        <w:rPr>
          <w:rFonts w:eastAsia="Arial" w:cs="Arial"/>
          <w:sz w:val="20"/>
          <w:szCs w:val="20"/>
        </w:rPr>
        <w:t>On August 28, 2024, FinCEN adopted a final rule that subjects investment advisers to anti-money laundering/countering the financing of terrorism (AML/CFT) programs and related reporting requirements, including suspicious activity reports. The final rule requires:</w:t>
      </w:r>
    </w:p>
    <w:p>
      <w:pPr>
        <w:numPr>
          <w:ilvl w:val="0"/>
          <w:numId w:val="48"/>
        </w:numPr>
        <w:spacing w:before="200"/>
        <w:ind w:left="720" w:hanging="192"/>
        <w:jc w:val="left"/>
        <w:rPr>
          <w:rFonts w:eastAsia="Arial" w:cs="Arial"/>
          <w:sz w:val="20"/>
          <w:szCs w:val="20"/>
        </w:rPr>
      </w:pPr>
      <w:r>
        <w:rPr>
          <w:rFonts w:eastAsia="Arial" w:cs="Arial"/>
          <w:sz w:val="20"/>
          <w:szCs w:val="20"/>
        </w:rPr>
        <w:t>investment advisers to establish AML/CFT programs and prescribes minimum standards for such programs;</w:t>
      </w:r>
    </w:p>
    <w:p>
      <w:pPr>
        <w:numPr>
          <w:ilvl w:val="0"/>
          <w:numId w:val="48"/>
        </w:numPr>
        <w:ind w:left="720" w:hanging="192"/>
        <w:jc w:val="left"/>
        <w:rPr>
          <w:rFonts w:eastAsia="Arial" w:cs="Arial"/>
          <w:sz w:val="20"/>
          <w:szCs w:val="20"/>
        </w:rPr>
      </w:pPr>
      <w:r>
        <w:rPr>
          <w:rFonts w:eastAsia="Arial" w:cs="Arial"/>
          <w:sz w:val="20"/>
          <w:szCs w:val="20"/>
        </w:rPr>
        <w:t>investment advisers to report suspicious activity to FinCEN;</w:t>
      </w:r>
    </w:p>
    <w:p>
      <w:pPr>
        <w:numPr>
          <w:ilvl w:val="0"/>
          <w:numId w:val="48"/>
        </w:numPr>
        <w:ind w:left="720" w:hanging="192"/>
        <w:jc w:val="left"/>
        <w:rPr>
          <w:rFonts w:eastAsia="Arial" w:cs="Arial"/>
          <w:sz w:val="20"/>
          <w:szCs w:val="20"/>
        </w:rPr>
      </w:pPr>
      <w:r>
        <w:rPr>
          <w:rFonts w:eastAsia="Arial" w:cs="Arial"/>
          <w:sz w:val="20"/>
          <w:szCs w:val="20"/>
        </w:rPr>
        <w:t>investment advisers to comply with the Recordkeeping and Travel Rules;</w:t>
      </w:r>
    </w:p>
    <w:p>
      <w:pPr>
        <w:numPr>
          <w:ilvl w:val="0"/>
          <w:numId w:val="48"/>
        </w:numPr>
        <w:ind w:left="720" w:hanging="192"/>
        <w:jc w:val="left"/>
        <w:rPr>
          <w:rFonts w:eastAsia="Arial" w:cs="Arial"/>
          <w:sz w:val="20"/>
          <w:szCs w:val="20"/>
        </w:rPr>
      </w:pPr>
      <w:r>
        <w:rPr>
          <w:rFonts w:eastAsia="Arial" w:cs="Arial"/>
          <w:sz w:val="20"/>
          <w:szCs w:val="20"/>
        </w:rPr>
        <w:t>investment advisers to comply with certain obligations applicable to "financial institutions" subject to the Bank Secrecy Act and the Bank Secrecy Act's implementing regulations, such as special information sharing procedures and special due diligence requirements for correspondent and private banking accounts; and</w:t>
      </w:r>
    </w:p>
    <w:p>
      <w:pPr>
        <w:numPr>
          <w:ilvl w:val="0"/>
          <w:numId w:val="48"/>
        </w:numPr>
        <w:spacing w:after="200"/>
        <w:ind w:left="720" w:hanging="192"/>
        <w:jc w:val="left"/>
        <w:rPr>
          <w:rFonts w:eastAsia="Arial" w:cs="Arial"/>
          <w:sz w:val="20"/>
          <w:szCs w:val="20"/>
        </w:rPr>
      </w:pPr>
      <w:r>
        <w:rPr>
          <w:rFonts w:eastAsia="Arial" w:cs="Arial"/>
          <w:sz w:val="20"/>
          <w:szCs w:val="20"/>
        </w:rPr>
        <w:t>delegates AML examination authority over investment advisers to the SEC.</w:t>
      </w:r>
    </w:p>
    <w:p>
      <w:pPr>
        <w:pStyle w:val="normal0"/>
        <w:spacing w:before="200" w:after="200"/>
        <w:rPr>
          <w:rFonts w:eastAsia="Arial" w:cs="Arial"/>
          <w:sz w:val="20"/>
          <w:szCs w:val="20"/>
        </w:rPr>
      </w:pPr>
      <w:r>
        <w:rPr>
          <w:rFonts w:eastAsia="Arial" w:cs="Arial"/>
          <w:sz w:val="20"/>
          <w:szCs w:val="20"/>
        </w:rPr>
        <w:t>On July 21, 2025, FinCEN postponed the compliance date of its AML rule until January 1, 2028, which previously was January 1, 2026. FinCEN will use this extended period to revisit the scope and substance of the rule through a future rulemaking process. It stated that it plans to reexamine the proposed AML rule in an effort to tailor the rule to the diverse business models and risk profiles within the investment adviser industry. FinCEN also plans to reexamine the proposed rule regarding customer identification program (CIP) requirements for investment advisers.</w:t>
      </w:r>
    </w:p>
    <w:p>
      <w:bookmarkEnd w:id="6"/>
      <w:bookmarkStart w:id="8" w:name="Sec_Chp_061016102247218_061016102247281"/>
    </w:p>
    <w:p>
      <w:pPr>
        <w:pStyle w:val="Heading2"/>
      </w:pPr>
      <w:bookmarkStart w:id="9" w:name="_Toc256000005"/>
      <w:r>
        <w:t>2.1 Compliance Reference Chart</w:t>
      </w:r>
      <w:bookmarkEnd w:id="9"/>
    </w:p>
    <w:p/>
    <w:p>
      <w:pPr>
        <w:rPr>
          <w:rFonts w:eastAsia="Arial" w:cs="Arial"/>
          <w:sz w:val="16"/>
          <w:szCs w:val="16"/>
        </w:rPr>
      </w:pPr>
      <w:r>
        <w:rPr>
          <w:rFonts w:eastAsia="Arial" w:cs="Arial"/>
          <w:sz w:val="16"/>
          <w:szCs w:val="16"/>
        </w:rPr>
        <w:t>[</w:t>
      </w:r>
      <w:hyperlink r:id="rId7" w:tgtFrame="_blank" w:history="1">
        <w:r>
          <w:rPr>
            <w:rStyle w:val="Hyperlink"/>
            <w:rFonts w:eastAsia="Arial" w:cs="Arial"/>
            <w:color w:val="0000EE"/>
            <w:sz w:val="16"/>
            <w:szCs w:val="16"/>
            <w:u w:color="0000EE"/>
          </w:rPr>
          <w:t>https://www.fincen.gov/resources/statutes-regulations/usa-patriot-act</w:t>
        </w:r>
      </w:hyperlink>
      <w:r>
        <w:rPr>
          <w:rFonts w:eastAsia="Arial" w:cs="Arial"/>
          <w:sz w:val="16"/>
          <w:szCs w:val="16"/>
        </w:rPr>
        <w:t>; Investment Advisers Act of 1940 Rule 204-3]</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Director of Operations </w:t>
            </w:r>
          </w:p>
          <w:p>
            <w:pPr>
              <w:numPr>
                <w:ilvl w:val="0"/>
                <w:numId w:val="4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Anti-Money Laundering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p>
            <w:pPr>
              <w:numPr>
                <w:ilvl w:val="0"/>
                <w:numId w:val="5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KCD opens a new client account</w:t>
            </w:r>
          </w:p>
          <w:p>
            <w:pPr>
              <w:numPr>
                <w:ilvl w:val="0"/>
                <w:numId w:val="5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Periodic review of accounts to detect suspicious activities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 xml:space="preserve">Statute/Rule </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USA PATRIOT Act</w:t>
            </w:r>
          </w:p>
          <w:p>
            <w:pPr>
              <w:numPr>
                <w:ilvl w:val="0"/>
                <w:numId w:val="5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204-3 under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Various anti-money laundering related records described herein</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New Clients and Anti-Money Laundering Procedures annually.</w:t>
            </w:r>
          </w:p>
        </w:tc>
      </w:tr>
    </w:tbl>
    <w:p>
      <w:bookmarkEnd w:id="8"/>
      <w:bookmarkStart w:id="10" w:name="Sec_Chp_061016102247218_061016102247328"/>
    </w:p>
    <w:p>
      <w:pPr>
        <w:pStyle w:val="Heading2"/>
      </w:pPr>
      <w:bookmarkStart w:id="11" w:name="_Toc256000006"/>
      <w:r>
        <w:t>2.2 Policy</w:t>
      </w:r>
      <w:bookmarkEnd w:id="11"/>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accept only those clients whose source of wealth and funds can be reasonably established to be legitimate, to prevent persons from using KCD and the services it offers to engage in money laundering and other criminal activity, to maintain accurate, current and complete information about each client, and to deliver to new clients a copy of the Firm's Brochure (Part 2A) and Brochure Supplements (Part 2B).</w:t>
      </w:r>
    </w:p>
    <w:p>
      <w:bookmarkEnd w:id="10"/>
      <w:bookmarkStart w:id="12" w:name="Sec_Chp_061016102247218_061016102247343"/>
    </w:p>
    <w:p>
      <w:pPr>
        <w:pStyle w:val="Heading2"/>
      </w:pPr>
      <w:bookmarkStart w:id="13" w:name="_Toc256000007"/>
      <w:r>
        <w:t>2.3 Procedures</w:t>
      </w:r>
      <w:bookmarkEnd w:id="13"/>
    </w:p>
    <w:p/>
    <w:p>
      <w:pPr>
        <w:rPr>
          <w:rFonts w:eastAsia="Arial" w:cs="Arial"/>
          <w:sz w:val="16"/>
          <w:szCs w:val="16"/>
        </w:rPr>
      </w:pPr>
    </w:p>
    <w:p>
      <w:bookmarkEnd w:id="12"/>
      <w:bookmarkStart w:id="14" w:name="Sec_Chp_061016102247218_061016102247359"/>
    </w:p>
    <w:p>
      <w:pPr>
        <w:pStyle w:val="Heading3"/>
      </w:pPr>
      <w:bookmarkStart w:id="15" w:name="_Toc256000008"/>
      <w:r>
        <w:t>2.3.1 Opening Client Accounts</w:t>
      </w:r>
      <w:bookmarkEnd w:id="15"/>
    </w:p>
    <w:p/>
    <w:p>
      <w:pPr>
        <w:rPr>
          <w:rFonts w:eastAsia="Arial" w:cs="Arial"/>
          <w:sz w:val="16"/>
          <w:szCs w:val="16"/>
        </w:rPr>
      </w:pPr>
    </w:p>
    <w:p>
      <w:pPr>
        <w:spacing w:after="200"/>
        <w:rPr>
          <w:rFonts w:eastAsia="Arial" w:cs="Arial"/>
          <w:sz w:val="20"/>
          <w:szCs w:val="20"/>
        </w:rPr>
      </w:pPr>
      <w:r>
        <w:rPr>
          <w:rFonts w:eastAsia="Arial" w:cs="Arial"/>
          <w:sz w:val="20"/>
          <w:szCs w:val="20"/>
        </w:rPr>
        <w:t>KCD uses the information provided on various forms to open accounts for new clients. Accounts are opened once the CCO or other authorized person approves the opening. Periodically after an account is opened, the CCO reviews the accuracy and completeness of each account. If accounts are opened at a third-party broker-dealer, KCD will enter or cause to be entered client information on such third-party broker-dealer's system.</w:t>
      </w:r>
    </w:p>
    <w:p>
      <w:bookmarkEnd w:id="14"/>
      <w:bookmarkStart w:id="16" w:name="Sec_Chp_061016102247218_061016102247375"/>
    </w:p>
    <w:p>
      <w:pPr>
        <w:pStyle w:val="Heading4"/>
      </w:pPr>
      <w:r>
        <w:t>2.3.1.1 Forms/Applications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or an Adviser Representative will instruct each new client to fill out KCD's Account Opening Form and the account application form of the broker-dealer or other financial institution that maintains clients' securities accounts ("Brokerage Account Application"). The Director of Operations shall be responsible for ensuring that each of the items in these documents is completed, including signing and dating each of these forms. Each new client will be required in the Account Opening Form or other account opening document to certify to the best of his or her knowledge, as to the accuracy of the information in such document. Such certification shall be in the form of the following:</w:t>
      </w:r>
    </w:p>
    <w:p>
      <w:pPr>
        <w:pStyle w:val="normal0"/>
        <w:spacing w:before="200" w:after="200"/>
        <w:rPr>
          <w:rFonts w:eastAsia="Arial" w:cs="Arial"/>
          <w:sz w:val="20"/>
          <w:szCs w:val="20"/>
        </w:rPr>
      </w:pPr>
      <w:r>
        <w:rPr>
          <w:rFonts w:eastAsia="Arial" w:cs="Arial"/>
          <w:b/>
          <w:bCs/>
          <w:sz w:val="20"/>
          <w:szCs w:val="20"/>
        </w:rPr>
        <w:t xml:space="preserve">I, _________________________________ </w:t>
      </w:r>
      <w:r>
        <w:rPr>
          <w:rFonts w:eastAsia="Arial" w:cs="Arial"/>
          <w:b/>
          <w:bCs/>
          <w:i/>
          <w:iCs/>
          <w:sz w:val="20"/>
          <w:szCs w:val="20"/>
        </w:rPr>
        <w:t>(name of natural person opening account)</w:t>
      </w:r>
      <w:r>
        <w:rPr>
          <w:rFonts w:eastAsia="Arial" w:cs="Arial"/>
          <w:b/>
          <w:bCs/>
          <w:sz w:val="20"/>
          <w:szCs w:val="20"/>
        </w:rPr>
        <w:t>, hereby certify, to the best of my knowledge, that the information provided above is complete and correct.</w:t>
      </w:r>
    </w:p>
    <w:p>
      <w:pPr>
        <w:pStyle w:val="normal0"/>
        <w:spacing w:before="200" w:after="200"/>
        <w:rPr>
          <w:rFonts w:eastAsia="Arial" w:cs="Arial"/>
          <w:sz w:val="20"/>
          <w:szCs w:val="20"/>
        </w:rPr>
      </w:pPr>
      <w:r>
        <w:rPr>
          <w:rFonts w:eastAsia="Arial" w:cs="Arial"/>
          <w:sz w:val="20"/>
          <w:szCs w:val="20"/>
        </w:rPr>
        <w:t>Signature: _______________________________________________________________</w:t>
      </w:r>
    </w:p>
    <w:p>
      <w:pPr>
        <w:pStyle w:val="normal0"/>
        <w:spacing w:before="200" w:after="200"/>
        <w:rPr>
          <w:rFonts w:eastAsia="Arial" w:cs="Arial"/>
          <w:sz w:val="20"/>
          <w:szCs w:val="20"/>
        </w:rPr>
      </w:pPr>
      <w:r>
        <w:rPr>
          <w:rFonts w:eastAsia="Arial" w:cs="Arial"/>
          <w:sz w:val="20"/>
          <w:szCs w:val="20"/>
        </w:rPr>
        <w:t>Date: _________________________________</w:t>
      </w:r>
    </w:p>
    <w:p>
      <w:bookmarkEnd w:id="16"/>
      <w:bookmarkStart w:id="17" w:name="Sec_Chp_061016102247218_061016102247390"/>
    </w:p>
    <w:p>
      <w:pPr>
        <w:pStyle w:val="Heading4"/>
      </w:pPr>
      <w:r>
        <w:t>2.3.1.2 Client Identity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will take reasonable measures to establish the identity of clients and beneficial owners of securities in client accounts. Identification documents must be current at the time of the account opening. KCD will take additional client identity steps as required by the Detecting and Preventing Money Laundering Procedures in this Manual.</w:t>
      </w:r>
    </w:p>
    <w:p>
      <w:pPr>
        <w:pStyle w:val="normal0"/>
        <w:spacing w:before="200" w:after="200"/>
        <w:rPr>
          <w:rFonts w:eastAsia="Arial" w:cs="Arial"/>
          <w:sz w:val="20"/>
          <w:szCs w:val="20"/>
        </w:rPr>
      </w:pPr>
      <w:r>
        <w:rPr>
          <w:rFonts w:eastAsia="Arial" w:cs="Arial"/>
          <w:sz w:val="20"/>
          <w:szCs w:val="20"/>
        </w:rPr>
        <w:t>KCD shall require each new legal entity client (Entity Clients) to provide information about its beneficial owners.</w:t>
      </w:r>
    </w:p>
    <w:p>
      <w:pPr>
        <w:pStyle w:val="normal0"/>
        <w:spacing w:before="200" w:after="200"/>
        <w:rPr>
          <w:rFonts w:eastAsia="Arial" w:cs="Arial"/>
          <w:sz w:val="20"/>
          <w:szCs w:val="20"/>
        </w:rPr>
      </w:pPr>
      <w:r>
        <w:rPr>
          <w:rFonts w:eastAsia="Arial" w:cs="Arial"/>
          <w:sz w:val="20"/>
          <w:szCs w:val="20"/>
        </w:rPr>
        <w:t>An Entity Client includes:</w:t>
      </w:r>
    </w:p>
    <w:p>
      <w:pPr>
        <w:numPr>
          <w:ilvl w:val="0"/>
          <w:numId w:val="55"/>
        </w:numPr>
        <w:spacing w:before="200"/>
        <w:ind w:left="720" w:hanging="192"/>
        <w:jc w:val="left"/>
        <w:rPr>
          <w:rFonts w:eastAsia="Arial" w:cs="Arial"/>
          <w:sz w:val="20"/>
          <w:szCs w:val="20"/>
        </w:rPr>
      </w:pPr>
      <w:r>
        <w:rPr>
          <w:rFonts w:eastAsia="Arial" w:cs="Arial"/>
          <w:sz w:val="20"/>
          <w:szCs w:val="20"/>
        </w:rPr>
        <w:t>a corporation;</w:t>
      </w:r>
    </w:p>
    <w:p>
      <w:pPr>
        <w:numPr>
          <w:ilvl w:val="0"/>
          <w:numId w:val="55"/>
        </w:numPr>
        <w:ind w:left="720" w:hanging="192"/>
        <w:jc w:val="left"/>
        <w:rPr>
          <w:rFonts w:eastAsia="Arial" w:cs="Arial"/>
          <w:sz w:val="20"/>
          <w:szCs w:val="20"/>
        </w:rPr>
      </w:pPr>
      <w:r>
        <w:rPr>
          <w:rFonts w:eastAsia="Arial" w:cs="Arial"/>
          <w:sz w:val="20"/>
          <w:szCs w:val="20"/>
        </w:rPr>
        <w:t>limited liability company; or</w:t>
      </w:r>
    </w:p>
    <w:p>
      <w:pPr>
        <w:numPr>
          <w:ilvl w:val="0"/>
          <w:numId w:val="55"/>
        </w:numPr>
        <w:spacing w:after="200"/>
        <w:ind w:left="720" w:hanging="192"/>
        <w:jc w:val="left"/>
        <w:rPr>
          <w:rFonts w:eastAsia="Arial" w:cs="Arial"/>
          <w:sz w:val="20"/>
          <w:szCs w:val="20"/>
        </w:rPr>
      </w:pPr>
      <w:r>
        <w:rPr>
          <w:rFonts w:eastAsia="Arial" w:cs="Arial"/>
          <w:sz w:val="20"/>
          <w:szCs w:val="20"/>
        </w:rPr>
        <w:t>other entity that is created by a filing of a public document with a Secretary of State or similar office, a general partnership, and any similar business entity formed in the United States or a foreign country.</w:t>
      </w:r>
    </w:p>
    <w:p>
      <w:pPr>
        <w:pStyle w:val="normal0"/>
        <w:spacing w:before="200" w:after="200"/>
        <w:rPr>
          <w:rFonts w:eastAsia="Arial" w:cs="Arial"/>
          <w:sz w:val="20"/>
          <w:szCs w:val="20"/>
        </w:rPr>
      </w:pPr>
      <w:r>
        <w:rPr>
          <w:rFonts w:eastAsia="Arial" w:cs="Arial"/>
          <w:sz w:val="20"/>
          <w:szCs w:val="20"/>
        </w:rPr>
        <w:t>An Entity Client does not include:</w:t>
      </w:r>
    </w:p>
    <w:p>
      <w:pPr>
        <w:numPr>
          <w:ilvl w:val="0"/>
          <w:numId w:val="56"/>
        </w:numPr>
        <w:spacing w:before="200"/>
        <w:ind w:left="720" w:hanging="192"/>
        <w:jc w:val="left"/>
        <w:rPr>
          <w:rFonts w:eastAsia="Arial" w:cs="Arial"/>
          <w:sz w:val="20"/>
          <w:szCs w:val="20"/>
        </w:rPr>
      </w:pPr>
      <w:r>
        <w:rPr>
          <w:rFonts w:eastAsia="Arial" w:cs="Arial"/>
          <w:sz w:val="20"/>
          <w:szCs w:val="20"/>
        </w:rPr>
        <w:t>sole proprietorships;</w:t>
      </w:r>
    </w:p>
    <w:p>
      <w:pPr>
        <w:numPr>
          <w:ilvl w:val="0"/>
          <w:numId w:val="56"/>
        </w:numPr>
        <w:ind w:left="720" w:hanging="192"/>
        <w:jc w:val="left"/>
        <w:rPr>
          <w:rFonts w:eastAsia="Arial" w:cs="Arial"/>
          <w:sz w:val="20"/>
          <w:szCs w:val="20"/>
        </w:rPr>
      </w:pPr>
      <w:r>
        <w:rPr>
          <w:rFonts w:eastAsia="Arial" w:cs="Arial"/>
          <w:sz w:val="20"/>
          <w:szCs w:val="20"/>
        </w:rPr>
        <w:t>unincorporated associations, or</w:t>
      </w:r>
    </w:p>
    <w:p>
      <w:pPr>
        <w:numPr>
          <w:ilvl w:val="0"/>
          <w:numId w:val="56"/>
        </w:numPr>
        <w:spacing w:after="200"/>
        <w:ind w:left="720" w:hanging="192"/>
        <w:jc w:val="left"/>
        <w:rPr>
          <w:rFonts w:eastAsia="Arial" w:cs="Arial"/>
          <w:sz w:val="20"/>
          <w:szCs w:val="20"/>
        </w:rPr>
      </w:pPr>
      <w:r>
        <w:rPr>
          <w:rFonts w:eastAsia="Arial" w:cs="Arial"/>
          <w:sz w:val="20"/>
          <w:szCs w:val="20"/>
        </w:rPr>
        <w:t>a natural person opening accounts on his or her own behalf.</w:t>
      </w:r>
    </w:p>
    <w:p>
      <w:pPr>
        <w:pStyle w:val="normal0"/>
        <w:spacing w:before="200" w:after="200"/>
        <w:rPr>
          <w:rFonts w:eastAsia="Arial" w:cs="Arial"/>
          <w:sz w:val="20"/>
          <w:szCs w:val="20"/>
        </w:rPr>
      </w:pPr>
      <w:r>
        <w:rPr>
          <w:rFonts w:eastAsia="Arial" w:cs="Arial"/>
          <w:sz w:val="20"/>
          <w:szCs w:val="20"/>
        </w:rPr>
        <w:t>The following persons associated with an Entity Client shall provide KCD with the same information that a natural person who is a direct client of KCD provides:</w:t>
      </w:r>
    </w:p>
    <w:p>
      <w:pPr>
        <w:numPr>
          <w:ilvl w:val="0"/>
          <w:numId w:val="57"/>
        </w:numPr>
        <w:spacing w:before="200"/>
        <w:ind w:left="720" w:hanging="192"/>
        <w:jc w:val="left"/>
        <w:rPr>
          <w:rFonts w:eastAsia="Arial" w:cs="Arial"/>
          <w:sz w:val="20"/>
          <w:szCs w:val="20"/>
        </w:rPr>
      </w:pPr>
      <w:r>
        <w:rPr>
          <w:rFonts w:eastAsia="Arial" w:cs="Arial"/>
          <w:sz w:val="20"/>
          <w:szCs w:val="20"/>
        </w:rPr>
        <w:t>each individual, if any, who owns, directly or indirectly, 25% or more of the equity interests of the Entity Client (</w:t>
      </w:r>
      <w:r>
        <w:rPr>
          <w:rFonts w:eastAsia="Arial" w:cs="Arial"/>
          <w:i/>
          <w:iCs/>
          <w:sz w:val="20"/>
          <w:szCs w:val="20"/>
        </w:rPr>
        <w:t>e.g.,</w:t>
      </w:r>
      <w:r>
        <w:rPr>
          <w:rFonts w:eastAsia="Arial" w:cs="Arial"/>
          <w:sz w:val="20"/>
          <w:szCs w:val="20"/>
        </w:rPr>
        <w:t xml:space="preserve"> each natural person that owns 25% percent or more of the shares of a corporation); and</w:t>
      </w:r>
    </w:p>
    <w:p>
      <w:pPr>
        <w:numPr>
          <w:ilvl w:val="0"/>
          <w:numId w:val="57"/>
        </w:numPr>
        <w:spacing w:after="200"/>
        <w:ind w:left="720" w:hanging="192"/>
        <w:jc w:val="left"/>
        <w:rPr>
          <w:rFonts w:eastAsia="Arial" w:cs="Arial"/>
          <w:sz w:val="20"/>
          <w:szCs w:val="20"/>
        </w:rPr>
      </w:pPr>
      <w:r>
        <w:rPr>
          <w:rFonts w:eastAsia="Arial" w:cs="Arial"/>
          <w:sz w:val="20"/>
          <w:szCs w:val="20"/>
        </w:rPr>
        <w:t>an individual with significant responsibility for managing the Entity Client (</w:t>
      </w:r>
      <w:r>
        <w:rPr>
          <w:rFonts w:eastAsia="Arial" w:cs="Arial"/>
          <w:i/>
          <w:iCs/>
          <w:sz w:val="20"/>
          <w:szCs w:val="20"/>
        </w:rPr>
        <w:t>e.g.,</w:t>
      </w:r>
      <w:r>
        <w:rPr>
          <w:rFonts w:eastAsia="Arial" w:cs="Arial"/>
          <w:sz w:val="20"/>
          <w:szCs w:val="20"/>
        </w:rPr>
        <w:t xml:space="preserve"> a Chief Executive Officer, Chief Financial Officer, Chief Operating Officer, Managing Member, General Partner, President, Vice President, or Treasurer).</w:t>
      </w:r>
    </w:p>
    <w:p>
      <w:bookmarkEnd w:id="17"/>
      <w:bookmarkStart w:id="18" w:name="Sec_Chp_061016102247218_061016102247406"/>
    </w:p>
    <w:p>
      <w:pPr>
        <w:pStyle w:val="Heading5"/>
      </w:pPr>
      <w:r>
        <w:t>2.3.1.2.1 All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permit KCD to accept a new client only if KCD has obtained the information identifying and providing other useful information about the client including some or all of the following:</w:t>
      </w:r>
    </w:p>
    <w:p>
      <w:pPr>
        <w:numPr>
          <w:ilvl w:val="0"/>
          <w:numId w:val="58"/>
        </w:numPr>
        <w:spacing w:before="200"/>
        <w:ind w:left="720" w:hanging="192"/>
        <w:jc w:val="left"/>
        <w:rPr>
          <w:rFonts w:eastAsia="Arial" w:cs="Arial"/>
          <w:sz w:val="20"/>
          <w:szCs w:val="20"/>
        </w:rPr>
      </w:pPr>
      <w:r>
        <w:rPr>
          <w:rFonts w:eastAsia="Arial" w:cs="Arial"/>
          <w:sz w:val="20"/>
          <w:szCs w:val="20"/>
        </w:rPr>
        <w:t>name;</w:t>
      </w:r>
    </w:p>
    <w:p>
      <w:pPr>
        <w:numPr>
          <w:ilvl w:val="0"/>
          <w:numId w:val="58"/>
        </w:numPr>
        <w:ind w:left="720" w:hanging="192"/>
        <w:jc w:val="left"/>
        <w:rPr>
          <w:rFonts w:eastAsia="Arial" w:cs="Arial"/>
          <w:sz w:val="20"/>
          <w:szCs w:val="20"/>
        </w:rPr>
      </w:pPr>
      <w:r>
        <w:rPr>
          <w:rFonts w:eastAsia="Arial" w:cs="Arial"/>
          <w:sz w:val="20"/>
          <w:szCs w:val="20"/>
        </w:rPr>
        <w:t>residential or business address;</w:t>
      </w:r>
    </w:p>
    <w:p>
      <w:pPr>
        <w:numPr>
          <w:ilvl w:val="0"/>
          <w:numId w:val="58"/>
        </w:numPr>
        <w:ind w:left="720" w:hanging="192"/>
        <w:jc w:val="left"/>
        <w:rPr>
          <w:rFonts w:eastAsia="Arial" w:cs="Arial"/>
          <w:sz w:val="20"/>
          <w:szCs w:val="20"/>
        </w:rPr>
      </w:pPr>
      <w:r>
        <w:rPr>
          <w:rFonts w:eastAsia="Arial" w:cs="Arial"/>
          <w:sz w:val="20"/>
          <w:szCs w:val="20"/>
        </w:rPr>
        <w:t>telephone number;</w:t>
      </w:r>
    </w:p>
    <w:p>
      <w:pPr>
        <w:numPr>
          <w:ilvl w:val="0"/>
          <w:numId w:val="58"/>
        </w:numPr>
        <w:ind w:left="720" w:hanging="192"/>
        <w:jc w:val="left"/>
        <w:rPr>
          <w:rFonts w:eastAsia="Arial" w:cs="Arial"/>
          <w:sz w:val="20"/>
          <w:szCs w:val="20"/>
        </w:rPr>
      </w:pPr>
      <w:r>
        <w:rPr>
          <w:rFonts w:eastAsia="Arial" w:cs="Arial"/>
          <w:sz w:val="20"/>
          <w:szCs w:val="20"/>
        </w:rPr>
        <w:t>e-mail address;</w:t>
      </w:r>
    </w:p>
    <w:p>
      <w:pPr>
        <w:numPr>
          <w:ilvl w:val="0"/>
          <w:numId w:val="58"/>
        </w:numPr>
        <w:ind w:left="720" w:hanging="192"/>
        <w:jc w:val="left"/>
        <w:rPr>
          <w:rFonts w:eastAsia="Arial" w:cs="Arial"/>
          <w:sz w:val="20"/>
          <w:szCs w:val="20"/>
        </w:rPr>
      </w:pPr>
      <w:r>
        <w:rPr>
          <w:rFonts w:eastAsia="Arial" w:cs="Arial"/>
          <w:sz w:val="20"/>
          <w:szCs w:val="20"/>
        </w:rPr>
        <w:t>purpose for opening the account;</w:t>
      </w:r>
    </w:p>
    <w:p>
      <w:pPr>
        <w:numPr>
          <w:ilvl w:val="0"/>
          <w:numId w:val="58"/>
        </w:numPr>
        <w:ind w:left="720" w:hanging="192"/>
        <w:jc w:val="left"/>
        <w:rPr>
          <w:rFonts w:eastAsia="Arial" w:cs="Arial"/>
          <w:sz w:val="20"/>
          <w:szCs w:val="20"/>
        </w:rPr>
      </w:pPr>
      <w:r>
        <w:rPr>
          <w:rFonts w:eastAsia="Arial" w:cs="Arial"/>
          <w:sz w:val="20"/>
          <w:szCs w:val="20"/>
        </w:rPr>
        <w:t>anticipated account activity;</w:t>
      </w:r>
    </w:p>
    <w:p>
      <w:pPr>
        <w:numPr>
          <w:ilvl w:val="0"/>
          <w:numId w:val="58"/>
        </w:numPr>
        <w:ind w:left="720" w:hanging="192"/>
        <w:jc w:val="left"/>
        <w:rPr>
          <w:rFonts w:eastAsia="Arial" w:cs="Arial"/>
          <w:sz w:val="20"/>
          <w:szCs w:val="20"/>
        </w:rPr>
      </w:pPr>
      <w:r>
        <w:rPr>
          <w:rFonts w:eastAsia="Arial" w:cs="Arial"/>
          <w:sz w:val="20"/>
          <w:szCs w:val="20"/>
        </w:rPr>
        <w:t>annual income;</w:t>
      </w:r>
    </w:p>
    <w:p>
      <w:pPr>
        <w:numPr>
          <w:ilvl w:val="0"/>
          <w:numId w:val="58"/>
        </w:numPr>
        <w:ind w:left="720" w:hanging="192"/>
        <w:jc w:val="left"/>
        <w:rPr>
          <w:rFonts w:eastAsia="Arial" w:cs="Arial"/>
          <w:sz w:val="20"/>
          <w:szCs w:val="20"/>
        </w:rPr>
      </w:pPr>
      <w:r>
        <w:rPr>
          <w:rFonts w:eastAsia="Arial" w:cs="Arial"/>
          <w:sz w:val="20"/>
          <w:szCs w:val="20"/>
        </w:rPr>
        <w:t>source of wealth (i.e., activity that has generated net worth);</w:t>
      </w:r>
    </w:p>
    <w:p>
      <w:pPr>
        <w:numPr>
          <w:ilvl w:val="0"/>
          <w:numId w:val="58"/>
        </w:numPr>
        <w:ind w:left="720" w:hanging="192"/>
        <w:jc w:val="left"/>
        <w:rPr>
          <w:rFonts w:eastAsia="Arial" w:cs="Arial"/>
          <w:sz w:val="20"/>
          <w:szCs w:val="20"/>
        </w:rPr>
      </w:pPr>
      <w:r>
        <w:rPr>
          <w:rFonts w:eastAsia="Arial" w:cs="Arial"/>
          <w:sz w:val="20"/>
          <w:szCs w:val="20"/>
        </w:rPr>
        <w:t>estimated net worth;</w:t>
      </w:r>
    </w:p>
    <w:p>
      <w:pPr>
        <w:numPr>
          <w:ilvl w:val="0"/>
          <w:numId w:val="58"/>
        </w:numPr>
        <w:ind w:left="720" w:hanging="192"/>
        <w:jc w:val="left"/>
        <w:rPr>
          <w:rFonts w:eastAsia="Arial" w:cs="Arial"/>
          <w:sz w:val="20"/>
          <w:szCs w:val="20"/>
        </w:rPr>
      </w:pPr>
      <w:r>
        <w:rPr>
          <w:rFonts w:eastAsia="Arial" w:cs="Arial"/>
          <w:sz w:val="20"/>
          <w:szCs w:val="20"/>
        </w:rPr>
        <w:t>investment experience;</w:t>
      </w:r>
    </w:p>
    <w:p>
      <w:pPr>
        <w:numPr>
          <w:ilvl w:val="0"/>
          <w:numId w:val="58"/>
        </w:numPr>
        <w:ind w:left="720" w:hanging="192"/>
        <w:jc w:val="left"/>
        <w:rPr>
          <w:rFonts w:eastAsia="Arial" w:cs="Arial"/>
          <w:sz w:val="20"/>
          <w:szCs w:val="20"/>
        </w:rPr>
      </w:pPr>
      <w:r>
        <w:rPr>
          <w:rFonts w:eastAsia="Arial" w:cs="Arial"/>
          <w:sz w:val="20"/>
          <w:szCs w:val="20"/>
        </w:rPr>
        <w:t>marital status;</w:t>
      </w:r>
    </w:p>
    <w:p>
      <w:pPr>
        <w:numPr>
          <w:ilvl w:val="0"/>
          <w:numId w:val="58"/>
        </w:numPr>
        <w:ind w:left="720" w:hanging="192"/>
        <w:jc w:val="left"/>
        <w:rPr>
          <w:rFonts w:eastAsia="Arial" w:cs="Arial"/>
          <w:sz w:val="20"/>
          <w:szCs w:val="20"/>
        </w:rPr>
      </w:pPr>
      <w:r>
        <w:rPr>
          <w:rFonts w:eastAsia="Arial" w:cs="Arial"/>
          <w:sz w:val="20"/>
          <w:szCs w:val="20"/>
        </w:rPr>
        <w:t>dependents;</w:t>
      </w:r>
    </w:p>
    <w:p>
      <w:pPr>
        <w:numPr>
          <w:ilvl w:val="0"/>
          <w:numId w:val="58"/>
        </w:numPr>
        <w:ind w:left="720" w:hanging="192"/>
        <w:jc w:val="left"/>
        <w:rPr>
          <w:rFonts w:eastAsia="Arial" w:cs="Arial"/>
          <w:sz w:val="20"/>
          <w:szCs w:val="20"/>
        </w:rPr>
      </w:pPr>
      <w:r>
        <w:rPr>
          <w:rFonts w:eastAsia="Arial" w:cs="Arial"/>
          <w:sz w:val="20"/>
          <w:szCs w:val="20"/>
        </w:rPr>
        <w:t>occupation;</w:t>
      </w:r>
    </w:p>
    <w:p>
      <w:pPr>
        <w:numPr>
          <w:ilvl w:val="0"/>
          <w:numId w:val="58"/>
        </w:numPr>
        <w:ind w:left="720" w:hanging="192"/>
        <w:jc w:val="left"/>
        <w:rPr>
          <w:rFonts w:eastAsia="Arial" w:cs="Arial"/>
          <w:sz w:val="20"/>
          <w:szCs w:val="20"/>
        </w:rPr>
      </w:pPr>
      <w:r>
        <w:rPr>
          <w:rFonts w:eastAsia="Arial" w:cs="Arial"/>
          <w:sz w:val="20"/>
          <w:szCs w:val="20"/>
        </w:rPr>
        <w:t>risk tolerance;</w:t>
      </w:r>
    </w:p>
    <w:p>
      <w:pPr>
        <w:numPr>
          <w:ilvl w:val="0"/>
          <w:numId w:val="58"/>
        </w:numPr>
        <w:ind w:left="720" w:hanging="192"/>
        <w:jc w:val="left"/>
        <w:rPr>
          <w:rFonts w:eastAsia="Arial" w:cs="Arial"/>
          <w:sz w:val="20"/>
          <w:szCs w:val="20"/>
        </w:rPr>
      </w:pPr>
      <w:r>
        <w:rPr>
          <w:rFonts w:eastAsia="Arial" w:cs="Arial"/>
          <w:sz w:val="20"/>
          <w:szCs w:val="20"/>
        </w:rPr>
        <w:t xml:space="preserve">investment time horizon; </w:t>
      </w:r>
    </w:p>
    <w:p>
      <w:pPr>
        <w:numPr>
          <w:ilvl w:val="0"/>
          <w:numId w:val="58"/>
        </w:numPr>
        <w:ind w:left="720" w:hanging="192"/>
        <w:jc w:val="left"/>
        <w:rPr>
          <w:rFonts w:eastAsia="Arial" w:cs="Arial"/>
          <w:sz w:val="20"/>
          <w:szCs w:val="20"/>
        </w:rPr>
      </w:pPr>
      <w:r>
        <w:rPr>
          <w:rFonts w:eastAsia="Arial" w:cs="Arial"/>
          <w:sz w:val="20"/>
          <w:szCs w:val="20"/>
        </w:rPr>
        <w:t xml:space="preserve">liquidity needs; </w:t>
      </w:r>
    </w:p>
    <w:p>
      <w:pPr>
        <w:numPr>
          <w:ilvl w:val="0"/>
          <w:numId w:val="58"/>
        </w:numPr>
        <w:ind w:left="720" w:hanging="192"/>
        <w:jc w:val="left"/>
        <w:rPr>
          <w:rFonts w:eastAsia="Arial" w:cs="Arial"/>
          <w:sz w:val="20"/>
          <w:szCs w:val="20"/>
        </w:rPr>
      </w:pPr>
      <w:r>
        <w:rPr>
          <w:rFonts w:eastAsia="Arial" w:cs="Arial"/>
          <w:sz w:val="20"/>
          <w:szCs w:val="20"/>
        </w:rPr>
        <w:t>existing holdings;</w:t>
      </w:r>
    </w:p>
    <w:p>
      <w:pPr>
        <w:numPr>
          <w:ilvl w:val="0"/>
          <w:numId w:val="58"/>
        </w:numPr>
        <w:ind w:left="720" w:hanging="192"/>
        <w:jc w:val="left"/>
        <w:rPr>
          <w:rFonts w:eastAsia="Arial" w:cs="Arial"/>
          <w:sz w:val="20"/>
          <w:szCs w:val="20"/>
        </w:rPr>
      </w:pPr>
      <w:r>
        <w:rPr>
          <w:rFonts w:eastAsia="Arial" w:cs="Arial"/>
          <w:sz w:val="20"/>
          <w:szCs w:val="20"/>
        </w:rPr>
        <w:t>type of account (</w:t>
      </w:r>
      <w:r>
        <w:rPr>
          <w:rFonts w:eastAsia="Arial" w:cs="Arial"/>
          <w:i/>
          <w:iCs/>
          <w:sz w:val="20"/>
          <w:szCs w:val="20"/>
        </w:rPr>
        <w:t>e.g.,</w:t>
      </w:r>
      <w:r>
        <w:rPr>
          <w:rFonts w:eastAsia="Arial" w:cs="Arial"/>
          <w:sz w:val="20"/>
          <w:szCs w:val="20"/>
        </w:rPr>
        <w:t xml:space="preserve"> individual, family, retirement plan, </w:t>
      </w:r>
      <w:r>
        <w:rPr>
          <w:rFonts w:eastAsia="Arial" w:cs="Arial"/>
          <w:i/>
          <w:iCs/>
          <w:sz w:val="20"/>
          <w:szCs w:val="20"/>
        </w:rPr>
        <w:t>etc.</w:t>
      </w:r>
      <w:r>
        <w:rPr>
          <w:rFonts w:eastAsia="Arial" w:cs="Arial"/>
          <w:sz w:val="20"/>
          <w:szCs w:val="20"/>
        </w:rPr>
        <w:t>);</w:t>
      </w:r>
    </w:p>
    <w:p>
      <w:pPr>
        <w:numPr>
          <w:ilvl w:val="0"/>
          <w:numId w:val="58"/>
        </w:numPr>
        <w:ind w:left="720" w:hanging="192"/>
        <w:jc w:val="left"/>
        <w:rPr>
          <w:rFonts w:eastAsia="Arial" w:cs="Arial"/>
          <w:sz w:val="20"/>
          <w:szCs w:val="20"/>
        </w:rPr>
      </w:pPr>
      <w:r>
        <w:rPr>
          <w:rFonts w:eastAsia="Arial" w:cs="Arial"/>
          <w:sz w:val="20"/>
          <w:szCs w:val="20"/>
        </w:rPr>
        <w:t>type of client (registered investment company, business development company, pooled investment vehicle or separately managed account);</w:t>
      </w:r>
    </w:p>
    <w:p>
      <w:pPr>
        <w:numPr>
          <w:ilvl w:val="0"/>
          <w:numId w:val="58"/>
        </w:numPr>
        <w:ind w:left="720" w:hanging="192"/>
        <w:jc w:val="left"/>
        <w:rPr>
          <w:rFonts w:eastAsia="Arial" w:cs="Arial"/>
          <w:sz w:val="20"/>
          <w:szCs w:val="20"/>
        </w:rPr>
      </w:pPr>
      <w:r>
        <w:rPr>
          <w:rFonts w:eastAsia="Arial" w:cs="Arial"/>
          <w:sz w:val="20"/>
          <w:szCs w:val="20"/>
        </w:rPr>
        <w:t>discretionary or non-discretionary account;</w:t>
      </w:r>
    </w:p>
    <w:p>
      <w:pPr>
        <w:numPr>
          <w:ilvl w:val="0"/>
          <w:numId w:val="58"/>
        </w:numPr>
        <w:ind w:left="720" w:hanging="192"/>
        <w:jc w:val="left"/>
        <w:rPr>
          <w:rFonts w:eastAsia="Arial" w:cs="Arial"/>
          <w:sz w:val="20"/>
          <w:szCs w:val="20"/>
        </w:rPr>
      </w:pPr>
      <w:r>
        <w:rPr>
          <w:rFonts w:eastAsia="Arial" w:cs="Arial"/>
          <w:sz w:val="20"/>
          <w:szCs w:val="20"/>
        </w:rPr>
        <w:t>performance composite in which the account will be included;</w:t>
      </w:r>
    </w:p>
    <w:p>
      <w:pPr>
        <w:numPr>
          <w:ilvl w:val="0"/>
          <w:numId w:val="58"/>
        </w:numPr>
        <w:ind w:left="720" w:hanging="192"/>
        <w:jc w:val="left"/>
        <w:rPr>
          <w:rFonts w:eastAsia="Arial" w:cs="Arial"/>
          <w:sz w:val="20"/>
          <w:szCs w:val="20"/>
        </w:rPr>
      </w:pPr>
      <w:r>
        <w:rPr>
          <w:rFonts w:eastAsia="Arial" w:cs="Arial"/>
          <w:sz w:val="20"/>
          <w:szCs w:val="20"/>
        </w:rPr>
        <w:t>whether KCD or an officer, related person of KCD or affiliate will act as trustee or will have full power of attorney for the client's account;</w:t>
      </w:r>
    </w:p>
    <w:p>
      <w:pPr>
        <w:numPr>
          <w:ilvl w:val="0"/>
          <w:numId w:val="58"/>
        </w:numPr>
        <w:ind w:left="720" w:hanging="192"/>
        <w:jc w:val="left"/>
        <w:rPr>
          <w:rFonts w:eastAsia="Arial" w:cs="Arial"/>
          <w:sz w:val="20"/>
          <w:szCs w:val="20"/>
        </w:rPr>
      </w:pPr>
      <w:r>
        <w:rPr>
          <w:rFonts w:eastAsia="Arial" w:cs="Arial"/>
          <w:sz w:val="20"/>
          <w:szCs w:val="20"/>
        </w:rPr>
        <w:t>the account's custodian and location of the custodian;</w:t>
      </w:r>
    </w:p>
    <w:p>
      <w:pPr>
        <w:numPr>
          <w:ilvl w:val="0"/>
          <w:numId w:val="58"/>
        </w:numPr>
        <w:ind w:left="720" w:hanging="192"/>
        <w:jc w:val="left"/>
        <w:rPr>
          <w:rFonts w:eastAsia="Arial" w:cs="Arial"/>
          <w:sz w:val="20"/>
          <w:szCs w:val="20"/>
        </w:rPr>
      </w:pPr>
      <w:r>
        <w:rPr>
          <w:rFonts w:eastAsia="Arial" w:cs="Arial"/>
          <w:sz w:val="20"/>
          <w:szCs w:val="20"/>
        </w:rPr>
        <w:t>investment objective and strategy (</w:t>
      </w:r>
      <w:r>
        <w:rPr>
          <w:rFonts w:eastAsia="Arial" w:cs="Arial"/>
          <w:i/>
          <w:iCs/>
          <w:sz w:val="20"/>
          <w:szCs w:val="20"/>
        </w:rPr>
        <w:t>e.g.,</w:t>
      </w:r>
      <w:r>
        <w:rPr>
          <w:rFonts w:eastAsia="Arial" w:cs="Arial"/>
          <w:sz w:val="20"/>
          <w:szCs w:val="20"/>
        </w:rPr>
        <w:t xml:space="preserve"> global equity, high-yield, or aggressive growth);</w:t>
      </w:r>
    </w:p>
    <w:p>
      <w:pPr>
        <w:numPr>
          <w:ilvl w:val="0"/>
          <w:numId w:val="58"/>
        </w:numPr>
        <w:ind w:left="720" w:hanging="192"/>
        <w:jc w:val="left"/>
        <w:rPr>
          <w:rFonts w:eastAsia="Arial" w:cs="Arial"/>
          <w:sz w:val="20"/>
          <w:szCs w:val="20"/>
        </w:rPr>
      </w:pPr>
      <w:r>
        <w:rPr>
          <w:rFonts w:eastAsia="Arial" w:cs="Arial"/>
          <w:sz w:val="20"/>
          <w:szCs w:val="20"/>
        </w:rPr>
        <w:t>investment restrictions (if any);</w:t>
      </w:r>
    </w:p>
    <w:p>
      <w:pPr>
        <w:numPr>
          <w:ilvl w:val="0"/>
          <w:numId w:val="58"/>
        </w:numPr>
        <w:ind w:left="720" w:hanging="192"/>
        <w:jc w:val="left"/>
        <w:rPr>
          <w:rFonts w:eastAsia="Arial" w:cs="Arial"/>
          <w:sz w:val="20"/>
          <w:szCs w:val="20"/>
        </w:rPr>
      </w:pPr>
      <w:r>
        <w:rPr>
          <w:rFonts w:eastAsia="Arial" w:cs="Arial"/>
          <w:sz w:val="20"/>
          <w:szCs w:val="20"/>
        </w:rPr>
        <w:t>whether the account will be managed by sub-adviser(s) and, if so, the name of the sub-advisers;</w:t>
      </w:r>
    </w:p>
    <w:p>
      <w:pPr>
        <w:numPr>
          <w:ilvl w:val="0"/>
          <w:numId w:val="58"/>
        </w:numPr>
        <w:ind w:left="720" w:hanging="192"/>
        <w:jc w:val="left"/>
        <w:rPr>
          <w:rFonts w:eastAsia="Arial" w:cs="Arial"/>
          <w:sz w:val="20"/>
          <w:szCs w:val="20"/>
        </w:rPr>
      </w:pPr>
      <w:r>
        <w:rPr>
          <w:rFonts w:eastAsia="Arial" w:cs="Arial"/>
          <w:sz w:val="20"/>
          <w:szCs w:val="20"/>
        </w:rPr>
        <w:t>source of funds (including whether or not funds were from a broker-dealer account) and means of transfer of funds to open the account;</w:t>
      </w:r>
    </w:p>
    <w:p>
      <w:pPr>
        <w:numPr>
          <w:ilvl w:val="0"/>
          <w:numId w:val="58"/>
        </w:numPr>
        <w:ind w:left="720" w:hanging="192"/>
        <w:jc w:val="left"/>
        <w:rPr>
          <w:rFonts w:eastAsia="Arial" w:cs="Arial"/>
          <w:sz w:val="20"/>
          <w:szCs w:val="20"/>
        </w:rPr>
      </w:pPr>
      <w:r>
        <w:rPr>
          <w:rFonts w:eastAsia="Arial" w:cs="Arial"/>
          <w:sz w:val="20"/>
          <w:szCs w:val="20"/>
        </w:rPr>
        <w:t>whether the client is a related person, affiliated person or a proprietary account;</w:t>
      </w:r>
    </w:p>
    <w:p>
      <w:pPr>
        <w:numPr>
          <w:ilvl w:val="0"/>
          <w:numId w:val="58"/>
        </w:numPr>
        <w:ind w:left="720" w:hanging="192"/>
        <w:jc w:val="left"/>
        <w:rPr>
          <w:rFonts w:eastAsia="Arial" w:cs="Arial"/>
          <w:sz w:val="20"/>
          <w:szCs w:val="20"/>
        </w:rPr>
      </w:pPr>
      <w:r>
        <w:rPr>
          <w:rFonts w:eastAsia="Arial" w:cs="Arial"/>
          <w:sz w:val="20"/>
          <w:szCs w:val="20"/>
        </w:rPr>
        <w:t>whether or not the advisory fees will be paid directly by the client or will be deducted from the client's custody account;</w:t>
      </w:r>
    </w:p>
    <w:p>
      <w:pPr>
        <w:numPr>
          <w:ilvl w:val="0"/>
          <w:numId w:val="58"/>
        </w:numPr>
        <w:ind w:left="720" w:hanging="192"/>
        <w:jc w:val="left"/>
        <w:rPr>
          <w:rFonts w:eastAsia="Arial" w:cs="Arial"/>
          <w:sz w:val="20"/>
          <w:szCs w:val="20"/>
        </w:rPr>
      </w:pPr>
      <w:r>
        <w:rPr>
          <w:rFonts w:eastAsia="Arial" w:cs="Arial"/>
          <w:sz w:val="20"/>
          <w:szCs w:val="20"/>
        </w:rPr>
        <w:t>whether the client will receive account statements directly from the custodian or KCD and, if electronic delivery, the form of such electronic delivery (</w:t>
      </w:r>
      <w:r>
        <w:rPr>
          <w:rFonts w:eastAsia="Arial" w:cs="Arial"/>
          <w:i/>
          <w:iCs/>
          <w:sz w:val="20"/>
          <w:szCs w:val="20"/>
        </w:rPr>
        <w:t>e.g.,</w:t>
      </w:r>
      <w:r>
        <w:rPr>
          <w:rFonts w:eastAsia="Arial" w:cs="Arial"/>
          <w:sz w:val="20"/>
          <w:szCs w:val="20"/>
        </w:rPr>
        <w:t xml:space="preserve"> email or website login);</w:t>
      </w:r>
    </w:p>
    <w:p>
      <w:pPr>
        <w:numPr>
          <w:ilvl w:val="0"/>
          <w:numId w:val="58"/>
        </w:numPr>
        <w:ind w:left="720" w:hanging="192"/>
        <w:jc w:val="left"/>
        <w:rPr>
          <w:rFonts w:eastAsia="Arial" w:cs="Arial"/>
          <w:sz w:val="20"/>
          <w:szCs w:val="20"/>
        </w:rPr>
      </w:pPr>
      <w:r>
        <w:rPr>
          <w:rFonts w:eastAsia="Arial" w:cs="Arial"/>
          <w:sz w:val="20"/>
          <w:szCs w:val="20"/>
        </w:rPr>
        <w:t>whether the client is a sovereign wealth fund;</w:t>
      </w:r>
    </w:p>
    <w:p>
      <w:pPr>
        <w:numPr>
          <w:ilvl w:val="0"/>
          <w:numId w:val="58"/>
        </w:numPr>
        <w:ind w:left="720" w:hanging="192"/>
        <w:jc w:val="left"/>
        <w:rPr>
          <w:rFonts w:eastAsia="Arial" w:cs="Arial"/>
          <w:sz w:val="20"/>
          <w:szCs w:val="20"/>
        </w:rPr>
      </w:pPr>
      <w:r>
        <w:rPr>
          <w:rFonts w:eastAsia="Arial" w:cs="Arial"/>
          <w:sz w:val="20"/>
          <w:szCs w:val="20"/>
        </w:rPr>
        <w:t>the name of any third-party consultant instrumental in obtaining the client; and</w:t>
      </w:r>
    </w:p>
    <w:p>
      <w:pPr>
        <w:numPr>
          <w:ilvl w:val="0"/>
          <w:numId w:val="58"/>
        </w:numPr>
        <w:spacing w:after="200"/>
        <w:ind w:left="720" w:hanging="192"/>
        <w:jc w:val="left"/>
        <w:rPr>
          <w:rFonts w:eastAsia="Arial" w:cs="Arial"/>
          <w:sz w:val="20"/>
          <w:szCs w:val="20"/>
        </w:rPr>
      </w:pPr>
      <w:r>
        <w:rPr>
          <w:rFonts w:eastAsia="Arial" w:cs="Arial"/>
          <w:sz w:val="20"/>
          <w:szCs w:val="20"/>
        </w:rPr>
        <w:t>references or other information to corroborate the reputation of the potential client.</w:t>
      </w:r>
    </w:p>
    <w:p>
      <w:bookmarkEnd w:id="18"/>
      <w:bookmarkStart w:id="19" w:name="Sec_Chp_061016102247218_061016102247421"/>
    </w:p>
    <w:p>
      <w:pPr>
        <w:pStyle w:val="Heading5"/>
      </w:pPr>
      <w:r>
        <w:t>2.3.1.2.2 Natural Person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permit KCD to accept a natural person client only if KCD obtains the following information about the person:</w:t>
      </w:r>
    </w:p>
    <w:p>
      <w:pPr>
        <w:numPr>
          <w:ilvl w:val="0"/>
          <w:numId w:val="59"/>
        </w:numPr>
        <w:spacing w:before="200"/>
        <w:ind w:left="720" w:hanging="192"/>
        <w:jc w:val="left"/>
        <w:rPr>
          <w:rFonts w:eastAsia="Arial" w:cs="Arial"/>
          <w:sz w:val="20"/>
          <w:szCs w:val="20"/>
        </w:rPr>
      </w:pPr>
      <w:r>
        <w:rPr>
          <w:rFonts w:eastAsia="Arial" w:cs="Arial"/>
          <w:sz w:val="20"/>
          <w:szCs w:val="20"/>
        </w:rPr>
        <w:t>age;</w:t>
      </w:r>
    </w:p>
    <w:p>
      <w:pPr>
        <w:numPr>
          <w:ilvl w:val="0"/>
          <w:numId w:val="59"/>
        </w:numPr>
        <w:ind w:left="720" w:hanging="192"/>
        <w:jc w:val="left"/>
        <w:rPr>
          <w:rFonts w:eastAsia="Arial" w:cs="Arial"/>
          <w:sz w:val="20"/>
          <w:szCs w:val="20"/>
        </w:rPr>
      </w:pPr>
      <w:r>
        <w:rPr>
          <w:rFonts w:eastAsia="Arial" w:cs="Arial"/>
          <w:sz w:val="20"/>
          <w:szCs w:val="20"/>
        </w:rPr>
        <w:t>social security number;</w:t>
      </w:r>
    </w:p>
    <w:p>
      <w:pPr>
        <w:numPr>
          <w:ilvl w:val="0"/>
          <w:numId w:val="59"/>
        </w:numPr>
        <w:ind w:left="720" w:hanging="192"/>
        <w:jc w:val="left"/>
        <w:rPr>
          <w:rFonts w:eastAsia="Arial" w:cs="Arial"/>
          <w:sz w:val="20"/>
          <w:szCs w:val="20"/>
        </w:rPr>
      </w:pPr>
      <w:r>
        <w:rPr>
          <w:rFonts w:eastAsia="Arial" w:cs="Arial"/>
          <w:sz w:val="20"/>
          <w:szCs w:val="20"/>
        </w:rPr>
        <w:t>occupation;</w:t>
      </w:r>
    </w:p>
    <w:p>
      <w:pPr>
        <w:numPr>
          <w:ilvl w:val="0"/>
          <w:numId w:val="59"/>
        </w:numPr>
        <w:ind w:left="720" w:hanging="192"/>
        <w:jc w:val="left"/>
        <w:rPr>
          <w:rFonts w:eastAsia="Arial" w:cs="Arial"/>
          <w:sz w:val="20"/>
          <w:szCs w:val="20"/>
        </w:rPr>
      </w:pPr>
      <w:r>
        <w:rPr>
          <w:rFonts w:eastAsia="Arial" w:cs="Arial"/>
          <w:sz w:val="20"/>
          <w:szCs w:val="20"/>
        </w:rPr>
        <w:t>employer;</w:t>
      </w:r>
    </w:p>
    <w:p>
      <w:pPr>
        <w:numPr>
          <w:ilvl w:val="0"/>
          <w:numId w:val="59"/>
        </w:numPr>
        <w:ind w:left="720" w:hanging="192"/>
        <w:jc w:val="left"/>
        <w:rPr>
          <w:rFonts w:eastAsia="Arial" w:cs="Arial"/>
          <w:sz w:val="20"/>
          <w:szCs w:val="20"/>
        </w:rPr>
      </w:pPr>
      <w:r>
        <w:rPr>
          <w:rFonts w:eastAsia="Arial" w:cs="Arial"/>
          <w:sz w:val="20"/>
          <w:szCs w:val="20"/>
        </w:rPr>
        <w:t>beneficiaries (if any);</w:t>
      </w:r>
    </w:p>
    <w:p>
      <w:pPr>
        <w:numPr>
          <w:ilvl w:val="0"/>
          <w:numId w:val="59"/>
        </w:numPr>
        <w:ind w:left="720" w:hanging="192"/>
        <w:jc w:val="left"/>
        <w:rPr>
          <w:rFonts w:eastAsia="Arial" w:cs="Arial"/>
          <w:sz w:val="20"/>
          <w:szCs w:val="20"/>
        </w:rPr>
      </w:pPr>
      <w:r>
        <w:rPr>
          <w:rFonts w:eastAsia="Arial" w:cs="Arial"/>
          <w:sz w:val="20"/>
          <w:szCs w:val="20"/>
        </w:rPr>
        <w:t>copy of filed IRS Form W-9 if a U.S. person and if required by FATCA or other applicable law or regulation;</w:t>
      </w:r>
    </w:p>
    <w:p>
      <w:pPr>
        <w:numPr>
          <w:ilvl w:val="0"/>
          <w:numId w:val="59"/>
        </w:numPr>
        <w:ind w:left="720" w:hanging="192"/>
        <w:jc w:val="left"/>
        <w:rPr>
          <w:rFonts w:eastAsia="Arial" w:cs="Arial"/>
          <w:sz w:val="20"/>
          <w:szCs w:val="20"/>
        </w:rPr>
      </w:pPr>
      <w:r>
        <w:rPr>
          <w:rFonts w:eastAsia="Arial" w:cs="Arial"/>
          <w:sz w:val="20"/>
          <w:szCs w:val="20"/>
        </w:rPr>
        <w:t>copy of filed IRS Form W-8 if a non-U.S. person and if required by FATCA or other applicable law or regulation; and/or</w:t>
      </w:r>
    </w:p>
    <w:p>
      <w:pPr>
        <w:numPr>
          <w:ilvl w:val="0"/>
          <w:numId w:val="59"/>
        </w:numPr>
        <w:spacing w:after="200"/>
        <w:ind w:left="720" w:hanging="192"/>
        <w:jc w:val="left"/>
        <w:rPr>
          <w:rFonts w:eastAsia="Arial" w:cs="Arial"/>
          <w:sz w:val="20"/>
          <w:szCs w:val="20"/>
        </w:rPr>
      </w:pPr>
      <w:r>
        <w:rPr>
          <w:rFonts w:eastAsia="Arial" w:cs="Arial"/>
          <w:sz w:val="20"/>
          <w:szCs w:val="20"/>
        </w:rPr>
        <w:t xml:space="preserve">copies of other forms for IRS reportable accounts (see </w:t>
      </w:r>
      <w:hyperlink r:id="rId8" w:tgtFrame="_blank" w:history="1">
        <w:r>
          <w:rPr>
            <w:rStyle w:val="Hyperlink"/>
            <w:rFonts w:eastAsia="Arial" w:cs="Arial"/>
            <w:color w:val="0000EE"/>
            <w:sz w:val="20"/>
            <w:szCs w:val="20"/>
            <w:u w:color="0000EE"/>
          </w:rPr>
          <w:t>http://www.IRS.gov</w:t>
        </w:r>
      </w:hyperlink>
      <w:r>
        <w:rPr>
          <w:rFonts w:eastAsia="Arial" w:cs="Arial"/>
          <w:sz w:val="20"/>
          <w:szCs w:val="20"/>
        </w:rPr>
        <w:t xml:space="preserve"> for a list of such forms and filing requirements).</w:t>
      </w:r>
    </w:p>
    <w:p>
      <w:bookmarkEnd w:id="19"/>
      <w:bookmarkStart w:id="20" w:name="Sec_Chp_061016102247218_061016102247437"/>
    </w:p>
    <w:p>
      <w:pPr>
        <w:pStyle w:val="Heading5"/>
      </w:pPr>
      <w:r>
        <w:t>2.3.1.2.3 Entity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permit KCD to accept a corporation, partnership, foundation or other client that is an entity only after:</w:t>
      </w:r>
    </w:p>
    <w:p>
      <w:pPr>
        <w:numPr>
          <w:ilvl w:val="0"/>
          <w:numId w:val="60"/>
        </w:numPr>
        <w:spacing w:before="200"/>
        <w:ind w:left="720" w:hanging="192"/>
        <w:jc w:val="left"/>
        <w:rPr>
          <w:rFonts w:eastAsia="Arial" w:cs="Arial"/>
          <w:sz w:val="20"/>
          <w:szCs w:val="20"/>
        </w:rPr>
      </w:pPr>
      <w:r>
        <w:rPr>
          <w:rFonts w:eastAsia="Arial" w:cs="Arial"/>
          <w:sz w:val="20"/>
          <w:szCs w:val="20"/>
        </w:rPr>
        <w:t>reviewing documentary evidence of the due organization and existence of such entity;</w:t>
      </w:r>
    </w:p>
    <w:p>
      <w:pPr>
        <w:numPr>
          <w:ilvl w:val="0"/>
          <w:numId w:val="60"/>
        </w:numPr>
        <w:ind w:left="720" w:hanging="192"/>
        <w:jc w:val="left"/>
        <w:rPr>
          <w:rFonts w:eastAsia="Arial" w:cs="Arial"/>
          <w:sz w:val="20"/>
          <w:szCs w:val="20"/>
        </w:rPr>
      </w:pPr>
      <w:r>
        <w:rPr>
          <w:rFonts w:eastAsia="Arial" w:cs="Arial"/>
          <w:sz w:val="20"/>
          <w:szCs w:val="20"/>
        </w:rPr>
        <w:t>noting its domicile;</w:t>
      </w:r>
    </w:p>
    <w:p>
      <w:pPr>
        <w:numPr>
          <w:ilvl w:val="0"/>
          <w:numId w:val="60"/>
        </w:numPr>
        <w:ind w:left="720" w:hanging="192"/>
        <w:jc w:val="left"/>
        <w:rPr>
          <w:rFonts w:eastAsia="Arial" w:cs="Arial"/>
          <w:sz w:val="20"/>
          <w:szCs w:val="20"/>
        </w:rPr>
      </w:pPr>
      <w:r>
        <w:rPr>
          <w:rFonts w:eastAsia="Arial" w:cs="Arial"/>
          <w:sz w:val="20"/>
          <w:szCs w:val="20"/>
        </w:rPr>
        <w:t>understanding the structure of the entity sufficiently to determine the source of the funds;</w:t>
      </w:r>
    </w:p>
    <w:p>
      <w:pPr>
        <w:numPr>
          <w:ilvl w:val="0"/>
          <w:numId w:val="60"/>
        </w:numPr>
        <w:ind w:left="720" w:hanging="192"/>
        <w:jc w:val="left"/>
        <w:rPr>
          <w:rFonts w:eastAsia="Arial" w:cs="Arial"/>
          <w:sz w:val="20"/>
          <w:szCs w:val="20"/>
        </w:rPr>
      </w:pPr>
      <w:r>
        <w:rPr>
          <w:rFonts w:eastAsia="Arial" w:cs="Arial"/>
          <w:sz w:val="20"/>
          <w:szCs w:val="20"/>
        </w:rPr>
        <w:t>identifying principal owner(s) of the entity's shares or beneficial interests;</w:t>
      </w:r>
    </w:p>
    <w:p>
      <w:pPr>
        <w:numPr>
          <w:ilvl w:val="0"/>
          <w:numId w:val="60"/>
        </w:numPr>
        <w:ind w:left="720" w:hanging="192"/>
        <w:jc w:val="left"/>
        <w:rPr>
          <w:rFonts w:eastAsia="Arial" w:cs="Arial"/>
          <w:sz w:val="20"/>
          <w:szCs w:val="20"/>
        </w:rPr>
      </w:pPr>
      <w:r>
        <w:rPr>
          <w:rFonts w:eastAsia="Arial" w:cs="Arial"/>
          <w:sz w:val="20"/>
          <w:szCs w:val="20"/>
        </w:rPr>
        <w:t xml:space="preserve">identifying who controls the entity; </w:t>
      </w:r>
    </w:p>
    <w:p>
      <w:pPr>
        <w:numPr>
          <w:ilvl w:val="0"/>
          <w:numId w:val="60"/>
        </w:numPr>
        <w:ind w:left="720" w:hanging="192"/>
        <w:jc w:val="left"/>
        <w:rPr>
          <w:rFonts w:eastAsia="Arial" w:cs="Arial"/>
          <w:sz w:val="20"/>
          <w:szCs w:val="20"/>
        </w:rPr>
      </w:pPr>
      <w:r>
        <w:rPr>
          <w:rFonts w:eastAsia="Arial" w:cs="Arial"/>
          <w:sz w:val="20"/>
          <w:szCs w:val="20"/>
        </w:rPr>
        <w:t>obtaining a signed corporate resolution or similar authorization that authorizes the opening of the account;</w:t>
      </w:r>
    </w:p>
    <w:p>
      <w:pPr>
        <w:numPr>
          <w:ilvl w:val="0"/>
          <w:numId w:val="60"/>
        </w:numPr>
        <w:ind w:left="720" w:hanging="192"/>
        <w:jc w:val="left"/>
        <w:rPr>
          <w:rFonts w:eastAsia="Arial" w:cs="Arial"/>
          <w:sz w:val="20"/>
          <w:szCs w:val="20"/>
        </w:rPr>
      </w:pPr>
      <w:r>
        <w:rPr>
          <w:rFonts w:eastAsia="Arial" w:cs="Arial"/>
          <w:sz w:val="20"/>
          <w:szCs w:val="20"/>
        </w:rPr>
        <w:t>obtaining a signed list of corporate officers or persons in similar capacity authorized to enter orders on behalf of the entity;</w:t>
      </w:r>
    </w:p>
    <w:p>
      <w:pPr>
        <w:numPr>
          <w:ilvl w:val="0"/>
          <w:numId w:val="60"/>
        </w:numPr>
        <w:ind w:left="720" w:hanging="192"/>
        <w:jc w:val="left"/>
        <w:rPr>
          <w:rFonts w:eastAsia="Arial" w:cs="Arial"/>
          <w:sz w:val="20"/>
          <w:szCs w:val="20"/>
        </w:rPr>
      </w:pPr>
      <w:r>
        <w:rPr>
          <w:rFonts w:eastAsia="Arial" w:cs="Arial"/>
          <w:sz w:val="20"/>
          <w:szCs w:val="20"/>
        </w:rPr>
        <w:t>copy of filed IRS Form W-9 of each U.S. investor if a U.S. fund with only U.S. investors and if required by FATCA or other applicable law or regulation;</w:t>
      </w:r>
    </w:p>
    <w:p>
      <w:pPr>
        <w:numPr>
          <w:ilvl w:val="0"/>
          <w:numId w:val="60"/>
        </w:numPr>
        <w:ind w:left="720" w:hanging="192"/>
        <w:jc w:val="left"/>
        <w:rPr>
          <w:rFonts w:eastAsia="Arial" w:cs="Arial"/>
          <w:sz w:val="20"/>
          <w:szCs w:val="20"/>
        </w:rPr>
      </w:pPr>
      <w:r>
        <w:rPr>
          <w:rFonts w:eastAsia="Arial" w:cs="Arial"/>
          <w:sz w:val="20"/>
          <w:szCs w:val="20"/>
        </w:rPr>
        <w:t>copy of filed IRS Form W-8 if an offshore fund and if required by FATCA or other applicable law or regulation; and/or</w:t>
      </w:r>
    </w:p>
    <w:p>
      <w:pPr>
        <w:numPr>
          <w:ilvl w:val="0"/>
          <w:numId w:val="60"/>
        </w:numPr>
        <w:spacing w:after="200"/>
        <w:ind w:left="720" w:hanging="192"/>
        <w:jc w:val="left"/>
        <w:rPr>
          <w:rFonts w:eastAsia="Arial" w:cs="Arial"/>
          <w:sz w:val="20"/>
          <w:szCs w:val="20"/>
        </w:rPr>
      </w:pPr>
      <w:r>
        <w:rPr>
          <w:rFonts w:eastAsia="Arial" w:cs="Arial"/>
          <w:sz w:val="20"/>
          <w:szCs w:val="20"/>
        </w:rPr>
        <w:t xml:space="preserve">copies of other forms for IRS reportable accounts (see </w:t>
      </w:r>
      <w:hyperlink r:id="rId9" w:tgtFrame="_blank" w:history="1">
        <w:r>
          <w:rPr>
            <w:rStyle w:val="Hyperlink"/>
            <w:rFonts w:eastAsia="Arial" w:cs="Arial"/>
            <w:color w:val="0000EE"/>
            <w:sz w:val="20"/>
            <w:szCs w:val="20"/>
            <w:u w:color="0000EE"/>
          </w:rPr>
          <w:t>http://www.IRS.gov</w:t>
        </w:r>
      </w:hyperlink>
      <w:r>
        <w:rPr>
          <w:rFonts w:eastAsia="Arial" w:cs="Arial"/>
          <w:sz w:val="20"/>
          <w:szCs w:val="20"/>
        </w:rPr>
        <w:t xml:space="preserve"> for a list of such forms and filing requirements).</w:t>
      </w:r>
    </w:p>
    <w:p>
      <w:bookmarkEnd w:id="20"/>
      <w:bookmarkStart w:id="21" w:name="Sec_Chp_061016102247218_061016102247453"/>
    </w:p>
    <w:p>
      <w:pPr>
        <w:pStyle w:val="Heading5"/>
      </w:pPr>
      <w:r>
        <w:t>2.3.1.2.4 Trust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permit KCD to accept a client formed as a trust only after:</w:t>
      </w:r>
    </w:p>
    <w:p>
      <w:pPr>
        <w:numPr>
          <w:ilvl w:val="0"/>
          <w:numId w:val="61"/>
        </w:numPr>
        <w:spacing w:before="200"/>
        <w:ind w:left="720" w:hanging="192"/>
        <w:jc w:val="left"/>
        <w:rPr>
          <w:rFonts w:eastAsia="Arial" w:cs="Arial"/>
          <w:sz w:val="20"/>
          <w:szCs w:val="20"/>
        </w:rPr>
      </w:pPr>
      <w:r>
        <w:rPr>
          <w:rFonts w:eastAsia="Arial" w:cs="Arial"/>
          <w:sz w:val="20"/>
          <w:szCs w:val="20"/>
        </w:rPr>
        <w:t>reviewing evidence of its due formation and existence, along with the identity of its trustee(s); and</w:t>
      </w:r>
    </w:p>
    <w:p>
      <w:pPr>
        <w:numPr>
          <w:ilvl w:val="0"/>
          <w:numId w:val="61"/>
        </w:numPr>
        <w:spacing w:after="200"/>
        <w:ind w:left="720" w:hanging="192"/>
        <w:jc w:val="left"/>
        <w:rPr>
          <w:rFonts w:eastAsia="Arial" w:cs="Arial"/>
          <w:sz w:val="20"/>
          <w:szCs w:val="20"/>
        </w:rPr>
      </w:pPr>
      <w:r>
        <w:rPr>
          <w:rFonts w:eastAsia="Arial" w:cs="Arial"/>
          <w:sz w:val="20"/>
          <w:szCs w:val="20"/>
        </w:rPr>
        <w:t xml:space="preserve">understanding the structure of the trust sufficiently to determine the source of the funds (e.g., settlor), person who controls the trust (e.g., trustee), and persons who have the power to remove the trustee. </w:t>
      </w:r>
    </w:p>
    <w:p>
      <w:bookmarkEnd w:id="21"/>
      <w:bookmarkStart w:id="22" w:name="Sec_Chp_061016102247218_061016102247468"/>
    </w:p>
    <w:p>
      <w:pPr>
        <w:pStyle w:val="Heading5"/>
      </w:pPr>
      <w:r>
        <w:t>2.3.1.2.5 Retirement Plans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permit KCD to accept a retirement plans as a client only after:</w:t>
      </w:r>
    </w:p>
    <w:p>
      <w:pPr>
        <w:numPr>
          <w:ilvl w:val="0"/>
          <w:numId w:val="62"/>
        </w:numPr>
        <w:spacing w:before="200"/>
        <w:ind w:left="720" w:hanging="192"/>
        <w:jc w:val="left"/>
        <w:rPr>
          <w:rFonts w:eastAsia="Arial" w:cs="Arial"/>
          <w:sz w:val="20"/>
          <w:szCs w:val="20"/>
        </w:rPr>
      </w:pPr>
      <w:r>
        <w:rPr>
          <w:rFonts w:eastAsia="Arial" w:cs="Arial"/>
          <w:sz w:val="20"/>
          <w:szCs w:val="20"/>
        </w:rPr>
        <w:t>reviewing evidence of its due formation and existence, along with the identity of its trustee(s) or other fiduciary; and</w:t>
      </w:r>
    </w:p>
    <w:p>
      <w:pPr>
        <w:numPr>
          <w:ilvl w:val="0"/>
          <w:numId w:val="62"/>
        </w:numPr>
        <w:spacing w:after="200"/>
        <w:ind w:left="720" w:hanging="192"/>
        <w:jc w:val="left"/>
        <w:rPr>
          <w:rFonts w:eastAsia="Arial" w:cs="Arial"/>
          <w:sz w:val="20"/>
          <w:szCs w:val="20"/>
        </w:rPr>
      </w:pPr>
      <w:r>
        <w:rPr>
          <w:rFonts w:eastAsia="Arial" w:cs="Arial"/>
          <w:sz w:val="20"/>
          <w:szCs w:val="20"/>
        </w:rPr>
        <w:t>understanding the plan document sufficiently to determine how the plan is to be managed.</w:t>
      </w:r>
    </w:p>
    <w:p>
      <w:bookmarkEnd w:id="22"/>
      <w:bookmarkStart w:id="23" w:name="Sec_Chp_061016102247218_061016102247515"/>
    </w:p>
    <w:p>
      <w:pPr>
        <w:pStyle w:val="Heading5"/>
      </w:pPr>
      <w:r>
        <w:t>2.3.1.2.6 Joint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permit KCD to open a joint account only if such account:</w:t>
      </w:r>
    </w:p>
    <w:p>
      <w:pPr>
        <w:numPr>
          <w:ilvl w:val="0"/>
          <w:numId w:val="63"/>
        </w:numPr>
        <w:spacing w:before="200"/>
        <w:ind w:left="720" w:hanging="192"/>
        <w:jc w:val="left"/>
        <w:rPr>
          <w:rFonts w:eastAsia="Arial" w:cs="Arial"/>
          <w:sz w:val="20"/>
          <w:szCs w:val="20"/>
        </w:rPr>
      </w:pPr>
      <w:r>
        <w:rPr>
          <w:rFonts w:eastAsia="Arial" w:cs="Arial"/>
          <w:sz w:val="20"/>
          <w:szCs w:val="20"/>
        </w:rPr>
        <w:t xml:space="preserve">Clearly states whether it is with right of survivorship, tenancy in common or tenancy by the entirety; and </w:t>
      </w:r>
    </w:p>
    <w:p>
      <w:pPr>
        <w:numPr>
          <w:ilvl w:val="0"/>
          <w:numId w:val="63"/>
        </w:numPr>
        <w:spacing w:after="200"/>
        <w:ind w:left="720" w:hanging="192"/>
        <w:jc w:val="left"/>
        <w:rPr>
          <w:rFonts w:eastAsia="Arial" w:cs="Arial"/>
          <w:sz w:val="20"/>
          <w:szCs w:val="20"/>
        </w:rPr>
      </w:pPr>
      <w:r>
        <w:rPr>
          <w:rFonts w:eastAsia="Arial" w:cs="Arial"/>
          <w:sz w:val="20"/>
          <w:szCs w:val="20"/>
        </w:rPr>
        <w:t>Is the subject of a joint account agreement that sets forth rights of joint account holders with respect to the account (e.g., who may place orders or withdraw assets).</w:t>
      </w:r>
    </w:p>
    <w:p>
      <w:bookmarkEnd w:id="23"/>
      <w:bookmarkStart w:id="24" w:name="Sec_Chp_061016102247218_061016102247531"/>
    </w:p>
    <w:p>
      <w:pPr>
        <w:pStyle w:val="Heading5"/>
      </w:pPr>
      <w:r>
        <w:t>2.3.1.2.7 Custodian and Guardianship for Minor Accounts</w:t>
      </w:r>
    </w:p>
    <w:p/>
    <w:p>
      <w:pPr>
        <w:rPr>
          <w:rFonts w:eastAsia="Arial" w:cs="Arial"/>
          <w:sz w:val="16"/>
          <w:szCs w:val="16"/>
        </w:rPr>
      </w:pPr>
      <w:r>
        <w:rPr>
          <w:rFonts w:eastAsia="Arial" w:cs="Arial"/>
          <w:sz w:val="16"/>
          <w:szCs w:val="16"/>
        </w:rPr>
        <w:t>[Uniform Gifts to Minors Act (UGMA); Uniform Transfer to Minors Act (UTMA)]</w:t>
      </w:r>
    </w:p>
    <w:p/>
    <w:p>
      <w:pPr>
        <w:pStyle w:val="normal0"/>
        <w:spacing w:after="200"/>
        <w:rPr>
          <w:rFonts w:eastAsia="Arial" w:cs="Arial"/>
          <w:sz w:val="20"/>
          <w:szCs w:val="20"/>
        </w:rPr>
      </w:pPr>
      <w:r>
        <w:rPr>
          <w:rFonts w:eastAsia="Arial" w:cs="Arial"/>
          <w:sz w:val="20"/>
          <w:szCs w:val="20"/>
        </w:rPr>
        <w:t>Generally, KCD may not open an account for any person who has not attained the age of majority. However, custodial accounts may be opened under the following conditions:</w:t>
      </w:r>
    </w:p>
    <w:p>
      <w:pPr>
        <w:numPr>
          <w:ilvl w:val="0"/>
          <w:numId w:val="64"/>
        </w:numPr>
        <w:spacing w:before="200"/>
        <w:ind w:left="720" w:hanging="192"/>
        <w:jc w:val="left"/>
        <w:rPr>
          <w:rFonts w:eastAsia="Arial" w:cs="Arial"/>
          <w:sz w:val="20"/>
          <w:szCs w:val="20"/>
        </w:rPr>
      </w:pPr>
      <w:r>
        <w:rPr>
          <w:rFonts w:eastAsia="Arial" w:cs="Arial"/>
          <w:sz w:val="20"/>
          <w:szCs w:val="20"/>
        </w:rPr>
        <w:t xml:space="preserve">There is only one minor and one custodian for such account; </w:t>
      </w:r>
    </w:p>
    <w:p>
      <w:pPr>
        <w:numPr>
          <w:ilvl w:val="0"/>
          <w:numId w:val="64"/>
        </w:numPr>
        <w:ind w:left="720" w:hanging="192"/>
        <w:jc w:val="left"/>
        <w:rPr>
          <w:rFonts w:eastAsia="Arial" w:cs="Arial"/>
          <w:sz w:val="20"/>
          <w:szCs w:val="20"/>
        </w:rPr>
      </w:pPr>
      <w:r>
        <w:rPr>
          <w:rFonts w:eastAsia="Arial" w:cs="Arial"/>
          <w:sz w:val="20"/>
          <w:szCs w:val="20"/>
        </w:rPr>
        <w:t xml:space="preserve">The account is opened under the Uniform Gifts to Minors Act (UGMA) or the Uniform Transfer to Minors Act (UTMA) and KCD verifies which applies; </w:t>
      </w:r>
    </w:p>
    <w:p>
      <w:pPr>
        <w:numPr>
          <w:ilvl w:val="0"/>
          <w:numId w:val="64"/>
        </w:numPr>
        <w:ind w:left="720" w:hanging="192"/>
        <w:jc w:val="left"/>
        <w:rPr>
          <w:rFonts w:eastAsia="Arial" w:cs="Arial"/>
          <w:sz w:val="20"/>
          <w:szCs w:val="20"/>
        </w:rPr>
      </w:pPr>
      <w:r>
        <w:rPr>
          <w:rFonts w:eastAsia="Arial" w:cs="Arial"/>
          <w:sz w:val="20"/>
          <w:szCs w:val="20"/>
        </w:rPr>
        <w:t xml:space="preserve">Property transferred to the UGMA or UTMA account is a complete and irrevocable transfer of property to the minor (i.e., the transferor gives up all rights to the property); and </w:t>
      </w:r>
    </w:p>
    <w:p>
      <w:pPr>
        <w:numPr>
          <w:ilvl w:val="0"/>
          <w:numId w:val="64"/>
        </w:numPr>
        <w:spacing w:after="200"/>
        <w:ind w:left="720" w:hanging="192"/>
        <w:jc w:val="left"/>
        <w:rPr>
          <w:rFonts w:eastAsia="Arial" w:cs="Arial"/>
          <w:sz w:val="20"/>
          <w:szCs w:val="20"/>
        </w:rPr>
      </w:pPr>
      <w:r>
        <w:rPr>
          <w:rFonts w:eastAsia="Arial" w:cs="Arial"/>
          <w:sz w:val="20"/>
          <w:szCs w:val="20"/>
        </w:rPr>
        <w:t>Upon the minor reaching the age of majority in the particular state of residence, the custodian must transfer the custodial property to the minor.</w:t>
      </w:r>
    </w:p>
    <w:p>
      <w:bookmarkEnd w:id="24"/>
      <w:bookmarkStart w:id="25" w:name="Sec_Chp_061016102247218_061016102247546"/>
    </w:p>
    <w:p>
      <w:pPr>
        <w:pStyle w:val="Heading5"/>
      </w:pPr>
      <w:r>
        <w:t>2.3.1.2.8 Estate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opening an estate account, KCD shall obtain:</w:t>
      </w:r>
    </w:p>
    <w:p>
      <w:pPr>
        <w:numPr>
          <w:ilvl w:val="0"/>
          <w:numId w:val="65"/>
        </w:numPr>
        <w:spacing w:before="200"/>
        <w:ind w:left="720" w:hanging="192"/>
        <w:jc w:val="left"/>
        <w:rPr>
          <w:rFonts w:eastAsia="Arial" w:cs="Arial"/>
          <w:sz w:val="20"/>
          <w:szCs w:val="20"/>
        </w:rPr>
      </w:pPr>
      <w:r>
        <w:rPr>
          <w:rFonts w:eastAsia="Arial" w:cs="Arial"/>
          <w:sz w:val="20"/>
          <w:szCs w:val="20"/>
        </w:rPr>
        <w:t xml:space="preserve">A copy of the will; </w:t>
      </w:r>
    </w:p>
    <w:p>
      <w:pPr>
        <w:numPr>
          <w:ilvl w:val="0"/>
          <w:numId w:val="65"/>
        </w:numPr>
        <w:ind w:left="720" w:hanging="192"/>
        <w:jc w:val="left"/>
        <w:rPr>
          <w:rFonts w:eastAsia="Arial" w:cs="Arial"/>
          <w:sz w:val="20"/>
          <w:szCs w:val="20"/>
        </w:rPr>
      </w:pPr>
      <w:r>
        <w:rPr>
          <w:rFonts w:eastAsia="Arial" w:cs="Arial"/>
          <w:sz w:val="20"/>
          <w:szCs w:val="20"/>
        </w:rPr>
        <w:t xml:space="preserve">Certificate of letters testamentary; </w:t>
      </w:r>
    </w:p>
    <w:p>
      <w:pPr>
        <w:numPr>
          <w:ilvl w:val="0"/>
          <w:numId w:val="65"/>
        </w:numPr>
        <w:ind w:left="720" w:hanging="192"/>
        <w:jc w:val="left"/>
        <w:rPr>
          <w:rFonts w:eastAsia="Arial" w:cs="Arial"/>
          <w:sz w:val="20"/>
          <w:szCs w:val="20"/>
        </w:rPr>
      </w:pPr>
      <w:r>
        <w:rPr>
          <w:rFonts w:eastAsia="Arial" w:cs="Arial"/>
          <w:sz w:val="20"/>
          <w:szCs w:val="20"/>
        </w:rPr>
        <w:t xml:space="preserve">An affidavit of domicile; and </w:t>
      </w:r>
    </w:p>
    <w:p>
      <w:pPr>
        <w:numPr>
          <w:ilvl w:val="0"/>
          <w:numId w:val="65"/>
        </w:numPr>
        <w:spacing w:after="200"/>
        <w:ind w:left="720" w:hanging="192"/>
        <w:jc w:val="left"/>
        <w:rPr>
          <w:rFonts w:eastAsia="Arial" w:cs="Arial"/>
          <w:sz w:val="20"/>
          <w:szCs w:val="20"/>
        </w:rPr>
      </w:pPr>
      <w:r>
        <w:rPr>
          <w:rFonts w:eastAsia="Arial" w:cs="Arial"/>
          <w:sz w:val="20"/>
          <w:szCs w:val="20"/>
        </w:rPr>
        <w:t>A death certificate.</w:t>
      </w:r>
    </w:p>
    <w:p>
      <w:bookmarkEnd w:id="25"/>
      <w:bookmarkStart w:id="26" w:name="Sec_Chp_061016102247218_061016102247562"/>
    </w:p>
    <w:p>
      <w:pPr>
        <w:pStyle w:val="Heading5"/>
      </w:pPr>
      <w:r>
        <w:t>2.3.1.2.9 Power of Attorney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Clients of KCD may grant power of attorney over their accounts to a third party. In such cases, KCD shall require the client to complete a Power of Attorney, pursuant to the procedures set forth in the Advisory Contract &amp; Fees chapter of this Manual.</w:t>
      </w:r>
    </w:p>
    <w:p>
      <w:bookmarkEnd w:id="26"/>
      <w:bookmarkStart w:id="27" w:name="Sec_Chp_061016102247218_061016102247578"/>
    </w:p>
    <w:p>
      <w:pPr>
        <w:pStyle w:val="Heading4"/>
      </w:pPr>
      <w:r>
        <w:t>2.3.1.3 Verification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verify the above stated forms of client identity within a reasonable time after the account is opened. The [Chief Compliance Officer] will verify the identity of the client by requesting and reviewing:</w:t>
      </w:r>
    </w:p>
    <w:p>
      <w:pPr>
        <w:numPr>
          <w:ilvl w:val="0"/>
          <w:numId w:val="66"/>
        </w:numPr>
        <w:spacing w:before="200"/>
        <w:ind w:left="720" w:hanging="192"/>
        <w:jc w:val="left"/>
        <w:rPr>
          <w:rFonts w:eastAsia="Arial" w:cs="Arial"/>
          <w:sz w:val="20"/>
          <w:szCs w:val="20"/>
        </w:rPr>
      </w:pPr>
      <w:r>
        <w:rPr>
          <w:rFonts w:eastAsia="Arial" w:cs="Arial"/>
          <w:sz w:val="20"/>
          <w:szCs w:val="20"/>
        </w:rPr>
        <w:t>unexpired government-issued identification, such as a driver's license or passport for individuals; or</w:t>
      </w:r>
    </w:p>
    <w:p>
      <w:pPr>
        <w:numPr>
          <w:ilvl w:val="0"/>
          <w:numId w:val="66"/>
        </w:numPr>
        <w:spacing w:after="200"/>
        <w:ind w:left="720" w:hanging="192"/>
        <w:jc w:val="left"/>
        <w:rPr>
          <w:rFonts w:eastAsia="Arial" w:cs="Arial"/>
          <w:sz w:val="20"/>
          <w:szCs w:val="20"/>
        </w:rPr>
      </w:pPr>
      <w:r>
        <w:rPr>
          <w:rFonts w:eastAsia="Arial" w:cs="Arial"/>
          <w:sz w:val="20"/>
          <w:szCs w:val="20"/>
        </w:rPr>
        <w:t>certified articles of incorporation, certificate of limited partnership, trust instrument or other organizational document or a government-issued business license for entities.</w:t>
      </w:r>
    </w:p>
    <w:p>
      <w:pPr>
        <w:pStyle w:val="normal0"/>
        <w:spacing w:before="200" w:after="200"/>
        <w:rPr>
          <w:rFonts w:eastAsia="Arial" w:cs="Arial"/>
          <w:sz w:val="20"/>
          <w:szCs w:val="20"/>
        </w:rPr>
      </w:pPr>
      <w:r>
        <w:rPr>
          <w:rFonts w:eastAsia="Arial" w:cs="Arial"/>
          <w:sz w:val="20"/>
          <w:szCs w:val="20"/>
        </w:rPr>
        <w:t>If such verification by documentation fails (e.g., the client is unable to provide the documentation), the [Chief Compliance Officer] may verify the identity by non-documentary means, including:</w:t>
      </w:r>
    </w:p>
    <w:p>
      <w:pPr>
        <w:numPr>
          <w:ilvl w:val="0"/>
          <w:numId w:val="67"/>
        </w:numPr>
        <w:spacing w:before="200"/>
        <w:ind w:left="720" w:hanging="192"/>
        <w:jc w:val="left"/>
        <w:rPr>
          <w:rFonts w:eastAsia="Arial" w:cs="Arial"/>
          <w:sz w:val="20"/>
          <w:szCs w:val="20"/>
        </w:rPr>
      </w:pPr>
      <w:r>
        <w:rPr>
          <w:rFonts w:eastAsia="Arial" w:cs="Arial"/>
          <w:sz w:val="20"/>
          <w:szCs w:val="20"/>
        </w:rPr>
        <w:t>directly contacting the client;</w:t>
      </w:r>
    </w:p>
    <w:p>
      <w:pPr>
        <w:numPr>
          <w:ilvl w:val="0"/>
          <w:numId w:val="67"/>
        </w:numPr>
        <w:ind w:left="720" w:hanging="192"/>
        <w:jc w:val="left"/>
        <w:rPr>
          <w:rFonts w:eastAsia="Arial" w:cs="Arial"/>
          <w:sz w:val="20"/>
          <w:szCs w:val="20"/>
        </w:rPr>
      </w:pPr>
      <w:r>
        <w:rPr>
          <w:rFonts w:eastAsia="Arial" w:cs="Arial"/>
          <w:sz w:val="20"/>
          <w:szCs w:val="20"/>
        </w:rPr>
        <w:t>independent verification of the client's identity through comparison of information provided by the client with information obtained from a consumer reporting agency, public database or other source;</w:t>
      </w:r>
    </w:p>
    <w:p>
      <w:pPr>
        <w:numPr>
          <w:ilvl w:val="0"/>
          <w:numId w:val="67"/>
        </w:numPr>
        <w:ind w:left="720" w:hanging="192"/>
        <w:jc w:val="left"/>
        <w:rPr>
          <w:rFonts w:eastAsia="Arial" w:cs="Arial"/>
          <w:sz w:val="20"/>
          <w:szCs w:val="20"/>
        </w:rPr>
      </w:pPr>
      <w:r>
        <w:rPr>
          <w:rFonts w:eastAsia="Arial" w:cs="Arial"/>
          <w:sz w:val="20"/>
          <w:szCs w:val="20"/>
        </w:rPr>
        <w:t>checking references with financial institutions; or</w:t>
      </w:r>
    </w:p>
    <w:p>
      <w:pPr>
        <w:numPr>
          <w:ilvl w:val="0"/>
          <w:numId w:val="67"/>
        </w:numPr>
        <w:spacing w:after="200"/>
        <w:ind w:left="720" w:hanging="192"/>
        <w:jc w:val="left"/>
        <w:rPr>
          <w:rFonts w:eastAsia="Arial" w:cs="Arial"/>
          <w:sz w:val="20"/>
          <w:szCs w:val="20"/>
        </w:rPr>
      </w:pPr>
      <w:r>
        <w:rPr>
          <w:rFonts w:eastAsia="Arial" w:cs="Arial"/>
          <w:sz w:val="20"/>
          <w:szCs w:val="20"/>
        </w:rPr>
        <w:t>obtaining a financial statement.</w:t>
      </w:r>
    </w:p>
    <w:p>
      <w:pPr>
        <w:spacing w:before="200" w:after="200"/>
        <w:rPr>
          <w:rFonts w:eastAsia="Arial" w:cs="Arial"/>
          <w:sz w:val="20"/>
          <w:szCs w:val="20"/>
        </w:rPr>
      </w:pPr>
      <w:r>
        <w:rPr>
          <w:rFonts w:eastAsia="Arial" w:cs="Arial"/>
          <w:sz w:val="20"/>
          <w:szCs w:val="20"/>
        </w:rPr>
        <w:t>If necessary, KCD will send prospective client information to Equifax or a similar company to verify the information provided by the prospective client is accurate and no material omissions have been made and request such company to prepare a background report on the prospective client. If the report prepared by such company contains information that might affect KCD's decision to open the account, the decision to open the account will require approval of a senior officer of KCD.</w:t>
      </w:r>
    </w:p>
    <w:p>
      <w:bookmarkEnd w:id="27"/>
      <w:bookmarkStart w:id="28" w:name="Sec_Chp_061016102247218_061016102247609"/>
    </w:p>
    <w:p>
      <w:pPr>
        <w:pStyle w:val="Heading4"/>
      </w:pPr>
      <w:r>
        <w:t>2.3.1.4 Unacceptable Accounts</w:t>
      </w:r>
    </w:p>
    <w:p/>
    <w:p>
      <w:pPr>
        <w:rPr>
          <w:rFonts w:eastAsia="Arial" w:cs="Arial"/>
          <w:sz w:val="16"/>
          <w:szCs w:val="16"/>
        </w:rPr>
      </w:pPr>
      <w:r>
        <w:rPr>
          <w:rFonts w:eastAsia="Arial" w:cs="Arial"/>
          <w:sz w:val="16"/>
          <w:szCs w:val="16"/>
        </w:rPr>
        <w:t>[Uniform Gifts to Minors Act (UGMA); Uniform Transfer to Minors Act (UTMA)]</w:t>
      </w:r>
    </w:p>
    <w:p/>
    <w:p>
      <w:pPr>
        <w:pStyle w:val="normal0"/>
        <w:spacing w:after="200"/>
        <w:rPr>
          <w:rFonts w:eastAsia="Arial" w:cs="Arial"/>
          <w:sz w:val="20"/>
          <w:szCs w:val="20"/>
        </w:rPr>
      </w:pPr>
      <w:r>
        <w:rPr>
          <w:rFonts w:eastAsia="Arial" w:cs="Arial"/>
          <w:sz w:val="20"/>
          <w:szCs w:val="20"/>
        </w:rPr>
        <w:t xml:space="preserve">KCD may </w:t>
      </w:r>
      <w:r>
        <w:rPr>
          <w:rFonts w:eastAsia="Arial" w:cs="Arial"/>
          <w:sz w:val="20"/>
          <w:szCs w:val="20"/>
          <w:u w:val="single"/>
        </w:rPr>
        <w:t>not</w:t>
      </w:r>
      <w:r>
        <w:rPr>
          <w:rFonts w:eastAsia="Arial" w:cs="Arial"/>
          <w:sz w:val="20"/>
          <w:szCs w:val="20"/>
        </w:rPr>
        <w:t xml:space="preserve"> accept any of the following types of persons as clients:</w:t>
      </w:r>
    </w:p>
    <w:p>
      <w:pPr>
        <w:numPr>
          <w:ilvl w:val="0"/>
          <w:numId w:val="68"/>
        </w:numPr>
        <w:spacing w:before="200"/>
        <w:ind w:left="720" w:hanging="192"/>
        <w:jc w:val="left"/>
        <w:rPr>
          <w:rFonts w:eastAsia="Arial" w:cs="Arial"/>
          <w:sz w:val="20"/>
          <w:szCs w:val="20"/>
        </w:rPr>
      </w:pPr>
      <w:r>
        <w:rPr>
          <w:rFonts w:eastAsia="Arial" w:cs="Arial"/>
          <w:i/>
          <w:iCs/>
          <w:sz w:val="20"/>
          <w:szCs w:val="20"/>
        </w:rPr>
        <w:t>Minors:</w:t>
      </w:r>
      <w:r>
        <w:rPr>
          <w:rFonts w:eastAsia="Arial" w:cs="Arial"/>
          <w:sz w:val="20"/>
          <w:szCs w:val="20"/>
        </w:rPr>
        <w:t xml:space="preserve"> a person under the age of majority. Such clients may be accepted if the person is represented by a legal guardian and/or through the appropriate state's Uniform Gifts to Minors Act or Uniform Transfers to Minor Act. </w:t>
      </w:r>
    </w:p>
    <w:p>
      <w:pPr>
        <w:numPr>
          <w:ilvl w:val="0"/>
          <w:numId w:val="68"/>
        </w:numPr>
        <w:ind w:left="720" w:hanging="192"/>
        <w:jc w:val="left"/>
        <w:rPr>
          <w:rFonts w:eastAsia="Arial" w:cs="Arial"/>
          <w:sz w:val="20"/>
          <w:szCs w:val="20"/>
        </w:rPr>
      </w:pPr>
      <w:r>
        <w:rPr>
          <w:rFonts w:eastAsia="Arial" w:cs="Arial"/>
          <w:i/>
          <w:iCs/>
          <w:sz w:val="20"/>
          <w:szCs w:val="20"/>
        </w:rPr>
        <w:t>Incompetent Persons:</w:t>
      </w:r>
      <w:r>
        <w:rPr>
          <w:rFonts w:eastAsia="Arial" w:cs="Arial"/>
          <w:sz w:val="20"/>
          <w:szCs w:val="20"/>
        </w:rPr>
        <w:t xml:space="preserve"> a person who has been adjudged by a court or otherwise to be incompetent. Such clients may be accepted if the person is represented by a duly appointed guardian of the incompetent. </w:t>
      </w:r>
    </w:p>
    <w:p>
      <w:pPr>
        <w:numPr>
          <w:ilvl w:val="0"/>
          <w:numId w:val="68"/>
        </w:numPr>
        <w:ind w:left="720" w:hanging="192"/>
        <w:jc w:val="left"/>
        <w:rPr>
          <w:rFonts w:eastAsia="Arial" w:cs="Arial"/>
          <w:sz w:val="20"/>
          <w:szCs w:val="20"/>
        </w:rPr>
      </w:pPr>
      <w:r>
        <w:rPr>
          <w:rFonts w:eastAsia="Arial" w:cs="Arial"/>
          <w:i/>
          <w:iCs/>
          <w:sz w:val="20"/>
          <w:szCs w:val="20"/>
        </w:rPr>
        <w:t>Clients with Fictitious Names:</w:t>
      </w:r>
      <w:r>
        <w:rPr>
          <w:rFonts w:eastAsia="Arial" w:cs="Arial"/>
          <w:sz w:val="20"/>
          <w:szCs w:val="20"/>
        </w:rPr>
        <w:t xml:space="preserve"> the client must give his or her legal name. </w:t>
      </w:r>
    </w:p>
    <w:p>
      <w:pPr>
        <w:numPr>
          <w:ilvl w:val="0"/>
          <w:numId w:val="68"/>
        </w:numPr>
        <w:ind w:left="720" w:hanging="192"/>
        <w:jc w:val="left"/>
        <w:rPr>
          <w:rFonts w:eastAsia="Arial" w:cs="Arial"/>
          <w:sz w:val="20"/>
          <w:szCs w:val="20"/>
        </w:rPr>
      </w:pPr>
      <w:r>
        <w:rPr>
          <w:rFonts w:eastAsia="Arial" w:cs="Arial"/>
          <w:i/>
          <w:iCs/>
          <w:sz w:val="20"/>
          <w:szCs w:val="20"/>
        </w:rPr>
        <w:t>Agent Acting for a Third Party:</w:t>
      </w:r>
      <w:r>
        <w:rPr>
          <w:rFonts w:eastAsia="Arial" w:cs="Arial"/>
          <w:sz w:val="20"/>
          <w:szCs w:val="20"/>
        </w:rPr>
        <w:t xml:space="preserve"> no account will be opened through an agent for the client unless the client has given that agent the authority to engage in securities transactions on his or her behalf and such authority is documented and made available. </w:t>
      </w:r>
    </w:p>
    <w:p>
      <w:pPr>
        <w:numPr>
          <w:ilvl w:val="0"/>
          <w:numId w:val="68"/>
        </w:numPr>
        <w:spacing w:after="200"/>
        <w:ind w:left="720" w:hanging="192"/>
        <w:jc w:val="left"/>
        <w:rPr>
          <w:rFonts w:eastAsia="Arial" w:cs="Arial"/>
          <w:sz w:val="20"/>
          <w:szCs w:val="20"/>
        </w:rPr>
      </w:pPr>
      <w:r>
        <w:rPr>
          <w:rFonts w:eastAsia="Arial" w:cs="Arial"/>
          <w:i/>
          <w:iCs/>
          <w:sz w:val="20"/>
          <w:szCs w:val="20"/>
        </w:rPr>
        <w:t>Blocked Persons on Government Lists:</w:t>
      </w:r>
      <w:r>
        <w:rPr>
          <w:rFonts w:eastAsia="Arial" w:cs="Arial"/>
          <w:sz w:val="20"/>
          <w:szCs w:val="20"/>
        </w:rPr>
        <w:t xml:space="preserve"> no account will be opened for a person who appears on a government terrorist list, including the Specially Designated Nationals and Blocked Persons List.</w:t>
      </w:r>
    </w:p>
    <w:p>
      <w:bookmarkEnd w:id="28"/>
      <w:bookmarkStart w:id="29" w:name="Sec_Chp_061016102247218_061016102247625"/>
    </w:p>
    <w:p>
      <w:pPr>
        <w:pStyle w:val="Heading4"/>
      </w:pPr>
      <w:r>
        <w:t>2.3.1.5 Client Restrictions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Clients may ask that certain investment restrictions be placed on their accounts. It is the policy of KCD to agree to client-imposed investment restrictions only if the clients and KCD are able to agree upon restrictions that are clear and specific so that KCD can avoid charges of non-compliance by the client. The following procedures shall be followed by KCD to establish clear and objective client-imposed restrictions:</w:t>
      </w:r>
    </w:p>
    <w:p>
      <w:pPr>
        <w:numPr>
          <w:ilvl w:val="0"/>
          <w:numId w:val="69"/>
        </w:numPr>
        <w:spacing w:before="200"/>
        <w:ind w:left="720" w:hanging="267"/>
        <w:jc w:val="left"/>
        <w:rPr>
          <w:rFonts w:eastAsia="Arial" w:cs="Arial"/>
          <w:sz w:val="20"/>
          <w:szCs w:val="20"/>
        </w:rPr>
      </w:pPr>
      <w:r>
        <w:rPr>
          <w:rFonts w:eastAsia="Arial" w:cs="Arial"/>
          <w:sz w:val="20"/>
          <w:szCs w:val="20"/>
        </w:rPr>
        <w:t>Where possible, ask client to provide a list of prohibited securities (e.g., Anheuser Busch, etc., instead of a list of types of prohibited securities ("sin stocks," etc.));</w:t>
      </w:r>
    </w:p>
    <w:p>
      <w:pPr>
        <w:numPr>
          <w:ilvl w:val="0"/>
          <w:numId w:val="69"/>
        </w:numPr>
        <w:ind w:left="720" w:hanging="267"/>
        <w:jc w:val="left"/>
        <w:rPr>
          <w:rFonts w:eastAsia="Arial" w:cs="Arial"/>
          <w:sz w:val="20"/>
          <w:szCs w:val="20"/>
        </w:rPr>
      </w:pPr>
      <w:r>
        <w:rPr>
          <w:rFonts w:eastAsia="Arial" w:cs="Arial"/>
          <w:sz w:val="20"/>
          <w:szCs w:val="20"/>
        </w:rPr>
        <w:t>Where client insists on restrictions of types of securities, KCD should demand as much written specificity as possible (e.g., brewing of alcoholic beverage or distribution of liquor, or both);</w:t>
      </w:r>
    </w:p>
    <w:p>
      <w:pPr>
        <w:numPr>
          <w:ilvl w:val="0"/>
          <w:numId w:val="69"/>
        </w:numPr>
        <w:ind w:left="720" w:hanging="267"/>
        <w:jc w:val="left"/>
        <w:rPr>
          <w:rFonts w:eastAsia="Arial" w:cs="Arial"/>
          <w:sz w:val="20"/>
          <w:szCs w:val="20"/>
        </w:rPr>
      </w:pPr>
      <w:r>
        <w:rPr>
          <w:rFonts w:eastAsia="Arial" w:cs="Arial"/>
          <w:sz w:val="20"/>
          <w:szCs w:val="20"/>
        </w:rPr>
        <w:t>Confirm with client whether restriction applies to direct investments only, or indirect investments (such as ETFs) as well;</w:t>
      </w:r>
    </w:p>
    <w:p>
      <w:pPr>
        <w:numPr>
          <w:ilvl w:val="0"/>
          <w:numId w:val="69"/>
        </w:numPr>
        <w:ind w:left="720" w:hanging="267"/>
        <w:jc w:val="left"/>
        <w:rPr>
          <w:rFonts w:eastAsia="Arial" w:cs="Arial"/>
          <w:sz w:val="20"/>
          <w:szCs w:val="20"/>
        </w:rPr>
      </w:pPr>
      <w:r>
        <w:rPr>
          <w:rFonts w:eastAsia="Arial" w:cs="Arial"/>
          <w:sz w:val="20"/>
          <w:szCs w:val="20"/>
        </w:rPr>
        <w:t>Confirm with client whether de minimis prohibited activities by companies are permissible and, if so, what percentage of that company's revenues or profits may be derived from such activity (e.g., up to 10% of revenues may be derived from the sale of alcoholic products);</w:t>
      </w:r>
    </w:p>
    <w:p>
      <w:pPr>
        <w:numPr>
          <w:ilvl w:val="0"/>
          <w:numId w:val="69"/>
        </w:numPr>
        <w:ind w:left="720" w:hanging="267"/>
        <w:jc w:val="left"/>
        <w:rPr>
          <w:rFonts w:eastAsia="Arial" w:cs="Arial"/>
          <w:sz w:val="20"/>
          <w:szCs w:val="20"/>
        </w:rPr>
      </w:pPr>
      <w:r>
        <w:rPr>
          <w:rFonts w:eastAsia="Arial" w:cs="Arial"/>
          <w:sz w:val="20"/>
          <w:szCs w:val="20"/>
        </w:rPr>
        <w:t>Obtain permission from client to allow KCD to utilize a third-party consultant or screening software to determine whether a particular company falls within a prohibited business;</w:t>
      </w:r>
    </w:p>
    <w:p>
      <w:pPr>
        <w:numPr>
          <w:ilvl w:val="0"/>
          <w:numId w:val="69"/>
        </w:numPr>
        <w:ind w:left="720" w:hanging="267"/>
        <w:jc w:val="left"/>
        <w:rPr>
          <w:rFonts w:eastAsia="Arial" w:cs="Arial"/>
          <w:sz w:val="20"/>
          <w:szCs w:val="20"/>
        </w:rPr>
      </w:pPr>
      <w:r>
        <w:rPr>
          <w:rFonts w:eastAsia="Arial" w:cs="Arial"/>
          <w:sz w:val="20"/>
          <w:szCs w:val="20"/>
        </w:rPr>
        <w:t>Include a specific contractual provision in the advisory contract addressing prohibited investments that obligates KCD only to make its best efforts to comply with the client restriction, and, if possible, carve out KCD's obligation to indemnify the client if it invests client assets in prohibited securities; and</w:t>
      </w:r>
    </w:p>
    <w:p>
      <w:pPr>
        <w:numPr>
          <w:ilvl w:val="0"/>
          <w:numId w:val="69"/>
        </w:numPr>
        <w:spacing w:after="200"/>
        <w:ind w:left="720" w:hanging="267"/>
        <w:jc w:val="left"/>
        <w:rPr>
          <w:rFonts w:eastAsia="Arial" w:cs="Arial"/>
          <w:sz w:val="20"/>
          <w:szCs w:val="20"/>
        </w:rPr>
      </w:pPr>
      <w:r>
        <w:rPr>
          <w:rFonts w:eastAsia="Arial" w:cs="Arial"/>
          <w:sz w:val="20"/>
          <w:szCs w:val="20"/>
        </w:rPr>
        <w:t>Distribute a list of the client restrictions to: (a) each portfolio manager managing assets of a client account subject to investment restrictions; and (b) the trading desk (if any). If KCD employs a front-end trading system, program such system to block client trades in the prohibited securities.</w:t>
      </w:r>
    </w:p>
    <w:p>
      <w:bookmarkEnd w:id="29"/>
      <w:bookmarkStart w:id="30" w:name="Sec_Chp_061016102247218_061016102247640"/>
    </w:p>
    <w:p>
      <w:pPr>
        <w:pStyle w:val="Heading3"/>
      </w:pPr>
      <w:bookmarkStart w:id="31" w:name="_Toc256000009"/>
      <w:r>
        <w:t>2.3.2 Investment Advisory Contract</w:t>
      </w:r>
      <w:bookmarkEnd w:id="31"/>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enter into a written investment advisory contract with each of its clients. KCD generally will use its standard Investment Advisory Contract, which will satisfy the requirements set forth in the "Advisory Contract &amp; Fees" chapter of this Compliance Manual. No trading in a new client account or providing any other investment management services to the client is permitted until the CCO verifies that the advisory contract for such client has been executed.</w:t>
      </w:r>
    </w:p>
    <w:p>
      <w:bookmarkEnd w:id="30"/>
      <w:bookmarkStart w:id="32" w:name="Sec_Chp_061016102247218_061016102247656"/>
    </w:p>
    <w:p>
      <w:pPr>
        <w:pStyle w:val="Heading3"/>
      </w:pPr>
      <w:bookmarkStart w:id="33" w:name="_Toc256000010"/>
      <w:r>
        <w:t>2.3.3 Anti-Money Laundering Notice</w:t>
      </w:r>
      <w:bookmarkEnd w:id="33"/>
    </w:p>
    <w:p/>
    <w:p>
      <w:pPr>
        <w:rPr>
          <w:rFonts w:eastAsia="Arial" w:cs="Arial"/>
          <w:sz w:val="16"/>
          <w:szCs w:val="16"/>
        </w:rPr>
      </w:pPr>
    </w:p>
    <w:p>
      <w:pPr>
        <w:pStyle w:val="normal0"/>
        <w:spacing w:after="200"/>
        <w:rPr>
          <w:rFonts w:eastAsia="Arial" w:cs="Arial"/>
          <w:sz w:val="20"/>
          <w:szCs w:val="20"/>
        </w:rPr>
      </w:pPr>
      <w:r>
        <w:rPr>
          <w:rFonts w:eastAsia="Arial" w:cs="Arial"/>
          <w:sz w:val="20"/>
          <w:szCs w:val="20"/>
        </w:rPr>
        <w:t>Commencing January 1, 2028, KCD will provide prospective and existing clients notice of its anti-money laundering program. Such notice may be in the form of posting information about the program on KCD's web site (if it has one) or describing the program in Part 2A of KCD's Form ADV.</w:t>
      </w:r>
    </w:p>
    <w:p>
      <w:bookmarkEnd w:id="32"/>
      <w:bookmarkStart w:id="34" w:name="Sec_Chp_061016102247218_061016102247671"/>
    </w:p>
    <w:p>
      <w:pPr>
        <w:pStyle w:val="Heading3"/>
      </w:pPr>
      <w:bookmarkStart w:id="35" w:name="_Toc256000011"/>
      <w:r>
        <w:t>2.3.4 Privacy Notice</w:t>
      </w:r>
      <w:bookmarkEnd w:id="35"/>
    </w:p>
    <w:p/>
    <w:p>
      <w:pPr>
        <w:rPr>
          <w:rFonts w:eastAsia="Arial" w:cs="Arial"/>
          <w:sz w:val="16"/>
          <w:szCs w:val="16"/>
        </w:rPr>
      </w:pPr>
      <w:r>
        <w:rPr>
          <w:rFonts w:eastAsia="Arial" w:cs="Arial"/>
          <w:sz w:val="16"/>
          <w:szCs w:val="16"/>
        </w:rPr>
        <w:t>[SEC Regulation S-P]</w:t>
      </w:r>
    </w:p>
    <w:p/>
    <w:p>
      <w:pPr>
        <w:pStyle w:val="normal0"/>
        <w:spacing w:after="200"/>
        <w:rPr>
          <w:rFonts w:eastAsia="Arial" w:cs="Arial"/>
          <w:sz w:val="20"/>
          <w:szCs w:val="20"/>
        </w:rPr>
      </w:pPr>
      <w:r>
        <w:rPr>
          <w:rFonts w:eastAsia="Arial" w:cs="Arial"/>
          <w:sz w:val="20"/>
          <w:szCs w:val="20"/>
        </w:rPr>
        <w:t>KCD shall provide a copy of its Privacy Notice to each individual who becomes a client ("customer" under the definition of Regulation S-P) of KCD not later than the establishment of the advisory relationship, unless:</w:t>
      </w:r>
    </w:p>
    <w:p>
      <w:pPr>
        <w:numPr>
          <w:ilvl w:val="0"/>
          <w:numId w:val="70"/>
        </w:numPr>
        <w:spacing w:before="200"/>
        <w:ind w:left="720" w:hanging="192"/>
        <w:jc w:val="left"/>
        <w:rPr>
          <w:rFonts w:eastAsia="Arial" w:cs="Arial"/>
          <w:sz w:val="20"/>
          <w:szCs w:val="20"/>
        </w:rPr>
      </w:pPr>
      <w:r>
        <w:rPr>
          <w:rFonts w:eastAsia="Arial" w:cs="Arial"/>
          <w:sz w:val="20"/>
          <w:szCs w:val="20"/>
        </w:rPr>
        <w:t>establishing the client relationship is not at the client's election, or</w:t>
      </w:r>
    </w:p>
    <w:p>
      <w:pPr>
        <w:numPr>
          <w:ilvl w:val="0"/>
          <w:numId w:val="70"/>
        </w:numPr>
        <w:spacing w:after="200"/>
        <w:ind w:left="720" w:hanging="192"/>
        <w:jc w:val="left"/>
        <w:rPr>
          <w:rFonts w:eastAsia="Arial" w:cs="Arial"/>
          <w:sz w:val="20"/>
          <w:szCs w:val="20"/>
        </w:rPr>
      </w:pPr>
      <w:r>
        <w:rPr>
          <w:rFonts w:eastAsia="Arial" w:cs="Arial"/>
          <w:sz w:val="20"/>
          <w:szCs w:val="20"/>
        </w:rPr>
        <w:t>providing notice at such time would substantially delay the client's transaction and the client agrees to receive the notice at a later time, in either of which cases the Privacy Notice shall be provided within a reasonable time after establishment of the client relationship.</w:t>
      </w:r>
    </w:p>
    <w:p>
      <w:pPr>
        <w:pStyle w:val="normal0"/>
        <w:spacing w:before="200" w:after="200"/>
        <w:rPr>
          <w:rFonts w:eastAsia="Arial" w:cs="Arial"/>
          <w:sz w:val="20"/>
          <w:szCs w:val="20"/>
        </w:rPr>
      </w:pPr>
      <w:r>
        <w:rPr>
          <w:rFonts w:eastAsia="Arial" w:cs="Arial"/>
          <w:sz w:val="20"/>
          <w:szCs w:val="20"/>
        </w:rPr>
        <w:t>The content of the Privacy Notice and other procedures related to the privacy of client information are set forth in the "Existing Clients &amp; Privacy Procedures" chapter of this Compliance Manual.</w:t>
      </w:r>
    </w:p>
    <w:p>
      <w:bookmarkEnd w:id="34"/>
      <w:bookmarkStart w:id="36" w:name="Sec_Chp_061016102247218_061016102247687"/>
    </w:p>
    <w:p>
      <w:pPr>
        <w:pStyle w:val="Heading3"/>
      </w:pPr>
      <w:bookmarkStart w:id="37" w:name="_Toc256000012"/>
      <w:r>
        <w:t>2.3.5 Form ADV Delivery</w:t>
      </w:r>
      <w:bookmarkEnd w:id="37"/>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Director of Operations will deliver or cause to be delivered the Firm's Brochure (Part 2A) and, when appropriate, the applicable Brochure Supplements to a new client at the time he or she executes the Advisory Contract. </w:t>
      </w:r>
    </w:p>
    <w:p>
      <w:pPr>
        <w:pStyle w:val="normal0"/>
        <w:spacing w:before="200" w:after="200"/>
        <w:rPr>
          <w:rFonts w:eastAsia="Arial" w:cs="Arial"/>
          <w:sz w:val="20"/>
          <w:szCs w:val="20"/>
        </w:rPr>
      </w:pPr>
      <w:r>
        <w:rPr>
          <w:rFonts w:eastAsia="Arial" w:cs="Arial"/>
          <w:sz w:val="20"/>
          <w:szCs w:val="20"/>
        </w:rPr>
        <w:t>The new client shall receive the Brochure Supplement of each investment personnel who, with respect to such new client, will:</w:t>
      </w:r>
    </w:p>
    <w:p>
      <w:pPr>
        <w:numPr>
          <w:ilvl w:val="0"/>
          <w:numId w:val="71"/>
        </w:numPr>
        <w:spacing w:before="200"/>
        <w:ind w:left="720" w:hanging="192"/>
        <w:jc w:val="left"/>
        <w:rPr>
          <w:rFonts w:eastAsia="Arial" w:cs="Arial"/>
          <w:sz w:val="20"/>
          <w:szCs w:val="20"/>
        </w:rPr>
      </w:pPr>
      <w:r>
        <w:rPr>
          <w:rFonts w:eastAsia="Arial" w:cs="Arial"/>
          <w:sz w:val="20"/>
          <w:szCs w:val="20"/>
        </w:rPr>
        <w:t>formulate investment advice for the new client and has direct client contact; or</w:t>
      </w:r>
    </w:p>
    <w:p>
      <w:pPr>
        <w:numPr>
          <w:ilvl w:val="0"/>
          <w:numId w:val="71"/>
        </w:numPr>
        <w:spacing w:after="200"/>
        <w:ind w:left="720" w:hanging="192"/>
        <w:jc w:val="left"/>
        <w:rPr>
          <w:rFonts w:eastAsia="Arial" w:cs="Arial"/>
          <w:sz w:val="20"/>
          <w:szCs w:val="20"/>
        </w:rPr>
      </w:pPr>
      <w:r>
        <w:rPr>
          <w:rFonts w:eastAsia="Arial" w:cs="Arial"/>
          <w:sz w:val="20"/>
          <w:szCs w:val="20"/>
        </w:rPr>
        <w:t>make discretionary investment decisions for the new client's assets, even if such person does not have direct client contact.</w:t>
      </w:r>
    </w:p>
    <w:p>
      <w:pPr>
        <w:pStyle w:val="normal0"/>
        <w:spacing w:before="200" w:after="200"/>
        <w:rPr>
          <w:rFonts w:eastAsia="Arial" w:cs="Arial"/>
          <w:sz w:val="20"/>
          <w:szCs w:val="20"/>
        </w:rPr>
      </w:pPr>
      <w:r>
        <w:rPr>
          <w:rFonts w:eastAsia="Arial" w:cs="Arial"/>
          <w:sz w:val="20"/>
          <w:szCs w:val="20"/>
        </w:rPr>
        <w:t>The Director of Operations will not deliver a Firm Brochure or any Brochure Supplement to the following types of new clients:</w:t>
      </w:r>
    </w:p>
    <w:p>
      <w:pPr>
        <w:numPr>
          <w:ilvl w:val="0"/>
          <w:numId w:val="72"/>
        </w:numPr>
        <w:spacing w:before="200"/>
        <w:ind w:left="720" w:hanging="192"/>
        <w:jc w:val="left"/>
        <w:rPr>
          <w:rFonts w:eastAsia="Arial" w:cs="Arial"/>
          <w:sz w:val="20"/>
          <w:szCs w:val="20"/>
        </w:rPr>
      </w:pPr>
      <w:r>
        <w:rPr>
          <w:rFonts w:eastAsia="Arial" w:cs="Arial"/>
          <w:sz w:val="20"/>
          <w:szCs w:val="20"/>
        </w:rPr>
        <w:t>registered investment companies and business development companies;</w:t>
      </w:r>
    </w:p>
    <w:p>
      <w:pPr>
        <w:numPr>
          <w:ilvl w:val="0"/>
          <w:numId w:val="72"/>
        </w:numPr>
        <w:ind w:left="720" w:hanging="192"/>
        <w:jc w:val="left"/>
        <w:rPr>
          <w:rFonts w:eastAsia="Arial" w:cs="Arial"/>
          <w:sz w:val="20"/>
          <w:szCs w:val="20"/>
        </w:rPr>
      </w:pPr>
      <w:r>
        <w:rPr>
          <w:rFonts w:eastAsia="Arial" w:cs="Arial"/>
          <w:sz w:val="20"/>
          <w:szCs w:val="20"/>
        </w:rPr>
        <w:t>clients who receive only impersonal investment advice; and</w:t>
      </w:r>
    </w:p>
    <w:p>
      <w:pPr>
        <w:numPr>
          <w:ilvl w:val="0"/>
          <w:numId w:val="72"/>
        </w:numPr>
        <w:spacing w:after="200"/>
        <w:ind w:left="720" w:hanging="192"/>
        <w:jc w:val="left"/>
        <w:rPr>
          <w:rFonts w:eastAsia="Arial" w:cs="Arial"/>
          <w:sz w:val="20"/>
          <w:szCs w:val="20"/>
        </w:rPr>
      </w:pPr>
      <w:r>
        <w:rPr>
          <w:rFonts w:eastAsia="Arial" w:cs="Arial"/>
          <w:sz w:val="20"/>
          <w:szCs w:val="20"/>
        </w:rPr>
        <w:t xml:space="preserve">"Qualified Clients," as defined herein. </w:t>
      </w:r>
    </w:p>
    <w:p>
      <w:pPr>
        <w:pStyle w:val="normal0"/>
        <w:spacing w:before="200" w:after="200"/>
        <w:rPr>
          <w:rFonts w:eastAsia="Arial" w:cs="Arial"/>
          <w:sz w:val="20"/>
          <w:szCs w:val="20"/>
        </w:rPr>
      </w:pPr>
      <w:r>
        <w:rPr>
          <w:rFonts w:eastAsia="Arial" w:cs="Arial"/>
          <w:sz w:val="20"/>
          <w:szCs w:val="20"/>
        </w:rPr>
        <w:t>The following persons are "Qualified Clients" for purposes of the Brochure and Brochure Supplement delivery requirements:</w:t>
      </w:r>
    </w:p>
    <w:p>
      <w:pPr>
        <w:numPr>
          <w:ilvl w:val="0"/>
          <w:numId w:val="73"/>
        </w:numPr>
        <w:spacing w:before="200"/>
        <w:ind w:left="720" w:hanging="192"/>
        <w:jc w:val="left"/>
        <w:rPr>
          <w:rFonts w:eastAsia="Arial" w:cs="Arial"/>
          <w:sz w:val="20"/>
          <w:szCs w:val="20"/>
        </w:rPr>
      </w:pPr>
      <w:r>
        <w:rPr>
          <w:rFonts w:eastAsia="Arial" w:cs="Arial"/>
          <w:sz w:val="20"/>
          <w:szCs w:val="20"/>
        </w:rPr>
        <w:t>any executive officers, directors, trustees, general partners, or persons serving in a similar capacity, of KCD; and</w:t>
      </w:r>
    </w:p>
    <w:p>
      <w:pPr>
        <w:numPr>
          <w:ilvl w:val="0"/>
          <w:numId w:val="73"/>
        </w:numPr>
        <w:spacing w:after="200"/>
        <w:ind w:left="720" w:hanging="192"/>
        <w:jc w:val="left"/>
        <w:rPr>
          <w:rFonts w:eastAsia="Arial" w:cs="Arial"/>
          <w:sz w:val="20"/>
          <w:szCs w:val="20"/>
        </w:rPr>
      </w:pPr>
      <w:r>
        <w:rPr>
          <w:rFonts w:eastAsia="Arial" w:cs="Arial"/>
          <w:sz w:val="20"/>
          <w:szCs w:val="20"/>
        </w:rPr>
        <w:t>any employees of KCD (other than employees performing solely clerical, secretarial or administrative functions) who, in connection with their regular functions or duties, participate in the investment activities of KCD and have been performing such functions or duties for at least 12 months.</w:t>
      </w:r>
    </w:p>
    <w:p>
      <w:pPr>
        <w:pStyle w:val="normal0"/>
        <w:spacing w:before="200" w:after="200"/>
        <w:rPr>
          <w:rFonts w:eastAsia="Arial" w:cs="Arial"/>
          <w:sz w:val="20"/>
          <w:szCs w:val="20"/>
        </w:rPr>
      </w:pPr>
      <w:r>
        <w:rPr>
          <w:rFonts w:eastAsia="Arial" w:cs="Arial"/>
          <w:sz w:val="20"/>
          <w:szCs w:val="20"/>
        </w:rPr>
        <w:t>If investment advice is provided by a team (i.e., two or more investment personnel) at KCD, a new client shall receive:</w:t>
      </w:r>
    </w:p>
    <w:p>
      <w:pPr>
        <w:numPr>
          <w:ilvl w:val="0"/>
          <w:numId w:val="74"/>
        </w:numPr>
        <w:spacing w:before="200"/>
        <w:ind w:left="720" w:hanging="192"/>
        <w:jc w:val="left"/>
        <w:rPr>
          <w:rFonts w:eastAsia="Arial" w:cs="Arial"/>
          <w:sz w:val="20"/>
          <w:szCs w:val="20"/>
        </w:rPr>
      </w:pPr>
      <w:r>
        <w:rPr>
          <w:rFonts w:eastAsia="Arial" w:cs="Arial"/>
          <w:sz w:val="20"/>
          <w:szCs w:val="20"/>
        </w:rPr>
        <w:t>a Brochure Supplement for each team member of the team which consists of from two to five investment advisory personnel; or</w:t>
      </w:r>
    </w:p>
    <w:p>
      <w:pPr>
        <w:numPr>
          <w:ilvl w:val="0"/>
          <w:numId w:val="74"/>
        </w:numPr>
        <w:spacing w:after="200"/>
        <w:ind w:left="720" w:hanging="192"/>
        <w:jc w:val="left"/>
        <w:rPr>
          <w:rFonts w:eastAsia="Arial" w:cs="Arial"/>
          <w:sz w:val="20"/>
          <w:szCs w:val="20"/>
        </w:rPr>
      </w:pPr>
      <w:r>
        <w:rPr>
          <w:rFonts w:eastAsia="Arial" w:cs="Arial"/>
          <w:sz w:val="20"/>
          <w:szCs w:val="20"/>
        </w:rPr>
        <w:t>a Brochure Supplement of each five investment personnel who will have the most significant responsibility for the day-to-day advice provided to the new client if the team has more than five investment advisory personnel.</w:t>
      </w:r>
    </w:p>
    <w:p>
      <w:bookmarkEnd w:id="36"/>
      <w:bookmarkStart w:id="38" w:name="Sec_Chp_061016102247218_0610161022477183"/>
    </w:p>
    <w:p>
      <w:pPr>
        <w:pStyle w:val="Heading3"/>
      </w:pPr>
      <w:bookmarkStart w:id="39" w:name="_Toc256000013"/>
      <w:r>
        <w:t>2.3.6 Relationship Summary (Form CRS) Initial Delivery</w:t>
      </w:r>
      <w:bookmarkEnd w:id="39"/>
    </w:p>
    <w:p/>
    <w:p>
      <w:pPr>
        <w:rPr>
          <w:rFonts w:eastAsia="Arial" w:cs="Arial"/>
          <w:sz w:val="16"/>
          <w:szCs w:val="16"/>
        </w:rPr>
      </w:pPr>
    </w:p>
    <w:p>
      <w:pPr>
        <w:spacing w:after="200"/>
        <w:rPr>
          <w:rFonts w:eastAsia="Arial" w:cs="Arial"/>
          <w:sz w:val="20"/>
          <w:szCs w:val="20"/>
        </w:rPr>
      </w:pPr>
      <w:r>
        <w:rPr>
          <w:rFonts w:eastAsia="Arial" w:cs="Arial"/>
          <w:sz w:val="20"/>
          <w:szCs w:val="20"/>
        </w:rPr>
        <w:t xml:space="preserve">KCD will deliver to each new retail client its current Relationship Summary (Form CRS) that meets the requirements set forth in the chapter </w:t>
      </w:r>
      <w:r>
        <w:rPr>
          <w:rFonts w:eastAsia="Arial" w:cs="Arial"/>
          <w:i/>
          <w:iCs/>
          <w:sz w:val="20"/>
          <w:szCs w:val="20"/>
        </w:rPr>
        <w:t>REGISTRATION AND FILINGS</w:t>
      </w:r>
      <w:r>
        <w:rPr>
          <w:rFonts w:eastAsia="Arial" w:cs="Arial"/>
          <w:sz w:val="20"/>
          <w:szCs w:val="20"/>
        </w:rPr>
        <w:t xml:space="preserve"> of this Compliance Manual before or at the time KCD enters into an investment advisory contract with such retail client. See </w:t>
      </w:r>
      <w:r>
        <w:rPr>
          <w:rFonts w:eastAsia="Arial" w:cs="Arial"/>
          <w:i/>
          <w:iCs/>
          <w:sz w:val="20"/>
          <w:szCs w:val="20"/>
        </w:rPr>
        <w:t>Relationship Summary Delivery and Posting</w:t>
      </w:r>
      <w:r>
        <w:rPr>
          <w:rFonts w:eastAsia="Arial" w:cs="Arial"/>
          <w:sz w:val="20"/>
          <w:szCs w:val="20"/>
        </w:rPr>
        <w:t xml:space="preserve"> in the </w:t>
      </w:r>
      <w:r>
        <w:rPr>
          <w:rFonts w:eastAsia="Arial" w:cs="Arial"/>
          <w:i/>
          <w:iCs/>
          <w:sz w:val="20"/>
          <w:szCs w:val="20"/>
        </w:rPr>
        <w:t>REGISTRATION AND FILINGS</w:t>
      </w:r>
      <w:r>
        <w:rPr>
          <w:rFonts w:eastAsia="Arial" w:cs="Arial"/>
          <w:sz w:val="20"/>
          <w:szCs w:val="20"/>
        </w:rPr>
        <w:t xml:space="preserve"> chapter of this Compliance Manual for initial client delivery requirements.</w:t>
      </w:r>
    </w:p>
    <w:p>
      <w:bookmarkEnd w:id="38"/>
      <w:bookmarkStart w:id="40" w:name="Sec_Chp_061016102247218_061016102247718"/>
    </w:p>
    <w:p>
      <w:pPr>
        <w:pStyle w:val="Heading3"/>
      </w:pPr>
      <w:bookmarkStart w:id="41" w:name="_Toc256000014"/>
      <w:r>
        <w:t>2.3.7 Approval and Delivery of Client Account Forms</w:t>
      </w:r>
      <w:bookmarkEnd w:id="41"/>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Each new Client Account Opening Form and related forms must be approved by the Director of Operations before a client's account is opened with KCD and the broker-dealer or other financial institution that maintains client's securities account. Such approval shall be granted only if the Director of Operations confirms that all essential facts regarding the client and the nature of the client are true and correct to the best of his or her knowledge. </w:t>
      </w:r>
    </w:p>
    <w:p>
      <w:pPr>
        <w:pStyle w:val="normal0"/>
        <w:spacing w:before="200" w:after="200"/>
        <w:rPr>
          <w:rFonts w:eastAsia="Arial" w:cs="Arial"/>
          <w:sz w:val="20"/>
          <w:szCs w:val="20"/>
        </w:rPr>
      </w:pPr>
      <w:r>
        <w:rPr>
          <w:rFonts w:eastAsia="Arial" w:cs="Arial"/>
          <w:sz w:val="20"/>
          <w:szCs w:val="20"/>
        </w:rPr>
        <w:t xml:space="preserve">After a new client has completed the Client Account Opening Form, Brokerage Account Application and executed an Investment Advisory Contract with KCD, the Director of Operations will transmit the Brokerage Account Application to the broker-dealer or other financial institution that maintains client's securities account and take the steps required by the financial institution to open an account in the name of the new client. </w:t>
      </w:r>
    </w:p>
    <w:p>
      <w:bookmarkEnd w:id="40"/>
      <w:bookmarkStart w:id="42" w:name="Sec_Chp_061016102247218_061016102247750"/>
    </w:p>
    <w:p>
      <w:pPr>
        <w:pStyle w:val="Heading3"/>
      </w:pPr>
      <w:bookmarkStart w:id="43" w:name="_Toc256000015"/>
      <w:r>
        <w:t>2.3.8 Funding Account</w:t>
      </w:r>
      <w:bookmarkEnd w:id="43"/>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opening an account, no employee of KCD shall accept cash from the client or a check made out to KCD for investment or other purposes. When processing investments, the Director of Operations shall carefully review any checks, cashier checks, money orders, and draft checks. The Director of Operations shall not permit KCD to accept third party checks or traveler's checks. </w:t>
      </w:r>
    </w:p>
    <w:p>
      <w:pPr>
        <w:rPr>
          <w:rFonts w:ascii="Times New Roman" w:eastAsia="Times New Roman" w:hAnsi="Times New Roman" w:cs="Times New Roman"/>
          <w:sz w:val="24"/>
        </w:rPr>
      </w:pPr>
      <w:bookmarkEnd w:id="42"/>
      <w:bookmarkStart w:id="44" w:name="Sec_Chp_061016102247218_0610161022477501"/>
    </w:p>
    <w:p>
      <w:pPr>
        <w:rPr>
          <w:rFonts w:eastAsia="Arial" w:cs="Arial"/>
          <w:sz w:val="16"/>
          <w:szCs w:val="16"/>
        </w:rPr>
      </w:pPr>
    </w:p>
    <w:p>
      <w:pPr>
        <w:pStyle w:val="normal0"/>
        <w:spacing w:after="200"/>
        <w:rPr>
          <w:rFonts w:eastAsia="Arial" w:cs="Arial"/>
          <w:sz w:val="20"/>
          <w:szCs w:val="20"/>
        </w:rPr>
      </w:pPr>
      <w:r>
        <w:rPr>
          <w:rFonts w:eastAsia="Arial" w:cs="Arial"/>
          <w:sz w:val="20"/>
          <w:szCs w:val="20"/>
        </w:rPr>
        <w:t>KCD requires each new client to invest at least the following amount with KCD (unless a lesser amount is approved by senior management of KCD): $25,000.00.</w:t>
      </w:r>
    </w:p>
    <w:p>
      <w:bookmarkEnd w:id="44"/>
      <w:bookmarkStart w:id="45" w:name="Sec_Chp_061016102247218_061016102247781"/>
    </w:p>
    <w:p>
      <w:pPr>
        <w:pStyle w:val="Heading3"/>
      </w:pPr>
      <w:bookmarkStart w:id="46" w:name="_Toc256000016"/>
      <w:r>
        <w:t>2.3.9 Updating Client Files</w:t>
      </w:r>
      <w:bookmarkEnd w:id="46"/>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Director of Operations shall update client files periodically and/or when there are material changes. Client files will be reviewed on a regular basis to ensure consistency and completeness.</w:t>
      </w:r>
    </w:p>
    <w:p>
      <w:bookmarkEnd w:id="45"/>
      <w:bookmarkStart w:id="47" w:name="Sec_Chp_061016102247218_061016102247796"/>
    </w:p>
    <w:p>
      <w:pPr>
        <w:pStyle w:val="Heading3"/>
      </w:pPr>
      <w:bookmarkStart w:id="48" w:name="_Toc256000017"/>
      <w:r>
        <w:t>2.3.10 Detecting and Preventing Money Laundering</w:t>
      </w:r>
      <w:bookmarkEnd w:id="48"/>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With the exception of certain OFAC and currency reporting rules, these procedures are not required to be adopted and implemented until FinCEN adopts proposed AML rules and those rules become effective at their compliance dates. Therefore, investment advisers to date are not required to implement AML procedures. Recently, the SEC brought an enforcement action against an investment adviser firm for holding itself out as having implemented an AML due diligence program when in fact it had no AML program. In that case, the SEC found that the adviser did not always conduct the AML due diligence described in disclosure documents. The SEC noted that there were red flags with respect to money laundering activities and the adviser did not conduct the enhanced AML due diligence it represented it would. Therefore, KCD will not make any representations regarding AML procedures if in fact it is not engaging in AML due diligence of new and existing clients.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On May 13, 2024, the Department of the Treasury and the SEC jointly issued a proposed rulemaking implementing section 326 of the Uniting and Strengthening America by Providing Appropriate Tools Required to Intercept and Obstruct Terrorism Act of 2001 with regard to certain investment advisers. The SEC issued a release proposing the regulations. See Financial Crimes Enforcement Network, RIN 3235-AN 34 (May 13, 2024). If, as proposed in a separate rulemaking, certain investment advisers are included in the definition of "financial institution" under the Bank Secrecy Act, section 326 will require the Secretary of the Treasury and the SEC to jointly prescribe a regulation that, among other things, requires investment advisers to implement reasonable procedures to verify the identities of their customers.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Among the requirements, the new rules would require an investment adviser to have identification verification procedures, maintain records associated with such verification, and require advisers to consult lists of known terrorists and terrorist groups.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new rules would be adopted under the Bank Secrecy Act, not the Investment Advisers Act of 1940.</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On July 21, 2025, FinCEN postponed the compliance date of its AML rule until January 1, 2028, which previously was January 1, 2026. FinCEN will use this extended period to revisit the scope and substance of the rule through a future rulemaking process. It stated that it plans to reexamine the proposed AML rule in an effort to tailor the rule to the diverse business models and risk profiles within the investment adviser industry. FinCEN also plans to reexamine the proposed rule regarding customer identification program (CIP) requirements for investment advisers.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Recently, the SEC settled charges against Navy Capital Green Management, LLC, an SEC-registered investment adviser, with making misrepresentations related to its anti-money laundering (AML) procedures and for compliance failures. </w:t>
            </w:r>
            <w:r>
              <w:rPr>
                <w:rFonts w:eastAsia="Arial" w:cs="Arial"/>
                <w:b w:val="0"/>
                <w:bCs w:val="0"/>
                <w:i/>
                <w:iCs/>
                <w:smallCaps w:val="0"/>
                <w:color w:val="000000"/>
                <w:sz w:val="20"/>
              </w:rPr>
              <w:t>See Navy Capital Green Management, LLC, Investment Advisers Act Rel. No. 6833 (January 14, 2025).</w:t>
            </w:r>
            <w:r>
              <w:rPr>
                <w:rFonts w:eastAsia="Arial" w:cs="Arial"/>
                <w:b w:val="0"/>
                <w:bCs w:val="0"/>
                <w:i w:val="0"/>
                <w:iCs w:val="0"/>
                <w:smallCaps w:val="0"/>
                <w:color w:val="000000"/>
                <w:sz w:val="20"/>
              </w:rPr>
              <w:t xml:space="preserve"> According to the SEC, the investment adviser stated in its disclosure documents provided to clients and investors that the company was voluntarily complying with AML requirements, although those laws did not specifically apply to investment advisers. For example, the investment adviser stated that it performed specific AML due diligence reviews in relation to prospective investors and had ongoing monitoring of existing investors. The SEC found that these statements were not accurate. As a result, among other things, the SEC ordered the investment adviser to pay $150,000 in civil money penalties.</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While the PATRIOT Act does not currently apply to KCD, it is KCD's policy to strictly prohibit its employees and any person associated with it from engaging in or assisting in the laundering of money or any activity associated with the funding of terrorist or other illegal activities. KCD is firmly committed to complying with economic sanctions imposed by the U.S. government, including OFAC, and reporting and assisting in the prosecution of any persons who participate in, assist others, or have any knowledge whatsoever of any money laundering or terrorist funding activities. If and when FinCEN adopts a final AML rule, KCD fully intends to comply with such rules including by establishing and maintaining an AML program that establishes and implements policies, procedures, and internal controls reasonably designed to prevent KCD from being used for money laundering or the financing of terrorist activities.</w:t>
      </w:r>
    </w:p>
    <w:p>
      <w:pPr>
        <w:pStyle w:val="normal0"/>
        <w:spacing w:before="200" w:after="200"/>
        <w:rPr>
          <w:rFonts w:eastAsia="Arial" w:cs="Arial"/>
          <w:sz w:val="20"/>
          <w:szCs w:val="20"/>
        </w:rPr>
      </w:pPr>
      <w:r>
        <w:rPr>
          <w:rFonts w:eastAsia="Arial" w:cs="Arial"/>
          <w:sz w:val="20"/>
          <w:szCs w:val="20"/>
        </w:rPr>
        <w:t>Irrespective of the status of the FinCEN AML rule, KCD is strongly committed to preventing the use of its operations for money laundering or any activity that facilitates money laundering or the funding of terrorist or criminal activities. Accordingly, KCD will cooperate with the appropriate authorities in efforts to prevent any such misuse of the securities markets. Every employee is required to act in furtherance of this policy statement to protect KCD from exploitation by money launderers or terrorists.</w:t>
      </w:r>
    </w:p>
    <w:p>
      <w:bookmarkEnd w:id="47"/>
      <w:bookmarkStart w:id="49" w:name="Sec_Chp_061016102247218_061016102248000"/>
    </w:p>
    <w:p>
      <w:pPr>
        <w:pStyle w:val="Heading2"/>
      </w:pPr>
      <w:bookmarkStart w:id="50" w:name="_Toc256000018"/>
      <w:r>
        <w:t>2.4 Form ADV Disclosure</w:t>
      </w:r>
      <w:bookmarkEnd w:id="50"/>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make sure that material information about minimum dollar amount requirements (if any) and other client intake procedures are disclosed in its Brochure (Part 2A).</w:t>
      </w:r>
    </w:p>
    <w:p>
      <w:bookmarkEnd w:id="49"/>
      <w:bookmarkStart w:id="51" w:name="Sec_Chp_061016102247218_061016102248015"/>
    </w:p>
    <w:p>
      <w:pPr>
        <w:pStyle w:val="Heading2"/>
      </w:pPr>
      <w:bookmarkStart w:id="52" w:name="_Toc256000019"/>
      <w:r>
        <w:t>2.5 Books and Records</w:t>
      </w:r>
      <w:bookmarkEnd w:id="52"/>
    </w:p>
    <w:p/>
    <w:p>
      <w:pPr>
        <w:rPr>
          <w:rFonts w:eastAsia="Arial" w:cs="Arial"/>
          <w:sz w:val="16"/>
          <w:szCs w:val="16"/>
        </w:rPr>
      </w:pPr>
      <w:r>
        <w:rPr>
          <w:rFonts w:eastAsia="Arial" w:cs="Arial"/>
          <w:sz w:val="16"/>
          <w:szCs w:val="16"/>
        </w:rPr>
        <w:t>[Investment Advisers Act of 1940 Rule 204-2(a)(14) and 204-3]</w:t>
      </w:r>
    </w:p>
    <w:p/>
    <w:p>
      <w:pPr>
        <w:pStyle w:val="normal0"/>
        <w:spacing w:after="200"/>
        <w:rPr>
          <w:rFonts w:eastAsia="Arial" w:cs="Arial"/>
          <w:sz w:val="20"/>
          <w:szCs w:val="20"/>
        </w:rPr>
      </w:pPr>
      <w:r>
        <w:rPr>
          <w:rFonts w:eastAsia="Arial" w:cs="Arial"/>
          <w:sz w:val="20"/>
          <w:szCs w:val="20"/>
        </w:rPr>
        <w:t>KCD shall maintain the following records related to its anti-money laundering program (if in fact KCD elects to maintain such a program):</w:t>
      </w:r>
    </w:p>
    <w:p>
      <w:pPr>
        <w:numPr>
          <w:ilvl w:val="0"/>
          <w:numId w:val="75"/>
        </w:numPr>
        <w:spacing w:before="200"/>
        <w:ind w:left="720" w:hanging="192"/>
        <w:jc w:val="left"/>
        <w:rPr>
          <w:rFonts w:eastAsia="Arial" w:cs="Arial"/>
          <w:sz w:val="20"/>
          <w:szCs w:val="20"/>
        </w:rPr>
      </w:pPr>
      <w:r>
        <w:rPr>
          <w:rFonts w:eastAsia="Arial" w:cs="Arial"/>
          <w:sz w:val="20"/>
          <w:szCs w:val="20"/>
        </w:rPr>
        <w:t>Wire transfer logs;</w:t>
      </w:r>
    </w:p>
    <w:p>
      <w:pPr>
        <w:numPr>
          <w:ilvl w:val="0"/>
          <w:numId w:val="75"/>
        </w:numPr>
        <w:ind w:left="720" w:hanging="192"/>
        <w:jc w:val="left"/>
        <w:rPr>
          <w:rFonts w:eastAsia="Arial" w:cs="Arial"/>
          <w:sz w:val="20"/>
          <w:szCs w:val="20"/>
        </w:rPr>
      </w:pPr>
      <w:r>
        <w:rPr>
          <w:rFonts w:eastAsia="Arial" w:cs="Arial"/>
          <w:sz w:val="20"/>
          <w:szCs w:val="20"/>
        </w:rPr>
        <w:t>A description of any document that was relied on to identify a client, noting the type of document, any identification number contained in the document, the place of issuance, and if any, the date of issuance and expiration date;</w:t>
      </w:r>
    </w:p>
    <w:p>
      <w:pPr>
        <w:numPr>
          <w:ilvl w:val="0"/>
          <w:numId w:val="75"/>
        </w:numPr>
        <w:ind w:left="720" w:hanging="192"/>
        <w:jc w:val="left"/>
        <w:rPr>
          <w:rFonts w:eastAsia="Arial" w:cs="Arial"/>
          <w:sz w:val="20"/>
          <w:szCs w:val="20"/>
        </w:rPr>
      </w:pPr>
      <w:r>
        <w:rPr>
          <w:rFonts w:eastAsia="Arial" w:cs="Arial"/>
          <w:sz w:val="20"/>
          <w:szCs w:val="20"/>
        </w:rPr>
        <w:t>A description of the methods and the results of any measures undertaken to verify the identity of a client; and</w:t>
      </w:r>
    </w:p>
    <w:p>
      <w:pPr>
        <w:numPr>
          <w:ilvl w:val="0"/>
          <w:numId w:val="75"/>
        </w:numPr>
        <w:spacing w:after="200"/>
        <w:ind w:left="720" w:hanging="192"/>
        <w:jc w:val="left"/>
        <w:rPr>
          <w:rFonts w:eastAsia="Arial" w:cs="Arial"/>
          <w:sz w:val="20"/>
          <w:szCs w:val="20"/>
        </w:rPr>
      </w:pPr>
      <w:r>
        <w:rPr>
          <w:rFonts w:eastAsia="Arial" w:cs="Arial"/>
          <w:sz w:val="20"/>
          <w:szCs w:val="20"/>
        </w:rPr>
        <w:t>A description of the resolution of any substantive discrepancy discovered when verifying the identifying information obtained.</w:t>
      </w:r>
    </w:p>
    <w:p>
      <w:pPr>
        <w:pStyle w:val="normal0"/>
        <w:spacing w:before="200" w:after="200"/>
        <w:rPr>
          <w:rFonts w:eastAsia="Arial" w:cs="Arial"/>
          <w:sz w:val="20"/>
          <w:szCs w:val="20"/>
        </w:rPr>
      </w:pPr>
      <w:r>
        <w:rPr>
          <w:rFonts w:eastAsia="Arial" w:cs="Arial"/>
          <w:sz w:val="20"/>
          <w:szCs w:val="20"/>
        </w:rPr>
        <w:t>KCD shall maintain a copy of the Brochure and Brochure Supplement and each amendment or revision thereof, given or sent to any client or prospective client of KCD in accordance with the provisions of Rule 204-3 under the Investment Advisers Act of 1940 (Rule 204-2(a)(14)).</w:t>
      </w:r>
    </w:p>
    <w:p>
      <w:pPr>
        <w:rPr>
          <w:rFonts w:ascii="Times New Roman" w:eastAsia="Times New Roman" w:hAnsi="Times New Roman" w:cs="Times New Roman"/>
          <w:sz w:val="24"/>
        </w:rPr>
      </w:pPr>
      <w:bookmarkEnd w:id="51"/>
    </w:p>
    <w:p>
      <w:r>
        <w:rPr>
          <w:rFonts w:ascii="Times New Roman" w:eastAsia="Times New Roman" w:hAnsi="Times New Roman" w:cs="Times New Roman"/>
          <w:sz w:val="24"/>
        </w:rPr>
        <w:br w:type="page"/>
      </w:r>
    </w:p>
    <w:p>
      <w:pPr>
        <w:pStyle w:val="Heading1"/>
      </w:pPr>
      <w:bookmarkStart w:id="53" w:name="_Toc256000020"/>
      <w:r>
        <w:t>3 EXISTING CLIENTS AND PRIVACY PROCEDURES</w:t>
      </w:r>
      <w:bookmarkEnd w:id="53"/>
    </w:p>
    <w:p>
      <w:bookmarkStart w:id="54" w:name="Sec_Chp_061016102248171_061016102248218"/>
    </w:p>
    <w:p>
      <w:pPr>
        <w:pStyle w:val="Heading2"/>
      </w:pPr>
      <w:bookmarkStart w:id="55" w:name="_Toc256000021"/>
      <w:r>
        <w:t>Introduction</w:t>
      </w:r>
      <w:bookmarkEnd w:id="55"/>
    </w:p>
    <w:p/>
    <w:p>
      <w:pPr>
        <w:rPr>
          <w:rFonts w:eastAsia="Arial" w:cs="Arial"/>
          <w:sz w:val="16"/>
          <w:szCs w:val="16"/>
        </w:rPr>
      </w:pPr>
      <w:r>
        <w:rPr>
          <w:rFonts w:eastAsia="Arial" w:cs="Arial"/>
          <w:sz w:val="16"/>
          <w:szCs w:val="16"/>
        </w:rPr>
        <w:t>[Gramm-Leach-Bliley Act; SEC Regulation S-P; Investment Advisers Act of 1940 Rule 204-3]</w:t>
      </w:r>
    </w:p>
    <w:p/>
    <w:p>
      <w:pPr>
        <w:pStyle w:val="normal0"/>
        <w:spacing w:after="200"/>
        <w:rPr>
          <w:rFonts w:eastAsia="Arial" w:cs="Arial"/>
          <w:sz w:val="20"/>
          <w:szCs w:val="20"/>
        </w:rPr>
      </w:pPr>
      <w:r>
        <w:rPr>
          <w:rFonts w:eastAsia="Arial" w:cs="Arial"/>
          <w:sz w:val="20"/>
          <w:szCs w:val="20"/>
        </w:rPr>
        <w:t>An obvious responsibility of an investment adviser is to manage the assets that the client entrusts with the investment adviser. A less obvious responsibility, but equally as important, is to provide quality administrative or "back office" services to clients. Clients desire information about the performance of their accounts. Thus, an investment adviser should transmit periodic statements to the client covering account activity over a specified period and value of the account at a specified time.</w:t>
      </w:r>
    </w:p>
    <w:p>
      <w:pPr>
        <w:pStyle w:val="normal0"/>
        <w:spacing w:before="200" w:after="200"/>
        <w:rPr>
          <w:rFonts w:eastAsia="Arial" w:cs="Arial"/>
          <w:sz w:val="20"/>
          <w:szCs w:val="20"/>
        </w:rPr>
      </w:pPr>
      <w:r>
        <w:rPr>
          <w:rFonts w:eastAsia="Arial" w:cs="Arial"/>
          <w:sz w:val="20"/>
          <w:szCs w:val="20"/>
        </w:rPr>
        <w:t>Rule 204-3 under the Investment Advisers Act of 1940 imposes disclosure delivery obligations on investment advisers. Each year, an investment adviser must deliver to each existing client, or offer to deliver, Part II of its Form ADV.</w:t>
      </w:r>
    </w:p>
    <w:p>
      <w:pPr>
        <w:pStyle w:val="normal0"/>
        <w:spacing w:before="200" w:after="200"/>
        <w:rPr>
          <w:rFonts w:eastAsia="Arial" w:cs="Arial"/>
          <w:sz w:val="20"/>
          <w:szCs w:val="20"/>
        </w:rPr>
      </w:pPr>
      <w:r>
        <w:rPr>
          <w:rFonts w:eastAsia="Arial" w:cs="Arial"/>
          <w:sz w:val="20"/>
          <w:szCs w:val="20"/>
        </w:rPr>
        <w:t>Client information in the possession of an investment adviser is governed by federal law and, in some cases state law. The Gramm-Leach-Bliley Act (GLB) and Regulation S-P require financial institutions, including investment advisers, to provide a notice to each customer that describes the investment adviser's policies and practices regarding the disclosure to third parties of nonpublic personal information. In general, the privacy notice must describe an investment adviser's policies and practices with respect to disclosing nonpublic personal information about a client to both affiliated and nonaffiliated third parties and provide a client a reasonable opportunity to opt out of the sharing of nonpublic personal information about the client with nonaffiliated third parties. As part of its privacy notice, the privacy rule requires an investment adviser to include specific items of information, such as the categories of nonpublic personal information that the investment adviser collects and the categories of third parties to which the investment adviser may disclose the information.</w:t>
      </w:r>
    </w:p>
    <w:p>
      <w:pPr>
        <w:pStyle w:val="normal0"/>
        <w:spacing w:before="200" w:after="200"/>
        <w:rPr>
          <w:rFonts w:eastAsia="Arial" w:cs="Arial"/>
          <w:sz w:val="20"/>
          <w:szCs w:val="20"/>
        </w:rPr>
      </w:pPr>
      <w:r>
        <w:rPr>
          <w:rFonts w:eastAsia="Arial" w:cs="Arial"/>
          <w:sz w:val="20"/>
          <w:szCs w:val="20"/>
        </w:rPr>
        <w:t>Regulation S-P currently requires investment advisers to adopt written policies and procedures for the protection of client records and information. Regulation S-P also requires the proper disposal of consumer report information.</w:t>
      </w:r>
    </w:p>
    <w:p>
      <w:pPr>
        <w:pStyle w:val="normal0"/>
        <w:spacing w:before="200" w:after="200"/>
        <w:rPr>
          <w:rFonts w:eastAsia="Arial" w:cs="Arial"/>
          <w:sz w:val="20"/>
          <w:szCs w:val="20"/>
        </w:rPr>
      </w:pPr>
      <w:r>
        <w:rPr>
          <w:rFonts w:eastAsia="Arial" w:cs="Arial"/>
          <w:sz w:val="20"/>
          <w:szCs w:val="20"/>
        </w:rPr>
        <w:t>Regulation S-P requires investment advisers registered with the SEC to have in place written policies and procedures that:</w:t>
      </w:r>
    </w:p>
    <w:p>
      <w:pPr>
        <w:numPr>
          <w:ilvl w:val="0"/>
          <w:numId w:val="76"/>
        </w:numPr>
        <w:spacing w:before="200"/>
        <w:ind w:left="720" w:hanging="192"/>
        <w:jc w:val="left"/>
        <w:rPr>
          <w:rFonts w:eastAsia="Arial" w:cs="Arial"/>
          <w:sz w:val="20"/>
          <w:szCs w:val="20"/>
        </w:rPr>
      </w:pPr>
      <w:r>
        <w:rPr>
          <w:rFonts w:eastAsia="Arial" w:cs="Arial"/>
          <w:sz w:val="20"/>
          <w:szCs w:val="20"/>
        </w:rPr>
        <w:t>protect client data;</w:t>
      </w:r>
    </w:p>
    <w:p>
      <w:pPr>
        <w:numPr>
          <w:ilvl w:val="0"/>
          <w:numId w:val="76"/>
        </w:numPr>
        <w:ind w:left="720" w:hanging="192"/>
        <w:jc w:val="left"/>
        <w:rPr>
          <w:rFonts w:eastAsia="Arial" w:cs="Arial"/>
          <w:sz w:val="20"/>
          <w:szCs w:val="20"/>
        </w:rPr>
      </w:pPr>
      <w:r>
        <w:rPr>
          <w:rFonts w:eastAsia="Arial" w:cs="Arial"/>
          <w:sz w:val="20"/>
          <w:szCs w:val="20"/>
        </w:rPr>
        <w:t>create an incident response plan to address unauthorized access to or use of client information, including procedures for providing timely notification to individuals affected by an incident involving sensitive client information with details about the incident and information designed to help affected individuals respond appropriately;</w:t>
      </w:r>
    </w:p>
    <w:p>
      <w:pPr>
        <w:numPr>
          <w:ilvl w:val="0"/>
          <w:numId w:val="76"/>
        </w:numPr>
        <w:ind w:left="720" w:hanging="192"/>
        <w:jc w:val="left"/>
        <w:rPr>
          <w:rFonts w:eastAsia="Arial" w:cs="Arial"/>
          <w:sz w:val="20"/>
          <w:szCs w:val="20"/>
        </w:rPr>
      </w:pPr>
      <w:r>
        <w:rPr>
          <w:rFonts w:eastAsia="Arial" w:cs="Arial"/>
          <w:sz w:val="20"/>
          <w:szCs w:val="20"/>
        </w:rPr>
        <w:t>implement due diligence and monitoring of service providers to ensure that any breaches of client data by them would trigger notification to clients;</w:t>
      </w:r>
    </w:p>
    <w:p>
      <w:pPr>
        <w:numPr>
          <w:ilvl w:val="0"/>
          <w:numId w:val="76"/>
        </w:numPr>
        <w:ind w:left="720" w:hanging="192"/>
        <w:jc w:val="left"/>
        <w:rPr>
          <w:rFonts w:eastAsia="Arial" w:cs="Arial"/>
          <w:sz w:val="20"/>
          <w:szCs w:val="20"/>
        </w:rPr>
      </w:pPr>
      <w:r>
        <w:rPr>
          <w:rFonts w:eastAsia="Arial" w:cs="Arial"/>
          <w:sz w:val="20"/>
          <w:szCs w:val="20"/>
        </w:rPr>
        <w:t>cause the annual delivery of a privacy notice if there have been changes since the last annual delivery of the privacy notice; and</w:t>
      </w:r>
    </w:p>
    <w:p>
      <w:pPr>
        <w:numPr>
          <w:ilvl w:val="0"/>
          <w:numId w:val="76"/>
        </w:numPr>
        <w:spacing w:after="200"/>
        <w:ind w:left="720" w:hanging="192"/>
        <w:jc w:val="left"/>
        <w:rPr>
          <w:rFonts w:eastAsia="Arial" w:cs="Arial"/>
          <w:sz w:val="20"/>
          <w:szCs w:val="20"/>
        </w:rPr>
      </w:pPr>
      <w:r>
        <w:rPr>
          <w:rFonts w:eastAsia="Arial" w:cs="Arial"/>
          <w:sz w:val="20"/>
          <w:szCs w:val="20"/>
        </w:rPr>
        <w:t>dispose of sensitive client information in a manner that prevents the unauthorized access to the information being disposed.</w:t>
      </w:r>
    </w:p>
    <w:p>
      <w:pPr>
        <w:pStyle w:val="normal0"/>
        <w:spacing w:before="200" w:after="200"/>
        <w:rPr>
          <w:rFonts w:eastAsia="Arial" w:cs="Arial"/>
          <w:sz w:val="20"/>
          <w:szCs w:val="20"/>
        </w:rPr>
      </w:pPr>
      <w:r>
        <w:rPr>
          <w:rFonts w:eastAsia="Arial" w:cs="Arial"/>
          <w:sz w:val="20"/>
          <w:szCs w:val="20"/>
        </w:rPr>
        <w:t>Investment advisers with $1.5 billion or more of AUM must be in compliance with the amended rules, while investment advisers with less than $1.5 billion of AUM must be in compliance by June 3, 2026.</w:t>
      </w:r>
    </w:p>
    <w:p>
      <w:pPr>
        <w:pStyle w:val="normal0"/>
        <w:spacing w:before="200" w:after="200"/>
        <w:rPr>
          <w:rFonts w:eastAsia="Arial" w:cs="Arial"/>
          <w:sz w:val="20"/>
          <w:szCs w:val="20"/>
        </w:rPr>
      </w:pPr>
      <w:r>
        <w:rPr>
          <w:rFonts w:eastAsia="Arial" w:cs="Arial"/>
          <w:sz w:val="20"/>
          <w:szCs w:val="20"/>
        </w:rPr>
        <w:t>The SEC's Division of Examinations in its 2026 Fiscal Year Examination Priorities stated that it will engage advisory firms during examinations about their progress in preparing incident response programs reasonably designed to detect, respond to, and recover from unauthorized access to or use of client information. The Division added that it will examine whether firms have developed, implemented, and maintains policies and procedures in accordance with the rule's new provisions that address administrative, technical, and physical safeguards for the protection of client information.</w:t>
      </w:r>
    </w:p>
    <w:p>
      <w:bookmarkEnd w:id="54"/>
      <w:bookmarkStart w:id="56" w:name="Sec_Chp_061016102248171_061016102248234"/>
    </w:p>
    <w:p>
      <w:pPr>
        <w:pStyle w:val="Heading2"/>
      </w:pPr>
      <w:bookmarkStart w:id="57" w:name="_Toc256000022"/>
      <w:r>
        <w:t>3.1 Compliance Reference Chart</w:t>
      </w:r>
      <w:bookmarkEnd w:id="57"/>
    </w:p>
    <w:p/>
    <w:p>
      <w:pPr>
        <w:rPr>
          <w:rFonts w:eastAsia="Arial" w:cs="Arial"/>
          <w:sz w:val="16"/>
          <w:szCs w:val="16"/>
        </w:rPr>
      </w:pPr>
      <w:r>
        <w:rPr>
          <w:rFonts w:eastAsia="Arial" w:cs="Arial"/>
          <w:sz w:val="16"/>
          <w:szCs w:val="16"/>
        </w:rPr>
        <w:t>[Gramm-Leach-Bliley Act; SEC Regulation S-P; Investment Advisers Act of 1940 Rule 204-3]</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77"/>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7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p>
            <w:pPr>
              <w:numPr>
                <w:ilvl w:val="0"/>
                <w:numId w:val="7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7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Annual delivery or offer to deliver Part 2A of Form ADV to existing clients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Gramm-Leach-Bliley Act</w:t>
            </w:r>
          </w:p>
          <w:p>
            <w:pPr>
              <w:numPr>
                <w:ilvl w:val="0"/>
                <w:numId w:val="8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Regulation S-P</w:t>
            </w:r>
          </w:p>
          <w:p>
            <w:pPr>
              <w:numPr>
                <w:ilvl w:val="0"/>
                <w:numId w:val="8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204-3 under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Form ADV delivery</w:t>
            </w:r>
          </w:p>
          <w:p>
            <w:pPr>
              <w:numPr>
                <w:ilvl w:val="0"/>
                <w:numId w:val="8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Privacy Notice delivery</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Existing Clients &amp; Privacy Procedures annually.</w:t>
            </w:r>
          </w:p>
        </w:tc>
      </w:tr>
    </w:tbl>
    <w:p>
      <w:bookmarkEnd w:id="56"/>
      <w:bookmarkStart w:id="58" w:name="Sec_Chp_061016102248171_061016102248281"/>
    </w:p>
    <w:p>
      <w:pPr>
        <w:pStyle w:val="Heading2"/>
      </w:pPr>
      <w:bookmarkStart w:id="59" w:name="_Toc256000023"/>
      <w:r>
        <w:t>3.2 Policy</w:t>
      </w:r>
      <w:bookmarkEnd w:id="59"/>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periodically transmit, or cause to be transmitted, a report to each client that shows the client's investment portfolio position and account activity and that all such communications and other client communications shall be truthful and not misleading. Furthermore, it is KCD's policy to monitor and review all client complaints and to promptly address and, if possible, resolve client complaints in a reasonable, fair and timely manner, and to ensure the privacy of client records. In addition, KCD has the following goals when it possesses client information:</w:t>
      </w:r>
    </w:p>
    <w:p>
      <w:pPr>
        <w:numPr>
          <w:ilvl w:val="0"/>
          <w:numId w:val="83"/>
        </w:numPr>
        <w:spacing w:before="200"/>
        <w:ind w:left="720" w:hanging="192"/>
        <w:jc w:val="left"/>
        <w:rPr>
          <w:rFonts w:eastAsia="Arial" w:cs="Arial"/>
          <w:sz w:val="20"/>
          <w:szCs w:val="20"/>
        </w:rPr>
      </w:pPr>
      <w:r>
        <w:rPr>
          <w:rFonts w:eastAsia="Arial" w:cs="Arial"/>
          <w:sz w:val="20"/>
          <w:szCs w:val="20"/>
        </w:rPr>
        <w:t>Ensure the security and confidentiality of client information;</w:t>
      </w:r>
    </w:p>
    <w:p>
      <w:pPr>
        <w:numPr>
          <w:ilvl w:val="0"/>
          <w:numId w:val="83"/>
        </w:numPr>
        <w:ind w:left="720" w:hanging="192"/>
        <w:jc w:val="left"/>
        <w:rPr>
          <w:rFonts w:eastAsia="Arial" w:cs="Arial"/>
          <w:sz w:val="20"/>
          <w:szCs w:val="20"/>
        </w:rPr>
      </w:pPr>
      <w:r>
        <w:rPr>
          <w:rFonts w:eastAsia="Arial" w:cs="Arial"/>
          <w:sz w:val="20"/>
          <w:szCs w:val="20"/>
        </w:rPr>
        <w:t>Protect against any anticipated threats or hazards to the security or integrity of client information; and</w:t>
      </w:r>
    </w:p>
    <w:p>
      <w:pPr>
        <w:numPr>
          <w:ilvl w:val="0"/>
          <w:numId w:val="83"/>
        </w:numPr>
        <w:spacing w:after="200"/>
        <w:ind w:left="720" w:hanging="192"/>
        <w:jc w:val="left"/>
        <w:rPr>
          <w:rFonts w:eastAsia="Arial" w:cs="Arial"/>
          <w:sz w:val="20"/>
          <w:szCs w:val="20"/>
        </w:rPr>
      </w:pPr>
      <w:r>
        <w:rPr>
          <w:rFonts w:eastAsia="Arial" w:cs="Arial"/>
          <w:sz w:val="20"/>
          <w:szCs w:val="20"/>
        </w:rPr>
        <w:t>Protect against unauthorized access to or the use of client information that could result in substantial harm or inconvenience to any client.</w:t>
      </w:r>
    </w:p>
    <w:p>
      <w:bookmarkEnd w:id="58"/>
      <w:bookmarkStart w:id="60" w:name="Sec_Chp_061016102248171_061016102248296"/>
    </w:p>
    <w:p>
      <w:pPr>
        <w:pStyle w:val="Heading2"/>
      </w:pPr>
      <w:bookmarkStart w:id="61" w:name="_Toc256000024"/>
      <w:r>
        <w:t>3.3 Procedures</w:t>
      </w:r>
      <w:bookmarkEnd w:id="61"/>
    </w:p>
    <w:p/>
    <w:p>
      <w:pPr>
        <w:rPr>
          <w:rFonts w:eastAsia="Arial" w:cs="Arial"/>
          <w:sz w:val="16"/>
          <w:szCs w:val="16"/>
        </w:rPr>
      </w:pPr>
    </w:p>
    <w:p>
      <w:bookmarkEnd w:id="60"/>
      <w:bookmarkStart w:id="62" w:name="Sec_Chp_061016102248171_061016102248312A"/>
    </w:p>
    <w:p>
      <w:pPr>
        <w:pStyle w:val="Heading3"/>
      </w:pPr>
      <w:bookmarkStart w:id="63" w:name="_Toc256000025"/>
      <w:r>
        <w:t>3.3.1 Account Statements</w:t>
      </w:r>
      <w:bookmarkEnd w:id="63"/>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broker-dealer or other financial institution that maintain clients' securities accounts ("Broker-Dealer") transmits account statements to clients.</w:t>
      </w:r>
    </w:p>
    <w:p>
      <w:pPr>
        <w:numPr>
          <w:ilvl w:val="0"/>
          <w:numId w:val="84"/>
        </w:numPr>
        <w:spacing w:before="200"/>
        <w:ind w:left="720" w:hanging="192"/>
        <w:jc w:val="left"/>
        <w:rPr>
          <w:rFonts w:eastAsia="Arial" w:cs="Arial"/>
          <w:sz w:val="20"/>
          <w:szCs w:val="20"/>
        </w:rPr>
      </w:pPr>
      <w:r>
        <w:rPr>
          <w:rFonts w:eastAsia="Arial" w:cs="Arial"/>
          <w:sz w:val="20"/>
          <w:szCs w:val="20"/>
        </w:rPr>
        <w:t>The Chief Compliance Officer will check with Broker-Dealer to ensure that it will prepare client account statements in advance of the deadline;</w:t>
      </w:r>
    </w:p>
    <w:p>
      <w:pPr>
        <w:numPr>
          <w:ilvl w:val="0"/>
          <w:numId w:val="84"/>
        </w:numPr>
        <w:ind w:left="720" w:hanging="192"/>
        <w:jc w:val="left"/>
        <w:rPr>
          <w:rFonts w:eastAsia="Arial" w:cs="Arial"/>
          <w:sz w:val="20"/>
          <w:szCs w:val="20"/>
        </w:rPr>
      </w:pPr>
      <w:r>
        <w:rPr>
          <w:rFonts w:eastAsia="Arial" w:cs="Arial"/>
          <w:sz w:val="20"/>
          <w:szCs w:val="20"/>
        </w:rPr>
        <w:t>The Chief Compliance Officer will arrange for Broker-Dealer to transmit to KCD duplicates of all account statements sent to clients;</w:t>
      </w:r>
    </w:p>
    <w:p>
      <w:pPr>
        <w:numPr>
          <w:ilvl w:val="0"/>
          <w:numId w:val="84"/>
        </w:numPr>
        <w:ind w:left="720" w:hanging="192"/>
        <w:jc w:val="left"/>
        <w:rPr>
          <w:rFonts w:eastAsia="Arial" w:cs="Arial"/>
          <w:sz w:val="20"/>
          <w:szCs w:val="20"/>
        </w:rPr>
      </w:pPr>
      <w:r>
        <w:rPr>
          <w:rFonts w:eastAsia="Arial" w:cs="Arial"/>
          <w:sz w:val="20"/>
          <w:szCs w:val="20"/>
        </w:rPr>
        <w:t>The Chief Compliance Officer will review a random sampling of duplicate account statements for accuracy and make sure that the information in the reports is consistent with the information on KCD's computer or recordkeeping system; and</w:t>
      </w:r>
    </w:p>
    <w:p>
      <w:pPr>
        <w:numPr>
          <w:ilvl w:val="0"/>
          <w:numId w:val="84"/>
        </w:numPr>
        <w:spacing w:after="200"/>
        <w:ind w:left="720" w:hanging="192"/>
        <w:jc w:val="left"/>
        <w:rPr>
          <w:rFonts w:eastAsia="Arial" w:cs="Arial"/>
          <w:sz w:val="20"/>
          <w:szCs w:val="20"/>
        </w:rPr>
      </w:pPr>
      <w:r>
        <w:rPr>
          <w:rFonts w:eastAsia="Arial" w:cs="Arial"/>
          <w:sz w:val="20"/>
          <w:szCs w:val="20"/>
        </w:rPr>
        <w:t>If any errors are detected, the Chief Compliance Officer will contact Broker-Dealer and require a correct report to be sent to affected clients.</w:t>
      </w:r>
    </w:p>
    <w:p>
      <w:bookmarkEnd w:id="62"/>
      <w:bookmarkStart w:id="64" w:name="Sec_Chp_061016102248171_061016102248343"/>
    </w:p>
    <w:p>
      <w:pPr>
        <w:pStyle w:val="Heading3"/>
      </w:pPr>
      <w:bookmarkStart w:id="65" w:name="_Toc256000026"/>
      <w:r>
        <w:t>3.3.2 Address Changes</w:t>
      </w:r>
      <w:bookmarkEnd w:id="65"/>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Whenever a client requests a change of address, the Chief Compliance Officer will arrange for a letter or e-mail verifying the change of address to be sent to the client at the old and new addresses. The Chief Compliance Officer is responsible for ensuring that KCD's mailing data base contains current addresses. KCD will update the address.</w:t>
      </w:r>
    </w:p>
    <w:p>
      <w:bookmarkEnd w:id="64"/>
      <w:bookmarkStart w:id="66" w:name="Sec_Chp_061016102248171_061016102248359"/>
    </w:p>
    <w:p>
      <w:pPr>
        <w:pStyle w:val="Heading3"/>
      </w:pPr>
      <w:bookmarkStart w:id="67" w:name="_Toc256000027"/>
      <w:r>
        <w:t>3.3.3 Client Data</w:t>
      </w:r>
      <w:bookmarkEnd w:id="67"/>
    </w:p>
    <w:p/>
    <w:p>
      <w:pPr>
        <w:rPr>
          <w:rFonts w:eastAsia="Arial" w:cs="Arial"/>
          <w:sz w:val="16"/>
          <w:szCs w:val="16"/>
        </w:rPr>
      </w:pPr>
    </w:p>
    <w:p>
      <w:pPr>
        <w:pStyle w:val="normal0"/>
        <w:spacing w:after="200"/>
        <w:rPr>
          <w:rFonts w:eastAsia="Arial" w:cs="Arial"/>
          <w:sz w:val="20"/>
          <w:szCs w:val="20"/>
        </w:rPr>
      </w:pPr>
      <w:r>
        <w:rPr>
          <w:rFonts w:eastAsia="Arial" w:cs="Arial"/>
          <w:sz w:val="20"/>
          <w:szCs w:val="20"/>
        </w:rPr>
        <w:t>Employees of KCD are required to exercise reasonable care in recording and maintaining information about client accounts, and to be reasonably sure that the information is accurate.</w:t>
      </w:r>
    </w:p>
    <w:p>
      <w:pPr>
        <w:pStyle w:val="normal0"/>
        <w:spacing w:before="200" w:after="200"/>
        <w:rPr>
          <w:rFonts w:eastAsia="Arial" w:cs="Arial"/>
          <w:sz w:val="20"/>
          <w:szCs w:val="20"/>
        </w:rPr>
      </w:pPr>
      <w:r>
        <w:rPr>
          <w:rFonts w:eastAsia="Arial" w:cs="Arial"/>
          <w:sz w:val="20"/>
          <w:szCs w:val="20"/>
        </w:rPr>
        <w:t>KCD maintains a records system that on a real-time basis includes the following:</w:t>
      </w:r>
    </w:p>
    <w:p>
      <w:pPr>
        <w:numPr>
          <w:ilvl w:val="0"/>
          <w:numId w:val="85"/>
        </w:numPr>
        <w:spacing w:before="200"/>
        <w:ind w:left="720" w:hanging="192"/>
        <w:jc w:val="left"/>
        <w:rPr>
          <w:rFonts w:eastAsia="Arial" w:cs="Arial"/>
          <w:sz w:val="20"/>
          <w:szCs w:val="20"/>
        </w:rPr>
      </w:pPr>
      <w:r>
        <w:rPr>
          <w:rFonts w:eastAsia="Arial" w:cs="Arial"/>
          <w:sz w:val="20"/>
          <w:szCs w:val="20"/>
        </w:rPr>
        <w:t>account number;</w:t>
      </w:r>
    </w:p>
    <w:p>
      <w:pPr>
        <w:numPr>
          <w:ilvl w:val="0"/>
          <w:numId w:val="85"/>
        </w:numPr>
        <w:ind w:left="720" w:hanging="192"/>
        <w:jc w:val="left"/>
        <w:rPr>
          <w:rFonts w:eastAsia="Arial" w:cs="Arial"/>
          <w:sz w:val="20"/>
          <w:szCs w:val="20"/>
        </w:rPr>
      </w:pPr>
      <w:r>
        <w:rPr>
          <w:rFonts w:eastAsia="Arial" w:cs="Arial"/>
          <w:sz w:val="20"/>
          <w:szCs w:val="20"/>
        </w:rPr>
        <w:t>account name;</w:t>
      </w:r>
    </w:p>
    <w:p>
      <w:pPr>
        <w:numPr>
          <w:ilvl w:val="0"/>
          <w:numId w:val="85"/>
        </w:numPr>
        <w:ind w:left="720" w:hanging="192"/>
        <w:jc w:val="left"/>
        <w:rPr>
          <w:rFonts w:eastAsia="Arial" w:cs="Arial"/>
          <w:sz w:val="20"/>
          <w:szCs w:val="20"/>
        </w:rPr>
      </w:pPr>
      <w:r>
        <w:rPr>
          <w:rFonts w:eastAsia="Arial" w:cs="Arial"/>
          <w:sz w:val="20"/>
          <w:szCs w:val="20"/>
        </w:rPr>
        <w:t>client age or year of birth;</w:t>
      </w:r>
    </w:p>
    <w:p>
      <w:pPr>
        <w:numPr>
          <w:ilvl w:val="0"/>
          <w:numId w:val="85"/>
        </w:numPr>
        <w:ind w:left="720" w:hanging="192"/>
        <w:jc w:val="left"/>
        <w:rPr>
          <w:rFonts w:eastAsia="Arial" w:cs="Arial"/>
          <w:sz w:val="20"/>
          <w:szCs w:val="20"/>
        </w:rPr>
      </w:pPr>
      <w:r>
        <w:rPr>
          <w:rFonts w:eastAsia="Arial" w:cs="Arial"/>
          <w:sz w:val="20"/>
          <w:szCs w:val="20"/>
        </w:rPr>
        <w:t>account inception date (and, if applicable, the termination date);</w:t>
      </w:r>
    </w:p>
    <w:p>
      <w:pPr>
        <w:numPr>
          <w:ilvl w:val="0"/>
          <w:numId w:val="85"/>
        </w:numPr>
        <w:ind w:left="720" w:hanging="192"/>
        <w:jc w:val="left"/>
        <w:rPr>
          <w:rFonts w:eastAsia="Arial" w:cs="Arial"/>
          <w:sz w:val="20"/>
          <w:szCs w:val="20"/>
        </w:rPr>
      </w:pPr>
      <w:r>
        <w:rPr>
          <w:rFonts w:eastAsia="Arial" w:cs="Arial"/>
          <w:sz w:val="20"/>
          <w:szCs w:val="20"/>
        </w:rPr>
        <w:t>whether the client account is a wrap account;</w:t>
      </w:r>
    </w:p>
    <w:p>
      <w:pPr>
        <w:numPr>
          <w:ilvl w:val="0"/>
          <w:numId w:val="85"/>
        </w:numPr>
        <w:ind w:left="720" w:hanging="192"/>
        <w:jc w:val="left"/>
        <w:rPr>
          <w:rFonts w:eastAsia="Arial" w:cs="Arial"/>
          <w:sz w:val="20"/>
          <w:szCs w:val="20"/>
        </w:rPr>
      </w:pPr>
      <w:r>
        <w:rPr>
          <w:rFonts w:eastAsia="Arial" w:cs="Arial"/>
          <w:sz w:val="20"/>
          <w:szCs w:val="20"/>
        </w:rPr>
        <w:t>investment restrictions (if any);</w:t>
      </w:r>
    </w:p>
    <w:p>
      <w:pPr>
        <w:numPr>
          <w:ilvl w:val="0"/>
          <w:numId w:val="85"/>
        </w:numPr>
        <w:ind w:left="720" w:hanging="192"/>
        <w:jc w:val="left"/>
        <w:rPr>
          <w:rFonts w:eastAsia="Arial" w:cs="Arial"/>
          <w:sz w:val="20"/>
          <w:szCs w:val="20"/>
        </w:rPr>
      </w:pPr>
      <w:r>
        <w:rPr>
          <w:rFonts w:eastAsia="Arial" w:cs="Arial"/>
          <w:sz w:val="20"/>
          <w:szCs w:val="20"/>
        </w:rPr>
        <w:t>performance composite in which the account is included;</w:t>
      </w:r>
    </w:p>
    <w:p>
      <w:pPr>
        <w:numPr>
          <w:ilvl w:val="0"/>
          <w:numId w:val="85"/>
        </w:numPr>
        <w:ind w:left="720" w:hanging="192"/>
        <w:jc w:val="left"/>
        <w:rPr>
          <w:rFonts w:eastAsia="Arial" w:cs="Arial"/>
          <w:sz w:val="20"/>
          <w:szCs w:val="20"/>
        </w:rPr>
      </w:pPr>
      <w:r>
        <w:rPr>
          <w:rFonts w:eastAsia="Arial" w:cs="Arial"/>
          <w:sz w:val="20"/>
          <w:szCs w:val="20"/>
        </w:rPr>
        <w:t>separately shows for each client the securities purchased or sold, and the date, amount and price of each such purchase or sale;</w:t>
      </w:r>
    </w:p>
    <w:p>
      <w:pPr>
        <w:numPr>
          <w:ilvl w:val="0"/>
          <w:numId w:val="85"/>
        </w:numPr>
        <w:ind w:left="720" w:hanging="192"/>
        <w:jc w:val="left"/>
        <w:rPr>
          <w:rFonts w:eastAsia="Arial" w:cs="Arial"/>
          <w:sz w:val="20"/>
          <w:szCs w:val="20"/>
        </w:rPr>
      </w:pPr>
      <w:r>
        <w:rPr>
          <w:rFonts w:eastAsia="Arial" w:cs="Arial"/>
          <w:sz w:val="20"/>
          <w:szCs w:val="20"/>
        </w:rPr>
        <w:t>current or last available balance of the client's assets under management;</w:t>
      </w:r>
    </w:p>
    <w:p>
      <w:pPr>
        <w:numPr>
          <w:ilvl w:val="0"/>
          <w:numId w:val="85"/>
        </w:numPr>
        <w:ind w:left="720" w:hanging="192"/>
        <w:jc w:val="left"/>
        <w:rPr>
          <w:rFonts w:eastAsia="Arial" w:cs="Arial"/>
          <w:sz w:val="20"/>
          <w:szCs w:val="20"/>
        </w:rPr>
      </w:pPr>
      <w:r>
        <w:rPr>
          <w:rFonts w:eastAsia="Arial" w:cs="Arial"/>
          <w:sz w:val="20"/>
          <w:szCs w:val="20"/>
        </w:rPr>
        <w:t>whether the client pays a performance fee;</w:t>
      </w:r>
    </w:p>
    <w:p>
      <w:pPr>
        <w:numPr>
          <w:ilvl w:val="0"/>
          <w:numId w:val="85"/>
        </w:numPr>
        <w:ind w:left="720" w:hanging="192"/>
        <w:jc w:val="left"/>
        <w:rPr>
          <w:rFonts w:eastAsia="Arial" w:cs="Arial"/>
          <w:sz w:val="20"/>
          <w:szCs w:val="20"/>
        </w:rPr>
      </w:pPr>
      <w:r>
        <w:rPr>
          <w:rFonts w:eastAsia="Arial" w:cs="Arial"/>
          <w:sz w:val="20"/>
          <w:szCs w:val="20"/>
        </w:rPr>
        <w:t>type of account (</w:t>
      </w:r>
      <w:r>
        <w:rPr>
          <w:rFonts w:eastAsia="Arial" w:cs="Arial"/>
          <w:i/>
          <w:iCs/>
          <w:sz w:val="20"/>
          <w:szCs w:val="20"/>
        </w:rPr>
        <w:t>e.g.,</w:t>
      </w:r>
      <w:r>
        <w:rPr>
          <w:rFonts w:eastAsia="Arial" w:cs="Arial"/>
          <w:sz w:val="20"/>
          <w:szCs w:val="20"/>
        </w:rPr>
        <w:t xml:space="preserve"> individual, family, retirement plan, </w:t>
      </w:r>
      <w:r>
        <w:rPr>
          <w:rFonts w:eastAsia="Arial" w:cs="Arial"/>
          <w:i/>
          <w:iCs/>
          <w:sz w:val="20"/>
          <w:szCs w:val="20"/>
        </w:rPr>
        <w:t>etc.</w:t>
      </w:r>
      <w:r>
        <w:rPr>
          <w:rFonts w:eastAsia="Arial" w:cs="Arial"/>
          <w:sz w:val="20"/>
          <w:szCs w:val="20"/>
        </w:rPr>
        <w:t>)</w:t>
      </w:r>
    </w:p>
    <w:p>
      <w:pPr>
        <w:numPr>
          <w:ilvl w:val="0"/>
          <w:numId w:val="85"/>
        </w:numPr>
        <w:ind w:left="720" w:hanging="192"/>
        <w:jc w:val="left"/>
        <w:rPr>
          <w:rFonts w:eastAsia="Arial" w:cs="Arial"/>
          <w:sz w:val="20"/>
          <w:szCs w:val="20"/>
        </w:rPr>
      </w:pPr>
      <w:r>
        <w:rPr>
          <w:rFonts w:eastAsia="Arial" w:cs="Arial"/>
          <w:sz w:val="20"/>
          <w:szCs w:val="20"/>
        </w:rPr>
        <w:t>type of client (registered investment company, business development company, pooled investment vehicle or separately managed account);</w:t>
      </w:r>
    </w:p>
    <w:p>
      <w:pPr>
        <w:numPr>
          <w:ilvl w:val="0"/>
          <w:numId w:val="85"/>
        </w:numPr>
        <w:ind w:left="720" w:hanging="192"/>
        <w:jc w:val="left"/>
        <w:rPr>
          <w:rFonts w:eastAsia="Arial" w:cs="Arial"/>
          <w:sz w:val="20"/>
          <w:szCs w:val="20"/>
        </w:rPr>
      </w:pPr>
      <w:r>
        <w:rPr>
          <w:rFonts w:eastAsia="Arial" w:cs="Arial"/>
          <w:sz w:val="20"/>
          <w:szCs w:val="20"/>
        </w:rPr>
        <w:t>discretionary or non-discretionary account;</w:t>
      </w:r>
    </w:p>
    <w:p>
      <w:pPr>
        <w:numPr>
          <w:ilvl w:val="0"/>
          <w:numId w:val="85"/>
        </w:numPr>
        <w:ind w:left="720" w:hanging="192"/>
        <w:jc w:val="left"/>
        <w:rPr>
          <w:rFonts w:eastAsia="Arial" w:cs="Arial"/>
          <w:sz w:val="20"/>
          <w:szCs w:val="20"/>
        </w:rPr>
      </w:pPr>
      <w:r>
        <w:rPr>
          <w:rFonts w:eastAsia="Arial" w:cs="Arial"/>
          <w:sz w:val="20"/>
          <w:szCs w:val="20"/>
        </w:rPr>
        <w:t>investment objective and strategy (</w:t>
      </w:r>
      <w:r>
        <w:rPr>
          <w:rFonts w:eastAsia="Arial" w:cs="Arial"/>
          <w:i/>
          <w:iCs/>
          <w:sz w:val="20"/>
          <w:szCs w:val="20"/>
        </w:rPr>
        <w:t>e.g.,</w:t>
      </w:r>
      <w:r>
        <w:rPr>
          <w:rFonts w:eastAsia="Arial" w:cs="Arial"/>
          <w:sz w:val="20"/>
          <w:szCs w:val="20"/>
        </w:rPr>
        <w:t xml:space="preserve"> global equity, high-yield, or aggressive growth);</w:t>
      </w:r>
    </w:p>
    <w:p>
      <w:pPr>
        <w:numPr>
          <w:ilvl w:val="0"/>
          <w:numId w:val="85"/>
        </w:numPr>
        <w:ind w:left="720" w:hanging="192"/>
        <w:jc w:val="left"/>
        <w:rPr>
          <w:rFonts w:eastAsia="Arial" w:cs="Arial"/>
          <w:sz w:val="20"/>
          <w:szCs w:val="20"/>
        </w:rPr>
      </w:pPr>
      <w:r>
        <w:rPr>
          <w:rFonts w:eastAsia="Arial" w:cs="Arial"/>
          <w:sz w:val="20"/>
          <w:szCs w:val="20"/>
        </w:rPr>
        <w:t>identity of solicitor or other third party (if any) instrumental in KCD obtaining the account;</w:t>
      </w:r>
    </w:p>
    <w:p>
      <w:pPr>
        <w:numPr>
          <w:ilvl w:val="0"/>
          <w:numId w:val="85"/>
        </w:numPr>
        <w:ind w:left="720" w:hanging="192"/>
        <w:jc w:val="left"/>
        <w:rPr>
          <w:rFonts w:eastAsia="Arial" w:cs="Arial"/>
          <w:sz w:val="20"/>
          <w:szCs w:val="20"/>
        </w:rPr>
      </w:pPr>
      <w:r>
        <w:rPr>
          <w:rFonts w:eastAsia="Arial" w:cs="Arial"/>
          <w:sz w:val="20"/>
          <w:szCs w:val="20"/>
        </w:rPr>
        <w:t>whether the client is a related person, affiliated person or proprietary account;</w:t>
      </w:r>
    </w:p>
    <w:p>
      <w:pPr>
        <w:numPr>
          <w:ilvl w:val="0"/>
          <w:numId w:val="85"/>
        </w:numPr>
        <w:ind w:left="720" w:hanging="192"/>
        <w:jc w:val="left"/>
        <w:rPr>
          <w:rFonts w:eastAsia="Arial" w:cs="Arial"/>
          <w:sz w:val="20"/>
          <w:szCs w:val="20"/>
        </w:rPr>
      </w:pPr>
      <w:r>
        <w:rPr>
          <w:rFonts w:eastAsia="Arial" w:cs="Arial"/>
          <w:sz w:val="20"/>
          <w:szCs w:val="20"/>
        </w:rPr>
        <w:t>whether KCD has discretionary authority;</w:t>
      </w:r>
    </w:p>
    <w:p>
      <w:pPr>
        <w:numPr>
          <w:ilvl w:val="0"/>
          <w:numId w:val="85"/>
        </w:numPr>
        <w:ind w:left="720" w:hanging="192"/>
        <w:jc w:val="left"/>
        <w:rPr>
          <w:rFonts w:eastAsia="Arial" w:cs="Arial"/>
          <w:sz w:val="20"/>
          <w:szCs w:val="20"/>
        </w:rPr>
      </w:pPr>
      <w:r>
        <w:rPr>
          <w:rFonts w:eastAsia="Arial" w:cs="Arial"/>
          <w:sz w:val="20"/>
          <w:szCs w:val="20"/>
        </w:rPr>
        <w:t>whether the client has a directed brokerage arrangement (if so, include the name of the broker-dealer);</w:t>
      </w:r>
    </w:p>
    <w:p>
      <w:pPr>
        <w:numPr>
          <w:ilvl w:val="0"/>
          <w:numId w:val="85"/>
        </w:numPr>
        <w:ind w:left="720" w:hanging="192"/>
        <w:jc w:val="left"/>
        <w:rPr>
          <w:rFonts w:eastAsia="Arial" w:cs="Arial"/>
          <w:sz w:val="20"/>
          <w:szCs w:val="20"/>
        </w:rPr>
      </w:pPr>
      <w:r>
        <w:rPr>
          <w:rFonts w:eastAsia="Arial" w:cs="Arial"/>
          <w:sz w:val="20"/>
          <w:szCs w:val="20"/>
        </w:rPr>
        <w:t>whether KCD votes the proxies for client;</w:t>
      </w:r>
    </w:p>
    <w:p>
      <w:pPr>
        <w:numPr>
          <w:ilvl w:val="0"/>
          <w:numId w:val="85"/>
        </w:numPr>
        <w:ind w:left="720" w:hanging="192"/>
        <w:jc w:val="left"/>
        <w:rPr>
          <w:rFonts w:eastAsia="Arial" w:cs="Arial"/>
          <w:sz w:val="20"/>
          <w:szCs w:val="20"/>
        </w:rPr>
      </w:pPr>
      <w:r>
        <w:rPr>
          <w:rFonts w:eastAsia="Arial" w:cs="Arial"/>
          <w:sz w:val="20"/>
          <w:szCs w:val="20"/>
        </w:rPr>
        <w:t>whether the client is part of an advertised performance composite and, if so, composite name;</w:t>
      </w:r>
    </w:p>
    <w:p>
      <w:pPr>
        <w:numPr>
          <w:ilvl w:val="0"/>
          <w:numId w:val="85"/>
        </w:numPr>
        <w:ind w:left="720" w:hanging="192"/>
        <w:jc w:val="left"/>
        <w:rPr>
          <w:rFonts w:eastAsia="Arial" w:cs="Arial"/>
          <w:sz w:val="20"/>
          <w:szCs w:val="20"/>
        </w:rPr>
      </w:pPr>
      <w:r>
        <w:rPr>
          <w:rFonts w:eastAsia="Arial" w:cs="Arial"/>
          <w:sz w:val="20"/>
          <w:szCs w:val="20"/>
        </w:rPr>
        <w:t>whether KCD (or any of its related persons) has custody of the client's account;</w:t>
      </w:r>
    </w:p>
    <w:p>
      <w:pPr>
        <w:numPr>
          <w:ilvl w:val="0"/>
          <w:numId w:val="85"/>
        </w:numPr>
        <w:ind w:left="720" w:hanging="192"/>
        <w:jc w:val="left"/>
        <w:rPr>
          <w:rFonts w:eastAsia="Arial" w:cs="Arial"/>
          <w:sz w:val="20"/>
          <w:szCs w:val="20"/>
        </w:rPr>
      </w:pPr>
      <w:r>
        <w:rPr>
          <w:rFonts w:eastAsia="Arial" w:cs="Arial"/>
          <w:sz w:val="20"/>
          <w:szCs w:val="20"/>
        </w:rPr>
        <w:t>whether KCD or an officer, related person of KCD or affiliate acts as trustee or has full power of attorney for the client's account;</w:t>
      </w:r>
    </w:p>
    <w:p>
      <w:pPr>
        <w:numPr>
          <w:ilvl w:val="0"/>
          <w:numId w:val="85"/>
        </w:numPr>
        <w:ind w:left="720" w:hanging="192"/>
        <w:jc w:val="left"/>
        <w:rPr>
          <w:rFonts w:eastAsia="Arial" w:cs="Arial"/>
          <w:sz w:val="20"/>
          <w:szCs w:val="20"/>
        </w:rPr>
      </w:pPr>
      <w:r>
        <w:rPr>
          <w:rFonts w:eastAsia="Arial" w:cs="Arial"/>
          <w:sz w:val="20"/>
          <w:szCs w:val="20"/>
        </w:rPr>
        <w:t>whether KCD, an affiliate or a Firm employee has the authority to control the movement of client funds or assets to parties other than to the client's named account (including check writing authority);</w:t>
      </w:r>
    </w:p>
    <w:p>
      <w:pPr>
        <w:numPr>
          <w:ilvl w:val="0"/>
          <w:numId w:val="85"/>
        </w:numPr>
        <w:ind w:left="720" w:hanging="192"/>
        <w:jc w:val="left"/>
        <w:rPr>
          <w:rFonts w:eastAsia="Arial" w:cs="Arial"/>
          <w:sz w:val="20"/>
          <w:szCs w:val="20"/>
        </w:rPr>
      </w:pPr>
      <w:r>
        <w:rPr>
          <w:rFonts w:eastAsia="Arial" w:cs="Arial"/>
          <w:sz w:val="20"/>
          <w:szCs w:val="20"/>
        </w:rPr>
        <w:t>whether KCD or Firm personnel have the authority to access, control or change passwords and/or usernames in connection with the client's custodian account;</w:t>
      </w:r>
    </w:p>
    <w:p>
      <w:pPr>
        <w:numPr>
          <w:ilvl w:val="0"/>
          <w:numId w:val="85"/>
        </w:numPr>
        <w:ind w:left="720" w:hanging="192"/>
        <w:jc w:val="left"/>
        <w:rPr>
          <w:rFonts w:eastAsia="Arial" w:cs="Arial"/>
          <w:sz w:val="20"/>
          <w:szCs w:val="20"/>
        </w:rPr>
      </w:pPr>
      <w:r>
        <w:rPr>
          <w:rFonts w:eastAsia="Arial" w:cs="Arial"/>
          <w:sz w:val="20"/>
          <w:szCs w:val="20"/>
        </w:rPr>
        <w:t>whether the account holds or has held private investments including private funds and, if so, (1) if a private fund, indicate whether KCD or any affiliate is the adviser, general partner and/or managing member, and (2) the private fund(s') name(s);</w:t>
      </w:r>
    </w:p>
    <w:p>
      <w:pPr>
        <w:numPr>
          <w:ilvl w:val="0"/>
          <w:numId w:val="85"/>
        </w:numPr>
        <w:ind w:left="720" w:hanging="192"/>
        <w:jc w:val="left"/>
        <w:rPr>
          <w:rFonts w:eastAsia="Arial" w:cs="Arial"/>
          <w:sz w:val="20"/>
          <w:szCs w:val="20"/>
        </w:rPr>
      </w:pPr>
      <w:r>
        <w:rPr>
          <w:rFonts w:eastAsia="Arial" w:cs="Arial"/>
          <w:sz w:val="20"/>
          <w:szCs w:val="20"/>
        </w:rPr>
        <w:t>whether the account is managed by sub-adviser(s) and, if so, the name of the sub-adviser(s);</w:t>
      </w:r>
    </w:p>
    <w:p>
      <w:pPr>
        <w:numPr>
          <w:ilvl w:val="0"/>
          <w:numId w:val="85"/>
        </w:numPr>
        <w:ind w:left="720" w:hanging="192"/>
        <w:jc w:val="left"/>
        <w:rPr>
          <w:rFonts w:eastAsia="Arial" w:cs="Arial"/>
          <w:sz w:val="20"/>
          <w:szCs w:val="20"/>
        </w:rPr>
      </w:pPr>
      <w:r>
        <w:rPr>
          <w:rFonts w:eastAsia="Arial" w:cs="Arial"/>
          <w:sz w:val="20"/>
          <w:szCs w:val="20"/>
        </w:rPr>
        <w:t>investment policy (if any);</w:t>
      </w:r>
    </w:p>
    <w:p>
      <w:pPr>
        <w:numPr>
          <w:ilvl w:val="0"/>
          <w:numId w:val="85"/>
        </w:numPr>
        <w:ind w:left="720" w:hanging="192"/>
        <w:jc w:val="left"/>
        <w:rPr>
          <w:rFonts w:eastAsia="Arial" w:cs="Arial"/>
          <w:sz w:val="20"/>
          <w:szCs w:val="20"/>
        </w:rPr>
      </w:pPr>
      <w:r>
        <w:rPr>
          <w:rFonts w:eastAsia="Arial" w:cs="Arial"/>
          <w:sz w:val="20"/>
          <w:szCs w:val="20"/>
        </w:rPr>
        <w:t>the name of the portfolio manager or supervised person responsible for the account;</w:t>
      </w:r>
    </w:p>
    <w:p>
      <w:pPr>
        <w:numPr>
          <w:ilvl w:val="0"/>
          <w:numId w:val="85"/>
        </w:numPr>
        <w:ind w:left="720" w:hanging="192"/>
        <w:jc w:val="left"/>
        <w:rPr>
          <w:rFonts w:eastAsia="Arial" w:cs="Arial"/>
          <w:sz w:val="20"/>
          <w:szCs w:val="20"/>
        </w:rPr>
      </w:pPr>
      <w:r>
        <w:rPr>
          <w:rFonts w:eastAsia="Arial" w:cs="Arial"/>
          <w:sz w:val="20"/>
          <w:szCs w:val="20"/>
        </w:rPr>
        <w:t>whether the client is a sovereign wealth fund;</w:t>
      </w:r>
    </w:p>
    <w:p>
      <w:pPr>
        <w:numPr>
          <w:ilvl w:val="0"/>
          <w:numId w:val="85"/>
        </w:numPr>
        <w:ind w:left="720" w:hanging="192"/>
        <w:jc w:val="left"/>
        <w:rPr>
          <w:rFonts w:eastAsia="Arial" w:cs="Arial"/>
          <w:sz w:val="20"/>
          <w:szCs w:val="20"/>
        </w:rPr>
      </w:pPr>
      <w:r>
        <w:rPr>
          <w:rFonts w:eastAsia="Arial" w:cs="Arial"/>
          <w:sz w:val="20"/>
          <w:szCs w:val="20"/>
        </w:rPr>
        <w:t>whether or not advisory fees are paid directly by the client or deducted from the client's custody account (direct billing);</w:t>
      </w:r>
    </w:p>
    <w:p>
      <w:pPr>
        <w:numPr>
          <w:ilvl w:val="0"/>
          <w:numId w:val="85"/>
        </w:numPr>
        <w:ind w:left="720" w:hanging="192"/>
        <w:jc w:val="left"/>
        <w:rPr>
          <w:rFonts w:eastAsia="Arial" w:cs="Arial"/>
          <w:sz w:val="20"/>
          <w:szCs w:val="20"/>
        </w:rPr>
      </w:pPr>
      <w:r>
        <w:rPr>
          <w:rFonts w:eastAsia="Arial" w:cs="Arial"/>
          <w:sz w:val="20"/>
          <w:szCs w:val="20"/>
        </w:rPr>
        <w:t>whether the client receives account statements directly from the custodian or KCD and, if electronic delivery, the form of such electronic delivery (</w:t>
      </w:r>
      <w:r>
        <w:rPr>
          <w:rFonts w:eastAsia="Arial" w:cs="Arial"/>
          <w:i/>
          <w:iCs/>
          <w:sz w:val="20"/>
          <w:szCs w:val="20"/>
        </w:rPr>
        <w:t>e.g.,</w:t>
      </w:r>
      <w:r>
        <w:rPr>
          <w:rFonts w:eastAsia="Arial" w:cs="Arial"/>
          <w:sz w:val="20"/>
          <w:szCs w:val="20"/>
        </w:rPr>
        <w:t xml:space="preserve"> email or website login); and</w:t>
      </w:r>
    </w:p>
    <w:p>
      <w:pPr>
        <w:numPr>
          <w:ilvl w:val="0"/>
          <w:numId w:val="85"/>
        </w:numPr>
        <w:spacing w:after="200"/>
        <w:ind w:left="720" w:hanging="192"/>
        <w:jc w:val="left"/>
        <w:rPr>
          <w:rFonts w:eastAsia="Arial" w:cs="Arial"/>
          <w:sz w:val="20"/>
          <w:szCs w:val="20"/>
        </w:rPr>
      </w:pPr>
      <w:r>
        <w:rPr>
          <w:rFonts w:eastAsia="Arial" w:cs="Arial"/>
          <w:sz w:val="20"/>
          <w:szCs w:val="20"/>
        </w:rPr>
        <w:t>name and location of custodian for the account.</w:t>
      </w:r>
    </w:p>
    <w:p>
      <w:pPr>
        <w:pStyle w:val="normal0"/>
        <w:spacing w:before="200" w:after="200"/>
        <w:rPr>
          <w:rFonts w:eastAsia="Arial" w:cs="Arial"/>
          <w:sz w:val="20"/>
          <w:szCs w:val="20"/>
        </w:rPr>
      </w:pPr>
      <w:r>
        <w:rPr>
          <w:rFonts w:eastAsia="Arial" w:cs="Arial"/>
          <w:sz w:val="20"/>
          <w:szCs w:val="20"/>
        </w:rPr>
        <w:t>The computer system of KCD shall be maintained to have the following capabilities:</w:t>
      </w:r>
    </w:p>
    <w:p>
      <w:pPr>
        <w:numPr>
          <w:ilvl w:val="0"/>
          <w:numId w:val="86"/>
        </w:numPr>
        <w:spacing w:before="200"/>
        <w:ind w:left="720" w:hanging="192"/>
        <w:jc w:val="left"/>
        <w:rPr>
          <w:rFonts w:eastAsia="Arial" w:cs="Arial"/>
          <w:sz w:val="20"/>
          <w:szCs w:val="20"/>
        </w:rPr>
      </w:pPr>
      <w:r>
        <w:rPr>
          <w:rFonts w:eastAsia="Arial" w:cs="Arial"/>
          <w:sz w:val="20"/>
          <w:szCs w:val="20"/>
        </w:rPr>
        <w:t>separately shows each security that is owned by one or more clients and the name of each client that owns an interest in such security;</w:t>
      </w:r>
    </w:p>
    <w:p>
      <w:pPr>
        <w:numPr>
          <w:ilvl w:val="0"/>
          <w:numId w:val="86"/>
        </w:numPr>
        <w:ind w:left="720" w:hanging="192"/>
        <w:jc w:val="left"/>
        <w:rPr>
          <w:rFonts w:eastAsia="Arial" w:cs="Arial"/>
          <w:sz w:val="20"/>
          <w:szCs w:val="20"/>
        </w:rPr>
      </w:pPr>
      <w:r>
        <w:rPr>
          <w:rFonts w:eastAsia="Arial" w:cs="Arial"/>
          <w:sz w:val="20"/>
          <w:szCs w:val="20"/>
        </w:rPr>
        <w:t>promptly produces such records upon request; and</w:t>
      </w:r>
    </w:p>
    <w:p>
      <w:pPr>
        <w:numPr>
          <w:ilvl w:val="0"/>
          <w:numId w:val="86"/>
        </w:numPr>
        <w:spacing w:after="200"/>
        <w:ind w:left="720" w:hanging="192"/>
        <w:jc w:val="left"/>
        <w:rPr>
          <w:rFonts w:eastAsia="Arial" w:cs="Arial"/>
          <w:sz w:val="20"/>
          <w:szCs w:val="20"/>
        </w:rPr>
      </w:pPr>
      <w:r>
        <w:rPr>
          <w:rFonts w:eastAsia="Arial" w:cs="Arial"/>
          <w:sz w:val="20"/>
          <w:szCs w:val="20"/>
        </w:rPr>
        <w:t>can interface with, or accept downloads of data from, computer systems of the Broker-Dealer that maintains client information so that KCD may reconcile data.</w:t>
      </w:r>
    </w:p>
    <w:p>
      <w:pPr>
        <w:pStyle w:val="normal0"/>
        <w:spacing w:before="200" w:after="200"/>
        <w:rPr>
          <w:rFonts w:eastAsia="Arial" w:cs="Arial"/>
          <w:sz w:val="20"/>
          <w:szCs w:val="20"/>
        </w:rPr>
      </w:pPr>
      <w:r>
        <w:rPr>
          <w:rFonts w:eastAsia="Arial" w:cs="Arial"/>
          <w:sz w:val="20"/>
          <w:szCs w:val="20"/>
        </w:rPr>
        <w:t>With respect to client data classified as "personal information," KCD shall:</w:t>
      </w:r>
    </w:p>
    <w:p>
      <w:pPr>
        <w:numPr>
          <w:ilvl w:val="0"/>
          <w:numId w:val="87"/>
        </w:numPr>
        <w:spacing w:before="200"/>
        <w:ind w:left="720" w:hanging="192"/>
        <w:jc w:val="left"/>
        <w:rPr>
          <w:rFonts w:eastAsia="Arial" w:cs="Arial"/>
          <w:sz w:val="20"/>
          <w:szCs w:val="20"/>
        </w:rPr>
      </w:pPr>
      <w:r>
        <w:rPr>
          <w:rFonts w:eastAsia="Arial" w:cs="Arial"/>
          <w:sz w:val="20"/>
          <w:szCs w:val="20"/>
        </w:rPr>
        <w:t>limit the amount of personal information collected to that reasonably necessary to accomplish the legitimate purpose for which it is collected;</w:t>
      </w:r>
    </w:p>
    <w:p>
      <w:pPr>
        <w:numPr>
          <w:ilvl w:val="0"/>
          <w:numId w:val="87"/>
        </w:numPr>
        <w:ind w:left="720" w:hanging="192"/>
        <w:jc w:val="left"/>
        <w:rPr>
          <w:rFonts w:eastAsia="Arial" w:cs="Arial"/>
          <w:sz w:val="20"/>
          <w:szCs w:val="20"/>
        </w:rPr>
      </w:pPr>
      <w:r>
        <w:rPr>
          <w:rFonts w:eastAsia="Arial" w:cs="Arial"/>
          <w:sz w:val="20"/>
          <w:szCs w:val="20"/>
        </w:rPr>
        <w:t>limit the time such information is retained to that reasonably necessary to accomplish such purpose; and</w:t>
      </w:r>
    </w:p>
    <w:p>
      <w:pPr>
        <w:numPr>
          <w:ilvl w:val="0"/>
          <w:numId w:val="87"/>
        </w:numPr>
        <w:spacing w:after="200"/>
        <w:ind w:left="720" w:hanging="192"/>
        <w:jc w:val="left"/>
        <w:rPr>
          <w:rFonts w:eastAsia="Arial" w:cs="Arial"/>
          <w:sz w:val="20"/>
          <w:szCs w:val="20"/>
        </w:rPr>
      </w:pPr>
      <w:r>
        <w:rPr>
          <w:rFonts w:eastAsia="Arial" w:cs="Arial"/>
          <w:sz w:val="20"/>
          <w:szCs w:val="20"/>
        </w:rPr>
        <w:t>limit access (pursuant to the privacy procedures set forth in this chapter) to those persons who are reasonably required to know such information in order to accomplish such purpose or to comply with applicable state or federal record retention requirements.</w:t>
      </w:r>
    </w:p>
    <w:p>
      <w:bookmarkEnd w:id="66"/>
      <w:bookmarkStart w:id="68" w:name="Sec_Chp_061016102248171_061016102248375"/>
    </w:p>
    <w:p>
      <w:pPr>
        <w:pStyle w:val="Heading3"/>
      </w:pPr>
      <w:bookmarkStart w:id="69" w:name="_Toc256000028"/>
      <w:r>
        <w:t>3.3.4 Client Communications</w:t>
      </w:r>
      <w:bookmarkEnd w:id="69"/>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communication to a client or the general public shall be consistent with the following policies and guidelines:</w:t>
      </w:r>
    </w:p>
    <w:p>
      <w:pPr>
        <w:numPr>
          <w:ilvl w:val="0"/>
          <w:numId w:val="88"/>
        </w:numPr>
        <w:spacing w:before="200"/>
        <w:ind w:left="720" w:hanging="192"/>
        <w:jc w:val="left"/>
        <w:rPr>
          <w:rFonts w:eastAsia="Arial" w:cs="Arial"/>
          <w:sz w:val="20"/>
          <w:szCs w:val="20"/>
        </w:rPr>
      </w:pPr>
      <w:r>
        <w:rPr>
          <w:rFonts w:eastAsia="Arial" w:cs="Arial"/>
          <w:sz w:val="20"/>
          <w:szCs w:val="20"/>
        </w:rPr>
        <w:t>Any communication may not be untruthful or misleading or omit a material fact necessary for making the communication not misleading.</w:t>
      </w:r>
    </w:p>
    <w:p>
      <w:pPr>
        <w:numPr>
          <w:ilvl w:val="0"/>
          <w:numId w:val="88"/>
        </w:numPr>
        <w:ind w:left="720" w:hanging="192"/>
        <w:jc w:val="left"/>
        <w:rPr>
          <w:rFonts w:eastAsia="Arial" w:cs="Arial"/>
          <w:sz w:val="20"/>
          <w:szCs w:val="20"/>
        </w:rPr>
      </w:pPr>
      <w:r>
        <w:rPr>
          <w:rFonts w:eastAsia="Arial" w:cs="Arial"/>
          <w:sz w:val="20"/>
          <w:szCs w:val="20"/>
        </w:rPr>
        <w:t>A public communication may not include any promises of specific results or forecasts of future returns.</w:t>
      </w:r>
    </w:p>
    <w:p>
      <w:pPr>
        <w:numPr>
          <w:ilvl w:val="0"/>
          <w:numId w:val="88"/>
        </w:numPr>
        <w:ind w:left="720" w:hanging="192"/>
        <w:jc w:val="left"/>
        <w:rPr>
          <w:rFonts w:eastAsia="Arial" w:cs="Arial"/>
          <w:sz w:val="20"/>
          <w:szCs w:val="20"/>
        </w:rPr>
      </w:pPr>
      <w:r>
        <w:rPr>
          <w:rFonts w:eastAsia="Arial" w:cs="Arial"/>
          <w:sz w:val="20"/>
          <w:szCs w:val="20"/>
        </w:rPr>
        <w:t>When discussing investments, the risks of such investments and the possibility that their value may increase or decrease must be disclosed.</w:t>
      </w:r>
    </w:p>
    <w:p>
      <w:pPr>
        <w:numPr>
          <w:ilvl w:val="0"/>
          <w:numId w:val="88"/>
        </w:numPr>
        <w:ind w:left="720" w:hanging="192"/>
        <w:jc w:val="left"/>
        <w:rPr>
          <w:rFonts w:eastAsia="Arial" w:cs="Arial"/>
          <w:sz w:val="20"/>
          <w:szCs w:val="20"/>
        </w:rPr>
      </w:pPr>
      <w:r>
        <w:rPr>
          <w:rFonts w:eastAsia="Arial" w:cs="Arial"/>
          <w:sz w:val="20"/>
          <w:szCs w:val="20"/>
        </w:rPr>
        <w:t>An employee may make comparisons of KCD with competitors regarding fees, performance and other matters only if he or she has factual information that supports such comparisons.</w:t>
      </w:r>
    </w:p>
    <w:p>
      <w:pPr>
        <w:numPr>
          <w:ilvl w:val="0"/>
          <w:numId w:val="88"/>
        </w:numPr>
        <w:ind w:left="720" w:hanging="192"/>
        <w:jc w:val="left"/>
        <w:rPr>
          <w:rFonts w:eastAsia="Arial" w:cs="Arial"/>
          <w:sz w:val="20"/>
          <w:szCs w:val="20"/>
        </w:rPr>
      </w:pPr>
      <w:r>
        <w:rPr>
          <w:rFonts w:eastAsia="Arial" w:cs="Arial"/>
          <w:sz w:val="20"/>
          <w:szCs w:val="20"/>
        </w:rPr>
        <w:t>Any material that contains the legend "Internal Use Only" or similar legends may not be provided to clients or other persons who are not employees of KCD or services provided to KCD.</w:t>
      </w:r>
    </w:p>
    <w:p>
      <w:pPr>
        <w:numPr>
          <w:ilvl w:val="0"/>
          <w:numId w:val="88"/>
        </w:numPr>
        <w:ind w:left="720" w:hanging="192"/>
        <w:jc w:val="left"/>
        <w:rPr>
          <w:rFonts w:eastAsia="Arial" w:cs="Arial"/>
          <w:sz w:val="20"/>
          <w:szCs w:val="20"/>
        </w:rPr>
      </w:pPr>
      <w:r>
        <w:rPr>
          <w:rFonts w:eastAsia="Arial" w:cs="Arial"/>
          <w:sz w:val="20"/>
          <w:szCs w:val="20"/>
        </w:rPr>
        <w:t>Employees shall use only for business purposes stationery and business cards bearing KCD's logo, unless the Chief Compliance Officer approves in writing the use of non-standard stationery or business cards.</w:t>
      </w:r>
    </w:p>
    <w:p>
      <w:pPr>
        <w:numPr>
          <w:ilvl w:val="0"/>
          <w:numId w:val="88"/>
        </w:numPr>
        <w:spacing w:after="200"/>
        <w:ind w:left="720" w:hanging="192"/>
        <w:jc w:val="left"/>
        <w:rPr>
          <w:rFonts w:eastAsia="Arial" w:cs="Arial"/>
          <w:sz w:val="20"/>
          <w:szCs w:val="20"/>
        </w:rPr>
      </w:pPr>
      <w:r>
        <w:rPr>
          <w:rFonts w:eastAsia="Arial" w:cs="Arial"/>
          <w:sz w:val="20"/>
          <w:szCs w:val="20"/>
        </w:rPr>
        <w:t>Neither tax nor legal advice will be provided to clients in communications.</w:t>
      </w:r>
    </w:p>
    <w:p>
      <w:bookmarkEnd w:id="68"/>
      <w:bookmarkStart w:id="70" w:name="Sec_Chp_061016102248171_061016102248390"/>
    </w:p>
    <w:p>
      <w:pPr>
        <w:pStyle w:val="Heading4"/>
      </w:pPr>
      <w:r>
        <w:t>3.3.4.1 Incoming Correspondence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incoming correspondence received by regular mail, including correspondence marked "Personal" or "Confidential," shall be opened by the Chief Compliance Officer or designee. Any irregular correspondence, including e-mails, or correspondence relating to complaints or legal actions related to a client will be immediately forwarded to KCD's chief legal counsel or outside counsel.</w:t>
      </w:r>
    </w:p>
    <w:p>
      <w:bookmarkEnd w:id="70"/>
      <w:bookmarkStart w:id="71" w:name="Sec_Chp_061016102248171_061016102248406"/>
    </w:p>
    <w:p>
      <w:pPr>
        <w:pStyle w:val="Heading4"/>
      </w:pPr>
      <w:r>
        <w:t>3.3.4.2 Outgoing Correspondence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sending any outgoing firm-related correspondence to five or more persons (by regular mail, e-mail or otherwise), an employee must submit such correspondence to the Chief Compliance Officer for pre-approval. The only exception to this policy is correspondence that responds to a client's questions regarding the status of his or her account or a specific transaction. Any firm-related correspondence must be sent on firm letterhead. No outgoing correspondence may be untruthful or misleading or omit a material fact necessary for making the communication not misleading.</w:t>
      </w:r>
    </w:p>
    <w:p>
      <w:bookmarkEnd w:id="71"/>
      <w:bookmarkStart w:id="72" w:name="Sec_Chp_061016102248171_061016102248421"/>
    </w:p>
    <w:p>
      <w:pPr>
        <w:pStyle w:val="Heading4"/>
      </w:pPr>
      <w:r>
        <w:t xml:space="preserve">3.3.4.3 Oral Communications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Oral communications with clients and prospective clients must be true, accurate, complete and not misleading. Oral communications must comply with the same high standards of accuracy, completeness and credibility as are required in written communications. Employees should limit their oral communications to factual information concerning investments or other topics.</w:t>
      </w:r>
    </w:p>
    <w:p>
      <w:bookmarkEnd w:id="72"/>
      <w:bookmarkStart w:id="73" w:name="Sec_Chp_061016102248171_061016102248437"/>
    </w:p>
    <w:p>
      <w:pPr>
        <w:pStyle w:val="Heading4"/>
      </w:pPr>
      <w:r>
        <w:t>3.3.4.4 Electronic Delivery of Communications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deliver electronically required reports and other information to clients, provided the following conditions are met:</w:t>
      </w:r>
    </w:p>
    <w:p>
      <w:pPr>
        <w:numPr>
          <w:ilvl w:val="0"/>
          <w:numId w:val="89"/>
        </w:numPr>
        <w:spacing w:before="200"/>
        <w:ind w:left="720" w:hanging="267"/>
        <w:jc w:val="left"/>
        <w:rPr>
          <w:rFonts w:eastAsia="Arial" w:cs="Arial"/>
          <w:sz w:val="20"/>
          <w:szCs w:val="20"/>
        </w:rPr>
      </w:pPr>
      <w:r>
        <w:rPr>
          <w:rFonts w:eastAsia="Arial" w:cs="Arial"/>
          <w:sz w:val="20"/>
          <w:szCs w:val="20"/>
        </w:rPr>
        <w:t>The client has given informed consent to receiving the information electronically;</w:t>
      </w:r>
    </w:p>
    <w:p>
      <w:pPr>
        <w:numPr>
          <w:ilvl w:val="0"/>
          <w:numId w:val="89"/>
        </w:numPr>
        <w:ind w:left="720" w:hanging="267"/>
        <w:jc w:val="left"/>
        <w:rPr>
          <w:rFonts w:eastAsia="Arial" w:cs="Arial"/>
          <w:sz w:val="20"/>
          <w:szCs w:val="20"/>
        </w:rPr>
      </w:pPr>
      <w:r>
        <w:rPr>
          <w:rFonts w:eastAsia="Arial" w:cs="Arial"/>
          <w:sz w:val="20"/>
          <w:szCs w:val="20"/>
        </w:rPr>
        <w:t>The client can effectively access the electronically delivered information; and</w:t>
      </w:r>
    </w:p>
    <w:p>
      <w:pPr>
        <w:numPr>
          <w:ilvl w:val="0"/>
          <w:numId w:val="89"/>
        </w:numPr>
        <w:spacing w:after="200"/>
        <w:ind w:left="720" w:hanging="267"/>
        <w:jc w:val="left"/>
        <w:rPr>
          <w:rFonts w:eastAsia="Arial" w:cs="Arial"/>
          <w:sz w:val="20"/>
          <w:szCs w:val="20"/>
        </w:rPr>
      </w:pPr>
      <w:r>
        <w:rPr>
          <w:rFonts w:eastAsia="Arial" w:cs="Arial"/>
          <w:sz w:val="20"/>
          <w:szCs w:val="20"/>
        </w:rPr>
        <w:t>KCD receives evidence of the successful electronic delivery of the information (e.g., an e-mail return receipt or other confirmation that the client accessed the information).</w:t>
      </w:r>
    </w:p>
    <w:p>
      <w:pPr>
        <w:pStyle w:val="normal0"/>
        <w:spacing w:before="200" w:after="200"/>
        <w:rPr>
          <w:rFonts w:eastAsia="Arial" w:cs="Arial"/>
          <w:sz w:val="20"/>
          <w:szCs w:val="20"/>
        </w:rPr>
      </w:pPr>
      <w:r>
        <w:rPr>
          <w:rFonts w:eastAsia="Arial" w:cs="Arial"/>
          <w:sz w:val="20"/>
          <w:szCs w:val="20"/>
        </w:rPr>
        <w:t>Evidence of consent may be satisfied by:</w:t>
      </w:r>
    </w:p>
    <w:p>
      <w:pPr>
        <w:numPr>
          <w:ilvl w:val="0"/>
          <w:numId w:val="90"/>
        </w:numPr>
        <w:spacing w:before="200"/>
        <w:ind w:left="720" w:hanging="192"/>
        <w:jc w:val="left"/>
        <w:rPr>
          <w:rFonts w:eastAsia="Arial" w:cs="Arial"/>
          <w:sz w:val="20"/>
          <w:szCs w:val="20"/>
        </w:rPr>
      </w:pPr>
      <w:r>
        <w:rPr>
          <w:rFonts w:eastAsia="Arial" w:cs="Arial"/>
          <w:sz w:val="20"/>
          <w:szCs w:val="20"/>
        </w:rPr>
        <w:t>Letter;</w:t>
      </w:r>
    </w:p>
    <w:p>
      <w:pPr>
        <w:numPr>
          <w:ilvl w:val="0"/>
          <w:numId w:val="90"/>
        </w:numPr>
        <w:ind w:left="720" w:hanging="192"/>
        <w:jc w:val="left"/>
        <w:rPr>
          <w:rFonts w:eastAsia="Arial" w:cs="Arial"/>
          <w:sz w:val="20"/>
          <w:szCs w:val="20"/>
        </w:rPr>
      </w:pPr>
      <w:r>
        <w:rPr>
          <w:rFonts w:eastAsia="Arial" w:cs="Arial"/>
          <w:sz w:val="20"/>
          <w:szCs w:val="20"/>
        </w:rPr>
        <w:t>E-mail; or</w:t>
      </w:r>
    </w:p>
    <w:p>
      <w:pPr>
        <w:numPr>
          <w:ilvl w:val="0"/>
          <w:numId w:val="90"/>
        </w:numPr>
        <w:spacing w:after="200"/>
        <w:ind w:left="720" w:hanging="192"/>
        <w:jc w:val="left"/>
        <w:rPr>
          <w:rFonts w:eastAsia="Arial" w:cs="Arial"/>
          <w:sz w:val="20"/>
          <w:szCs w:val="20"/>
        </w:rPr>
      </w:pPr>
      <w:r>
        <w:rPr>
          <w:rFonts w:eastAsia="Arial" w:cs="Arial"/>
          <w:sz w:val="20"/>
          <w:szCs w:val="20"/>
        </w:rPr>
        <w:t>Telephone, provided a record of the telephonic consent is kept and such record contains as much detail as a written consent, including the scope of the consent and the type of electronic media that will be used.</w:t>
      </w:r>
    </w:p>
    <w:p>
      <w:bookmarkEnd w:id="73"/>
      <w:bookmarkStart w:id="74" w:name="Sec_Chp_061016102248171_061016102248453"/>
    </w:p>
    <w:p>
      <w:pPr>
        <w:pStyle w:val="Heading4"/>
      </w:pPr>
      <w:r>
        <w:t>3.3.4.5 E-mails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and its employees when communicating to clients by e-mail shall follow the firm's procedures set forth in the "Employees" chapter of this manual.</w:t>
      </w:r>
    </w:p>
    <w:p>
      <w:bookmarkEnd w:id="74"/>
    </w:p>
    <w:p>
      <w:pPr>
        <w:pStyle w:val="Heading4"/>
      </w:pPr>
      <w:r>
        <w:t>3.3.4.6 Client Alerts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communicate to existing clients through letters, e-mails, web postings or other forms of communication information about significant events or developments that might impact the management of their accounts. Such communication is in addition to any notice required to be made by KCD in the </w:t>
      </w:r>
      <w:r>
        <w:rPr>
          <w:rFonts w:eastAsia="Arial" w:cs="Arial"/>
          <w:i/>
          <w:iCs/>
          <w:sz w:val="20"/>
          <w:szCs w:val="20"/>
        </w:rPr>
        <w:t>Breaches of Security of Client Information</w:t>
      </w:r>
      <w:r>
        <w:rPr>
          <w:rFonts w:eastAsia="Arial" w:cs="Arial"/>
          <w:sz w:val="20"/>
          <w:szCs w:val="20"/>
        </w:rPr>
        <w:t xml:space="preserve"> section of this Manual.</w:t>
      </w:r>
    </w:p>
    <w:p/>
    <w:p>
      <w:pPr>
        <w:pStyle w:val="Heading5"/>
      </w:pPr>
      <w:r>
        <w:t>3.3.4.6.1 Form of Communication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alert its clients of important events or developments in the appropriate manner, including letters, e-mails, web postings or other forms of communication.</w:t>
      </w:r>
    </w:p>
    <w:p/>
    <w:p>
      <w:pPr>
        <w:pStyle w:val="Heading5"/>
      </w:pPr>
      <w:r>
        <w:t>3.3.4.6.2 Timing of Communication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alert its clients within the appropriate time period that largely depends on the severity or importance of the event or developments. KCD shall communicate significant events as soon as possible and less significant events in monthly or quarterly publications or statements. KCD shall use its best efforts to make such communications simultaneously to all clients so that no one group of clients who receive the communication first gains an advantage over the remaining clients. See </w:t>
      </w:r>
      <w:r>
        <w:rPr>
          <w:rFonts w:eastAsia="Arial" w:cs="Arial"/>
          <w:i/>
          <w:iCs/>
          <w:sz w:val="20"/>
          <w:szCs w:val="20"/>
        </w:rPr>
        <w:t>Evergreen Investment Management Company, LLC,</w:t>
      </w:r>
      <w:r>
        <w:rPr>
          <w:rFonts w:eastAsia="Arial" w:cs="Arial"/>
          <w:sz w:val="20"/>
          <w:szCs w:val="20"/>
        </w:rPr>
        <w:t xml:space="preserve"> Investment Advisers Act Rel. No. 2888 (June 8, 2009).</w:t>
      </w:r>
    </w:p>
    <w:p/>
    <w:p>
      <w:pPr>
        <w:pStyle w:val="Heading5"/>
      </w:pPr>
      <w:r>
        <w:t>3.3.4.6.3 Types of Material Events or Developments Triggering Alerts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are the types of events that likely will cause KCD to send an alert to its clients:</w:t>
      </w:r>
    </w:p>
    <w:p>
      <w:pPr>
        <w:numPr>
          <w:ilvl w:val="0"/>
          <w:numId w:val="91"/>
        </w:numPr>
        <w:spacing w:before="200"/>
        <w:ind w:left="720" w:hanging="192"/>
        <w:jc w:val="left"/>
        <w:rPr>
          <w:rFonts w:eastAsia="Arial" w:cs="Arial"/>
          <w:sz w:val="20"/>
          <w:szCs w:val="20"/>
        </w:rPr>
      </w:pPr>
      <w:r>
        <w:rPr>
          <w:rFonts w:eastAsia="Arial" w:cs="Arial"/>
          <w:sz w:val="20"/>
          <w:szCs w:val="20"/>
        </w:rPr>
        <w:t>Significant shifts in investment strategy or key risk exposures;</w:t>
      </w:r>
    </w:p>
    <w:p>
      <w:pPr>
        <w:numPr>
          <w:ilvl w:val="0"/>
          <w:numId w:val="91"/>
        </w:numPr>
        <w:ind w:left="720" w:hanging="192"/>
        <w:jc w:val="left"/>
        <w:rPr>
          <w:rFonts w:eastAsia="Arial" w:cs="Arial"/>
          <w:sz w:val="20"/>
          <w:szCs w:val="20"/>
        </w:rPr>
      </w:pPr>
      <w:r>
        <w:rPr>
          <w:rFonts w:eastAsia="Arial" w:cs="Arial"/>
          <w:sz w:val="20"/>
          <w:szCs w:val="20"/>
        </w:rPr>
        <w:t>Changes in key personnel;</w:t>
      </w:r>
    </w:p>
    <w:p>
      <w:pPr>
        <w:numPr>
          <w:ilvl w:val="0"/>
          <w:numId w:val="91"/>
        </w:numPr>
        <w:ind w:left="720" w:hanging="192"/>
        <w:jc w:val="left"/>
        <w:rPr>
          <w:rFonts w:eastAsia="Arial" w:cs="Arial"/>
          <w:sz w:val="20"/>
          <w:szCs w:val="20"/>
        </w:rPr>
      </w:pPr>
      <w:r>
        <w:rPr>
          <w:rFonts w:eastAsia="Arial" w:cs="Arial"/>
          <w:sz w:val="20"/>
          <w:szCs w:val="20"/>
        </w:rPr>
        <w:t>Recently obtained performance information;</w:t>
      </w:r>
    </w:p>
    <w:p>
      <w:pPr>
        <w:numPr>
          <w:ilvl w:val="0"/>
          <w:numId w:val="91"/>
        </w:numPr>
        <w:ind w:left="720" w:hanging="192"/>
        <w:jc w:val="left"/>
        <w:rPr>
          <w:rFonts w:eastAsia="Arial" w:cs="Arial"/>
          <w:sz w:val="20"/>
          <w:szCs w:val="20"/>
        </w:rPr>
      </w:pPr>
      <w:r>
        <w:rPr>
          <w:rFonts w:eastAsia="Arial" w:cs="Arial"/>
          <w:sz w:val="20"/>
          <w:szCs w:val="20"/>
        </w:rPr>
        <w:t>Events materially adversely impacting the operations of KCD; and</w:t>
      </w:r>
    </w:p>
    <w:p>
      <w:pPr>
        <w:numPr>
          <w:ilvl w:val="0"/>
          <w:numId w:val="91"/>
        </w:numPr>
        <w:spacing w:after="200"/>
        <w:ind w:left="720" w:hanging="192"/>
        <w:jc w:val="left"/>
        <w:rPr>
          <w:rFonts w:eastAsia="Arial" w:cs="Arial"/>
          <w:sz w:val="20"/>
          <w:szCs w:val="20"/>
        </w:rPr>
      </w:pPr>
      <w:r>
        <w:rPr>
          <w:rFonts w:eastAsia="Arial" w:cs="Arial"/>
          <w:sz w:val="20"/>
          <w:szCs w:val="20"/>
        </w:rPr>
        <w:t>Significant market events.</w:t>
      </w:r>
    </w:p>
    <w:p>
      <w:bookmarkStart w:id="75" w:name="Sec_Chp_061016102248171_0610161022484533"/>
    </w:p>
    <w:p>
      <w:pPr>
        <w:pStyle w:val="Heading5"/>
      </w:pPr>
      <w:r>
        <w:t>3.3.4.6.4 Form ADV</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Material events or developments may trigger the need for immediate amendment of KCD's Form ADV. Refer to "Registration and Filings" chapter of this manual.</w:t>
      </w:r>
    </w:p>
    <w:p>
      <w:bookmarkEnd w:id="75"/>
      <w:bookmarkStart w:id="76" w:name="Sec_Chp_061016102248171_061016103357"/>
    </w:p>
    <w:p>
      <w:pPr>
        <w:pStyle w:val="Heading4"/>
      </w:pPr>
      <w:r>
        <w:t>3.3.4.7 PDF Documents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deliver documents required to be delivered by regulations to clients in Portable Document Format (PDF), provided it:</w:t>
      </w:r>
    </w:p>
    <w:p>
      <w:pPr>
        <w:numPr>
          <w:ilvl w:val="0"/>
          <w:numId w:val="92"/>
        </w:numPr>
        <w:spacing w:before="200"/>
        <w:ind w:left="720" w:hanging="192"/>
        <w:jc w:val="left"/>
        <w:rPr>
          <w:rFonts w:eastAsia="Arial" w:cs="Arial"/>
          <w:sz w:val="20"/>
          <w:szCs w:val="20"/>
        </w:rPr>
      </w:pPr>
      <w:r>
        <w:rPr>
          <w:rFonts w:eastAsia="Arial" w:cs="Arial"/>
          <w:sz w:val="20"/>
          <w:szCs w:val="20"/>
        </w:rPr>
        <w:t>places a link on its web site enabling users to download a free copy of Adobe Acrobat;</w:t>
      </w:r>
    </w:p>
    <w:p>
      <w:pPr>
        <w:numPr>
          <w:ilvl w:val="0"/>
          <w:numId w:val="92"/>
        </w:numPr>
        <w:ind w:left="720" w:hanging="192"/>
        <w:jc w:val="left"/>
        <w:rPr>
          <w:rFonts w:eastAsia="Arial" w:cs="Arial"/>
          <w:sz w:val="20"/>
          <w:szCs w:val="20"/>
        </w:rPr>
      </w:pPr>
      <w:r>
        <w:rPr>
          <w:rFonts w:eastAsia="Arial" w:cs="Arial"/>
          <w:sz w:val="20"/>
          <w:szCs w:val="20"/>
        </w:rPr>
        <w:t>provides a toll-free telephone number that clients can use to contact KCD during business hours for technical assistance or to request a paper copy of the document; and</w:t>
      </w:r>
    </w:p>
    <w:p>
      <w:pPr>
        <w:numPr>
          <w:ilvl w:val="0"/>
          <w:numId w:val="92"/>
        </w:numPr>
        <w:spacing w:after="200"/>
        <w:ind w:left="720" w:hanging="192"/>
        <w:jc w:val="left"/>
        <w:rPr>
          <w:rFonts w:eastAsia="Arial" w:cs="Arial"/>
          <w:sz w:val="20"/>
          <w:szCs w:val="20"/>
        </w:rPr>
      </w:pPr>
      <w:r>
        <w:rPr>
          <w:rFonts w:eastAsia="Arial" w:cs="Arial"/>
          <w:sz w:val="20"/>
          <w:szCs w:val="20"/>
        </w:rPr>
        <w:t>satisfies electronic delivery requirements set forth herein.</w:t>
      </w:r>
    </w:p>
    <w:p>
      <w:bookmarkEnd w:id="76"/>
      <w:bookmarkStart w:id="77" w:name="Sec_Chp_061016102248171_061016103359"/>
    </w:p>
    <w:p>
      <w:pPr>
        <w:pStyle w:val="Heading4"/>
      </w:pPr>
      <w:r>
        <w:t>3.3.4.8 Privileged E-Mails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appropriate, Firm employees communicating with legal counsel will consider placing "Attorney-Client Privileged and Confidential" in the Subject Line of an e-mail, especially with knowledge that e-mails without such designation may be subject to review by the SEC. Where necessary, KCD shall consult with outside counsel to determine whether a given communication may be eligible for privileged status.</w:t>
      </w:r>
    </w:p>
    <w:p>
      <w:pPr>
        <w:pStyle w:val="normal0"/>
        <w:spacing w:before="200" w:after="200"/>
        <w:rPr>
          <w:rFonts w:eastAsia="Arial" w:cs="Arial"/>
          <w:sz w:val="20"/>
          <w:szCs w:val="20"/>
        </w:rPr>
      </w:pPr>
      <w:r>
        <w:rPr>
          <w:rFonts w:eastAsia="Arial" w:cs="Arial"/>
          <w:sz w:val="20"/>
          <w:szCs w:val="20"/>
        </w:rPr>
        <w:t>If KCD uses "Attorney-Client Privileged and Confidential" in e-mails, it shall maintain a "Vaughn Index" to log such e-mails. A Vaughn Index is an itemization of the documents claimed to be privileged together with an assertion of the privilege or privileges claimed for each document. The Vaughn Index at a minimum shall include for each privileged e-mail:</w:t>
      </w:r>
    </w:p>
    <w:p>
      <w:pPr>
        <w:numPr>
          <w:ilvl w:val="0"/>
          <w:numId w:val="93"/>
        </w:numPr>
        <w:spacing w:before="200"/>
        <w:ind w:left="720" w:hanging="192"/>
        <w:jc w:val="left"/>
        <w:rPr>
          <w:rFonts w:eastAsia="Arial" w:cs="Arial"/>
          <w:sz w:val="20"/>
          <w:szCs w:val="20"/>
        </w:rPr>
      </w:pPr>
      <w:r>
        <w:rPr>
          <w:rFonts w:eastAsia="Arial" w:cs="Arial"/>
          <w:sz w:val="20"/>
          <w:szCs w:val="20"/>
        </w:rPr>
        <w:t>The date;</w:t>
      </w:r>
    </w:p>
    <w:p>
      <w:pPr>
        <w:numPr>
          <w:ilvl w:val="0"/>
          <w:numId w:val="93"/>
        </w:numPr>
        <w:ind w:left="720" w:hanging="192"/>
        <w:jc w:val="left"/>
        <w:rPr>
          <w:rFonts w:eastAsia="Arial" w:cs="Arial"/>
          <w:sz w:val="20"/>
          <w:szCs w:val="20"/>
        </w:rPr>
      </w:pPr>
      <w:r>
        <w:rPr>
          <w:rFonts w:eastAsia="Arial" w:cs="Arial"/>
          <w:sz w:val="20"/>
          <w:szCs w:val="20"/>
        </w:rPr>
        <w:t>Author;</w:t>
      </w:r>
    </w:p>
    <w:p>
      <w:pPr>
        <w:numPr>
          <w:ilvl w:val="0"/>
          <w:numId w:val="93"/>
        </w:numPr>
        <w:ind w:left="720" w:hanging="192"/>
        <w:jc w:val="left"/>
        <w:rPr>
          <w:rFonts w:eastAsia="Arial" w:cs="Arial"/>
          <w:sz w:val="20"/>
          <w:szCs w:val="20"/>
        </w:rPr>
      </w:pPr>
      <w:r>
        <w:rPr>
          <w:rFonts w:eastAsia="Arial" w:cs="Arial"/>
          <w:sz w:val="20"/>
          <w:szCs w:val="20"/>
        </w:rPr>
        <w:t>Recipient; and</w:t>
      </w:r>
    </w:p>
    <w:p>
      <w:pPr>
        <w:numPr>
          <w:ilvl w:val="0"/>
          <w:numId w:val="93"/>
        </w:numPr>
        <w:spacing w:after="200"/>
        <w:ind w:left="720" w:hanging="192"/>
        <w:jc w:val="left"/>
        <w:rPr>
          <w:rFonts w:eastAsia="Arial" w:cs="Arial"/>
          <w:sz w:val="20"/>
          <w:szCs w:val="20"/>
        </w:rPr>
      </w:pPr>
      <w:r>
        <w:rPr>
          <w:rFonts w:eastAsia="Arial" w:cs="Arial"/>
          <w:sz w:val="20"/>
          <w:szCs w:val="20"/>
        </w:rPr>
        <w:t>Basis for the assertion of the privilege.</w:t>
      </w:r>
    </w:p>
    <w:p>
      <w:bookmarkEnd w:id="77"/>
      <w:bookmarkStart w:id="78" w:name="Sec_Chp_061016102248171_0610161033510"/>
    </w:p>
    <w:p>
      <w:pPr>
        <w:pStyle w:val="Heading4"/>
      </w:pPr>
      <w:r>
        <w:t>3.3.4.9 Instant Messaging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Firm employees may not use an instant messaging platform for business purposes. Firm employees may use instant messaging for any non-business purpose while at KCD only with permission from the Chief Compliance Officer. Home office employees may utilize the internal instant messaging system only for internal business purposes.</w:t>
      </w:r>
    </w:p>
    <w:p>
      <w:bookmarkEnd w:id="78"/>
      <w:bookmarkStart w:id="79" w:name="Sec_Chp_061016102248171_061016102248460"/>
    </w:p>
    <w:p>
      <w:pPr>
        <w:pStyle w:val="Heading3"/>
      </w:pPr>
      <w:bookmarkStart w:id="80" w:name="_Toc256000029"/>
      <w:r>
        <w:t>3.3.5 Fraud</w:t>
      </w:r>
      <w:bookmarkEnd w:id="80"/>
    </w:p>
    <w:p/>
    <w:p>
      <w:pPr>
        <w:rPr>
          <w:rFonts w:eastAsia="Arial" w:cs="Arial"/>
          <w:sz w:val="16"/>
          <w:szCs w:val="16"/>
        </w:rPr>
      </w:pPr>
    </w:p>
    <w:p>
      <w:bookmarkEnd w:id="79"/>
      <w:bookmarkStart w:id="81" w:name="Sec_Chp_061016102248171_0610161022484601"/>
    </w:p>
    <w:p>
      <w:pPr>
        <w:pStyle w:val="Heading4"/>
      </w:pPr>
      <w:r>
        <w:t>3.3.5.1 All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may not make false or misleading statements to, or engage in other fraud on, clients or prospective clients. </w:t>
      </w:r>
    </w:p>
    <w:p>
      <w:pPr>
        <w:pStyle w:val="normal0"/>
        <w:spacing w:before="200" w:after="200"/>
        <w:rPr>
          <w:rFonts w:eastAsia="Arial" w:cs="Arial"/>
          <w:sz w:val="20"/>
          <w:szCs w:val="20"/>
        </w:rPr>
      </w:pPr>
      <w:r>
        <w:rPr>
          <w:rFonts w:eastAsia="Arial" w:cs="Arial"/>
          <w:sz w:val="20"/>
          <w:szCs w:val="20"/>
        </w:rPr>
        <w:t>KCD shall review, at a minimum, each of the following documents before disseminating them to clients, prospective clients or others, or filing them with the SEC, to ensure that they do not contain false or misleading statements:</w:t>
      </w:r>
    </w:p>
    <w:p>
      <w:pPr>
        <w:numPr>
          <w:ilvl w:val="0"/>
          <w:numId w:val="94"/>
        </w:numPr>
        <w:spacing w:before="200"/>
        <w:ind w:left="720" w:hanging="192"/>
        <w:jc w:val="left"/>
        <w:rPr>
          <w:rFonts w:eastAsia="Arial" w:cs="Arial"/>
          <w:sz w:val="20"/>
          <w:szCs w:val="20"/>
        </w:rPr>
      </w:pPr>
      <w:r>
        <w:rPr>
          <w:rFonts w:eastAsia="Arial" w:cs="Arial"/>
          <w:sz w:val="20"/>
          <w:szCs w:val="20"/>
        </w:rPr>
        <w:t>form letters sent to 5 or more persons,</w:t>
      </w:r>
    </w:p>
    <w:p>
      <w:pPr>
        <w:numPr>
          <w:ilvl w:val="0"/>
          <w:numId w:val="94"/>
        </w:numPr>
        <w:ind w:left="720" w:hanging="192"/>
        <w:jc w:val="left"/>
        <w:rPr>
          <w:rFonts w:eastAsia="Arial" w:cs="Arial"/>
          <w:sz w:val="20"/>
          <w:szCs w:val="20"/>
        </w:rPr>
      </w:pPr>
      <w:r>
        <w:rPr>
          <w:rFonts w:eastAsia="Arial" w:cs="Arial"/>
          <w:sz w:val="20"/>
          <w:szCs w:val="20"/>
        </w:rPr>
        <w:t>brochures,</w:t>
      </w:r>
    </w:p>
    <w:p>
      <w:pPr>
        <w:numPr>
          <w:ilvl w:val="0"/>
          <w:numId w:val="94"/>
        </w:numPr>
        <w:ind w:left="720" w:hanging="192"/>
        <w:jc w:val="left"/>
        <w:rPr>
          <w:rFonts w:eastAsia="Arial" w:cs="Arial"/>
          <w:sz w:val="20"/>
          <w:szCs w:val="20"/>
        </w:rPr>
      </w:pPr>
      <w:r>
        <w:rPr>
          <w:rFonts w:eastAsia="Arial" w:cs="Arial"/>
          <w:sz w:val="20"/>
          <w:szCs w:val="20"/>
        </w:rPr>
        <w:t>fact sheets,</w:t>
      </w:r>
    </w:p>
    <w:p>
      <w:pPr>
        <w:numPr>
          <w:ilvl w:val="0"/>
          <w:numId w:val="94"/>
        </w:numPr>
        <w:ind w:left="720" w:hanging="192"/>
        <w:jc w:val="left"/>
        <w:rPr>
          <w:rFonts w:eastAsia="Arial" w:cs="Arial"/>
          <w:sz w:val="20"/>
          <w:szCs w:val="20"/>
        </w:rPr>
      </w:pPr>
      <w:r>
        <w:rPr>
          <w:rFonts w:eastAsia="Arial" w:cs="Arial"/>
          <w:sz w:val="20"/>
          <w:szCs w:val="20"/>
        </w:rPr>
        <w:t>form e-mails sent to 5 or more persons,</w:t>
      </w:r>
    </w:p>
    <w:p>
      <w:pPr>
        <w:numPr>
          <w:ilvl w:val="0"/>
          <w:numId w:val="94"/>
        </w:numPr>
        <w:ind w:left="720" w:hanging="192"/>
        <w:jc w:val="left"/>
        <w:rPr>
          <w:rFonts w:eastAsia="Arial" w:cs="Arial"/>
          <w:sz w:val="20"/>
          <w:szCs w:val="20"/>
        </w:rPr>
      </w:pPr>
      <w:r>
        <w:rPr>
          <w:rFonts w:eastAsia="Arial" w:cs="Arial"/>
          <w:sz w:val="20"/>
          <w:szCs w:val="20"/>
        </w:rPr>
        <w:t>account statements,</w:t>
      </w:r>
    </w:p>
    <w:p>
      <w:pPr>
        <w:numPr>
          <w:ilvl w:val="0"/>
          <w:numId w:val="94"/>
        </w:numPr>
        <w:ind w:left="720" w:hanging="192"/>
        <w:jc w:val="left"/>
        <w:rPr>
          <w:rFonts w:eastAsia="Arial" w:cs="Arial"/>
          <w:sz w:val="20"/>
          <w:szCs w:val="20"/>
        </w:rPr>
      </w:pPr>
      <w:r>
        <w:rPr>
          <w:rFonts w:eastAsia="Arial" w:cs="Arial"/>
          <w:sz w:val="20"/>
          <w:szCs w:val="20"/>
        </w:rPr>
        <w:t>performance and other investor reports,</w:t>
      </w:r>
    </w:p>
    <w:p>
      <w:pPr>
        <w:numPr>
          <w:ilvl w:val="0"/>
          <w:numId w:val="94"/>
        </w:numPr>
        <w:ind w:left="720" w:hanging="192"/>
        <w:jc w:val="left"/>
        <w:rPr>
          <w:rFonts w:eastAsia="Arial" w:cs="Arial"/>
          <w:sz w:val="20"/>
          <w:szCs w:val="20"/>
        </w:rPr>
      </w:pPr>
      <w:r>
        <w:rPr>
          <w:rFonts w:eastAsia="Arial" w:cs="Arial"/>
          <w:sz w:val="20"/>
          <w:szCs w:val="20"/>
        </w:rPr>
        <w:t xml:space="preserve">private placement memoranda, </w:t>
      </w:r>
    </w:p>
    <w:p>
      <w:pPr>
        <w:numPr>
          <w:ilvl w:val="0"/>
          <w:numId w:val="94"/>
        </w:numPr>
        <w:ind w:left="720" w:hanging="192"/>
        <w:jc w:val="left"/>
        <w:rPr>
          <w:rFonts w:eastAsia="Arial" w:cs="Arial"/>
          <w:sz w:val="20"/>
          <w:szCs w:val="20"/>
        </w:rPr>
      </w:pPr>
      <w:r>
        <w:rPr>
          <w:rFonts w:eastAsia="Arial" w:cs="Arial"/>
          <w:sz w:val="20"/>
          <w:szCs w:val="20"/>
        </w:rPr>
        <w:t>offering circulars,</w:t>
      </w:r>
    </w:p>
    <w:p>
      <w:pPr>
        <w:numPr>
          <w:ilvl w:val="0"/>
          <w:numId w:val="94"/>
        </w:numPr>
        <w:ind w:left="720" w:hanging="192"/>
        <w:jc w:val="left"/>
        <w:rPr>
          <w:rFonts w:eastAsia="Arial" w:cs="Arial"/>
          <w:sz w:val="20"/>
          <w:szCs w:val="20"/>
        </w:rPr>
      </w:pPr>
      <w:r>
        <w:rPr>
          <w:rFonts w:eastAsia="Arial" w:cs="Arial"/>
          <w:sz w:val="20"/>
          <w:szCs w:val="20"/>
        </w:rPr>
        <w:t>responses to "requests for proposals,"</w:t>
      </w:r>
    </w:p>
    <w:p>
      <w:pPr>
        <w:numPr>
          <w:ilvl w:val="0"/>
          <w:numId w:val="94"/>
        </w:numPr>
        <w:ind w:left="720" w:hanging="192"/>
        <w:jc w:val="left"/>
        <w:rPr>
          <w:rFonts w:eastAsia="Arial" w:cs="Arial"/>
          <w:sz w:val="20"/>
          <w:szCs w:val="20"/>
        </w:rPr>
      </w:pPr>
      <w:r>
        <w:rPr>
          <w:rFonts w:eastAsia="Arial" w:cs="Arial"/>
          <w:sz w:val="20"/>
          <w:szCs w:val="20"/>
        </w:rPr>
        <w:t xml:space="preserve">electronic solicitations, </w:t>
      </w:r>
    </w:p>
    <w:p>
      <w:pPr>
        <w:numPr>
          <w:ilvl w:val="0"/>
          <w:numId w:val="94"/>
        </w:numPr>
        <w:ind w:left="720" w:hanging="192"/>
        <w:jc w:val="left"/>
        <w:rPr>
          <w:rFonts w:eastAsia="Arial" w:cs="Arial"/>
          <w:sz w:val="20"/>
          <w:szCs w:val="20"/>
        </w:rPr>
      </w:pPr>
      <w:r>
        <w:rPr>
          <w:rFonts w:eastAsia="Arial" w:cs="Arial"/>
          <w:sz w:val="20"/>
          <w:szCs w:val="20"/>
        </w:rPr>
        <w:t>personal meetings arranged through capital introduction services, and</w:t>
      </w:r>
    </w:p>
    <w:p>
      <w:pPr>
        <w:numPr>
          <w:ilvl w:val="0"/>
          <w:numId w:val="94"/>
        </w:numPr>
        <w:spacing w:after="200"/>
        <w:ind w:left="720" w:hanging="192"/>
        <w:jc w:val="left"/>
        <w:rPr>
          <w:rFonts w:eastAsia="Arial" w:cs="Arial"/>
          <w:sz w:val="20"/>
          <w:szCs w:val="20"/>
        </w:rPr>
      </w:pPr>
      <w:r>
        <w:rPr>
          <w:rFonts w:eastAsia="Arial" w:cs="Arial"/>
          <w:sz w:val="20"/>
          <w:szCs w:val="20"/>
        </w:rPr>
        <w:t>disclosure documents (Part I and Part II of Form ADV).</w:t>
      </w:r>
    </w:p>
    <w:p>
      <w:bookmarkEnd w:id="81"/>
      <w:bookmarkStart w:id="82" w:name="Sec_Chp_061016102248171_0610161022484602"/>
    </w:p>
    <w:p>
      <w:pPr>
        <w:pStyle w:val="Heading4"/>
      </w:pPr>
      <w:r>
        <w:t>3.3.5.2 Pooled Investment Vehicle Clients</w:t>
      </w:r>
    </w:p>
    <w:p/>
    <w:p>
      <w:pPr>
        <w:rPr>
          <w:rFonts w:eastAsia="Arial" w:cs="Arial"/>
          <w:sz w:val="16"/>
          <w:szCs w:val="16"/>
        </w:rPr>
      </w:pPr>
      <w:r>
        <w:rPr>
          <w:rFonts w:eastAsia="Arial" w:cs="Arial"/>
          <w:sz w:val="16"/>
          <w:szCs w:val="16"/>
        </w:rPr>
        <w:t>[Investment Company Act of 1940 Section 2(a)(51), 3(a), 3(c)(1) and 3(c)(7)]</w:t>
      </w:r>
    </w:p>
    <w:p/>
    <w:p>
      <w:pPr>
        <w:pStyle w:val="normal0"/>
        <w:spacing w:after="200"/>
        <w:rPr>
          <w:rFonts w:eastAsia="Arial" w:cs="Arial"/>
          <w:sz w:val="20"/>
          <w:szCs w:val="20"/>
        </w:rPr>
      </w:pPr>
      <w:r>
        <w:rPr>
          <w:rFonts w:eastAsia="Arial" w:cs="Arial"/>
          <w:sz w:val="20"/>
          <w:szCs w:val="20"/>
        </w:rPr>
        <w:t>KCD may not:</w:t>
      </w:r>
    </w:p>
    <w:p>
      <w:pPr>
        <w:numPr>
          <w:ilvl w:val="0"/>
          <w:numId w:val="95"/>
        </w:numPr>
        <w:spacing w:before="200"/>
        <w:ind w:left="720" w:hanging="192"/>
        <w:jc w:val="left"/>
        <w:rPr>
          <w:rFonts w:eastAsia="Arial" w:cs="Arial"/>
          <w:sz w:val="20"/>
          <w:szCs w:val="20"/>
        </w:rPr>
      </w:pPr>
      <w:r>
        <w:rPr>
          <w:rFonts w:eastAsia="Arial" w:cs="Arial"/>
          <w:sz w:val="20"/>
          <w:szCs w:val="20"/>
        </w:rPr>
        <w:t xml:space="preserve">make false or misleading statements to investors or prospective investors in Pooled Investment Vehicles; or </w:t>
      </w:r>
    </w:p>
    <w:p>
      <w:pPr>
        <w:numPr>
          <w:ilvl w:val="0"/>
          <w:numId w:val="95"/>
        </w:numPr>
        <w:spacing w:after="200"/>
        <w:ind w:left="720" w:hanging="192"/>
        <w:jc w:val="left"/>
        <w:rPr>
          <w:rFonts w:eastAsia="Arial" w:cs="Arial"/>
          <w:sz w:val="20"/>
          <w:szCs w:val="20"/>
        </w:rPr>
      </w:pPr>
      <w:r>
        <w:rPr>
          <w:rFonts w:eastAsia="Arial" w:cs="Arial"/>
          <w:sz w:val="20"/>
          <w:szCs w:val="20"/>
        </w:rPr>
        <w:t>otherwise engage in any act, practice or course of business that defrauds investors or prospective investors.</w:t>
      </w:r>
    </w:p>
    <w:p>
      <w:pPr>
        <w:pStyle w:val="normal0"/>
        <w:spacing w:before="200" w:after="200"/>
        <w:rPr>
          <w:rFonts w:eastAsia="Arial" w:cs="Arial"/>
          <w:sz w:val="20"/>
          <w:szCs w:val="20"/>
        </w:rPr>
      </w:pPr>
      <w:r>
        <w:rPr>
          <w:rFonts w:eastAsia="Arial" w:cs="Arial"/>
          <w:sz w:val="20"/>
          <w:szCs w:val="20"/>
        </w:rPr>
        <w:t>For purposes of these procedures, "Pooled Investment Vehicle" means:</w:t>
      </w:r>
    </w:p>
    <w:p>
      <w:pPr>
        <w:numPr>
          <w:ilvl w:val="0"/>
          <w:numId w:val="96"/>
        </w:numPr>
        <w:spacing w:before="200"/>
        <w:ind w:left="720" w:hanging="192"/>
        <w:jc w:val="left"/>
        <w:rPr>
          <w:rFonts w:eastAsia="Arial" w:cs="Arial"/>
          <w:sz w:val="20"/>
          <w:szCs w:val="20"/>
        </w:rPr>
      </w:pPr>
      <w:r>
        <w:rPr>
          <w:rFonts w:eastAsia="Arial" w:cs="Arial"/>
          <w:sz w:val="20"/>
          <w:szCs w:val="20"/>
        </w:rPr>
        <w:t xml:space="preserve">any investment company defined in section 3(a) of the Investment Company Act of 1940 (the "1940 Act") (which includes mutual funds); and </w:t>
      </w:r>
    </w:p>
    <w:p>
      <w:pPr>
        <w:numPr>
          <w:ilvl w:val="0"/>
          <w:numId w:val="96"/>
        </w:numPr>
        <w:spacing w:after="200"/>
        <w:ind w:left="720" w:hanging="192"/>
        <w:jc w:val="left"/>
        <w:rPr>
          <w:rFonts w:eastAsia="Arial" w:cs="Arial"/>
          <w:sz w:val="20"/>
          <w:szCs w:val="20"/>
        </w:rPr>
      </w:pPr>
      <w:r>
        <w:rPr>
          <w:rFonts w:eastAsia="Arial" w:cs="Arial"/>
          <w:sz w:val="20"/>
          <w:szCs w:val="20"/>
        </w:rPr>
        <w:t>any privately offered pooled investment vehicle that is excluded from the definition of investment company by reason of either section 3(c)(1) or 3(c)(7) of the 1940 Act (which includes hedge funds, real estate funds and private equity funds).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Section 3(c)(1) of the Investment Company Act excludes from the definition of investment company an issuer the securities (other than short-term paper) of which are beneficially owned by not more than 100 persons and that is not making or proposing to make a public offering of its securities. Section 3(c)(7) of the Investment Company Act excludes from the definition of investment company an issuer the outstanding securities of which are owned exclusively by persons who, at the time of acquisition of such securities, are "qualified purchasers" and that is not making or proposing to make a public offering of its securities. "Qualified purchaser" is defined in section 2(a)(51) of the Investment Company Act generally to include a natural person (or a company owned by two or more related natural persons) who owns not less than $5,000,000 in investments; a person, acting for its own account or accounts of other qualified purchasers, who owns and invests on a discretionary basis, not less than $25,000,000; and a trust whose trustee, and each of its settlors, is a qualified purchaser.</w:t>
            </w:r>
          </w:p>
        </w:tc>
      </w:tr>
    </w:tbl>
    <w:p>
      <w:bookmarkEnd w:id="82"/>
      <w:bookmarkStart w:id="83" w:name="Sec_Chp_061016102248171_061016102248468"/>
    </w:p>
    <w:p>
      <w:pPr>
        <w:pStyle w:val="Heading3"/>
      </w:pPr>
      <w:bookmarkStart w:id="84" w:name="_Toc256000030"/>
      <w:r>
        <w:t>3.3.6 Client Complaints</w:t>
      </w:r>
      <w:bookmarkEnd w:id="84"/>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 client communication shall be deemed to be a complaint if it is a request by a client for corrective action or any written statement of a client or person representing a client alleging a grievance related to the management of the client's account that involves KCD or any of its employees. Examples of common complaints are failure to place a securities order requested by the client, allegation of an improper recommendation, or a failure to respond to a previous client communication. </w:t>
      </w:r>
    </w:p>
    <w:p>
      <w:pPr>
        <w:pStyle w:val="normal0"/>
        <w:spacing w:before="200" w:after="200"/>
        <w:rPr>
          <w:rFonts w:eastAsia="Arial" w:cs="Arial"/>
          <w:sz w:val="20"/>
          <w:szCs w:val="20"/>
        </w:rPr>
      </w:pPr>
      <w:r>
        <w:rPr>
          <w:rFonts w:eastAsia="Arial" w:cs="Arial"/>
          <w:sz w:val="20"/>
          <w:szCs w:val="20"/>
        </w:rPr>
        <w:t>It is the policy of KCD to have client complaint procedures designed to allow:</w:t>
      </w:r>
    </w:p>
    <w:p>
      <w:pPr>
        <w:numPr>
          <w:ilvl w:val="0"/>
          <w:numId w:val="97"/>
        </w:numPr>
        <w:spacing w:before="200"/>
        <w:ind w:left="720" w:hanging="267"/>
        <w:jc w:val="left"/>
        <w:rPr>
          <w:rFonts w:eastAsia="Arial" w:cs="Arial"/>
          <w:sz w:val="20"/>
          <w:szCs w:val="20"/>
        </w:rPr>
      </w:pPr>
      <w:r>
        <w:rPr>
          <w:rFonts w:eastAsia="Arial" w:cs="Arial"/>
          <w:sz w:val="20"/>
          <w:szCs w:val="20"/>
        </w:rPr>
        <w:t>Clients to inform KCD about problems and the level of service KCD is providing them;</w:t>
      </w:r>
    </w:p>
    <w:p>
      <w:pPr>
        <w:numPr>
          <w:ilvl w:val="0"/>
          <w:numId w:val="97"/>
        </w:numPr>
        <w:ind w:left="720" w:hanging="267"/>
        <w:jc w:val="left"/>
        <w:rPr>
          <w:rFonts w:eastAsia="Arial" w:cs="Arial"/>
          <w:sz w:val="20"/>
          <w:szCs w:val="20"/>
        </w:rPr>
      </w:pPr>
      <w:r>
        <w:rPr>
          <w:rFonts w:eastAsia="Arial" w:cs="Arial"/>
          <w:sz w:val="20"/>
          <w:szCs w:val="20"/>
        </w:rPr>
        <w:t>Clients to receive a prompt and fair response to their complaints;</w:t>
      </w:r>
    </w:p>
    <w:p>
      <w:pPr>
        <w:numPr>
          <w:ilvl w:val="0"/>
          <w:numId w:val="97"/>
        </w:numPr>
        <w:ind w:left="720" w:hanging="267"/>
        <w:jc w:val="left"/>
        <w:rPr>
          <w:rFonts w:eastAsia="Arial" w:cs="Arial"/>
          <w:sz w:val="20"/>
          <w:szCs w:val="20"/>
        </w:rPr>
      </w:pPr>
      <w:r>
        <w:rPr>
          <w:rFonts w:eastAsia="Arial" w:cs="Arial"/>
          <w:sz w:val="20"/>
          <w:szCs w:val="20"/>
        </w:rPr>
        <w:t>KCD to learn from client complaints so that it may improve its advisory services; and</w:t>
      </w:r>
    </w:p>
    <w:p>
      <w:pPr>
        <w:numPr>
          <w:ilvl w:val="0"/>
          <w:numId w:val="97"/>
        </w:numPr>
        <w:spacing w:after="200"/>
        <w:ind w:left="720" w:hanging="267"/>
        <w:jc w:val="left"/>
        <w:rPr>
          <w:rFonts w:eastAsia="Arial" w:cs="Arial"/>
          <w:sz w:val="20"/>
          <w:szCs w:val="20"/>
        </w:rPr>
      </w:pPr>
      <w:r>
        <w:rPr>
          <w:rFonts w:eastAsia="Arial" w:cs="Arial"/>
          <w:sz w:val="20"/>
          <w:szCs w:val="20"/>
        </w:rPr>
        <w:t>KCD to take all possible actions to resolve each complaint that is satisfactory to the client and KCD.</w:t>
      </w:r>
    </w:p>
    <w:p>
      <w:pPr>
        <w:pStyle w:val="normal0"/>
        <w:spacing w:before="200" w:after="200"/>
        <w:rPr>
          <w:rFonts w:eastAsia="Arial" w:cs="Arial"/>
          <w:sz w:val="20"/>
          <w:szCs w:val="20"/>
        </w:rPr>
      </w:pPr>
      <w:r>
        <w:rPr>
          <w:rFonts w:eastAsia="Arial" w:cs="Arial"/>
          <w:sz w:val="20"/>
          <w:szCs w:val="20"/>
        </w:rPr>
        <w:t>KCD shall establish and maintain a central complaints log ("Complaint Log"). The Chief Compliance Officer shall prepare a quarterly complaints report ("Quarterly Complaints Report") that is distributed to senior management of KCD that:</w:t>
      </w:r>
    </w:p>
    <w:p>
      <w:pPr>
        <w:numPr>
          <w:ilvl w:val="0"/>
          <w:numId w:val="98"/>
        </w:numPr>
        <w:spacing w:before="200"/>
        <w:ind w:left="720" w:hanging="267"/>
        <w:jc w:val="left"/>
        <w:rPr>
          <w:rFonts w:eastAsia="Arial" w:cs="Arial"/>
          <w:sz w:val="20"/>
          <w:szCs w:val="20"/>
        </w:rPr>
      </w:pPr>
      <w:r>
        <w:rPr>
          <w:rFonts w:eastAsia="Arial" w:cs="Arial"/>
          <w:sz w:val="20"/>
          <w:szCs w:val="20"/>
        </w:rPr>
        <w:t xml:space="preserve">Lists outstanding complaints; </w:t>
      </w:r>
    </w:p>
    <w:p>
      <w:pPr>
        <w:numPr>
          <w:ilvl w:val="0"/>
          <w:numId w:val="98"/>
        </w:numPr>
        <w:ind w:left="720" w:hanging="267"/>
        <w:jc w:val="left"/>
        <w:rPr>
          <w:rFonts w:eastAsia="Arial" w:cs="Arial"/>
          <w:sz w:val="20"/>
          <w:szCs w:val="20"/>
        </w:rPr>
      </w:pPr>
      <w:r>
        <w:rPr>
          <w:rFonts w:eastAsia="Arial" w:cs="Arial"/>
          <w:sz w:val="20"/>
          <w:szCs w:val="20"/>
        </w:rPr>
        <w:t xml:space="preserve">Contains each Client Complaint Form prepared during the most recent quarter; </w:t>
      </w:r>
    </w:p>
    <w:p>
      <w:pPr>
        <w:numPr>
          <w:ilvl w:val="0"/>
          <w:numId w:val="98"/>
        </w:numPr>
        <w:ind w:left="720" w:hanging="267"/>
        <w:jc w:val="left"/>
        <w:rPr>
          <w:rFonts w:eastAsia="Arial" w:cs="Arial"/>
          <w:sz w:val="20"/>
          <w:szCs w:val="20"/>
        </w:rPr>
      </w:pPr>
      <w:r>
        <w:rPr>
          <w:rFonts w:eastAsia="Arial" w:cs="Arial"/>
          <w:sz w:val="20"/>
          <w:szCs w:val="20"/>
        </w:rPr>
        <w:t xml:space="preserve">Reports on the status of outstanding complaints; </w:t>
      </w:r>
    </w:p>
    <w:p>
      <w:pPr>
        <w:numPr>
          <w:ilvl w:val="0"/>
          <w:numId w:val="98"/>
        </w:numPr>
        <w:ind w:left="720" w:hanging="267"/>
        <w:jc w:val="left"/>
        <w:rPr>
          <w:rFonts w:eastAsia="Arial" w:cs="Arial"/>
          <w:sz w:val="20"/>
          <w:szCs w:val="20"/>
        </w:rPr>
      </w:pPr>
      <w:r>
        <w:rPr>
          <w:rFonts w:eastAsia="Arial" w:cs="Arial"/>
          <w:sz w:val="20"/>
          <w:szCs w:val="20"/>
        </w:rPr>
        <w:t xml:space="preserve">Highlights those complaints that have been identified as having potentially serious financial or regulatory consequences; and </w:t>
      </w:r>
    </w:p>
    <w:p>
      <w:pPr>
        <w:numPr>
          <w:ilvl w:val="0"/>
          <w:numId w:val="98"/>
        </w:numPr>
        <w:spacing w:after="200"/>
        <w:ind w:left="720" w:hanging="267"/>
        <w:jc w:val="left"/>
        <w:rPr>
          <w:rFonts w:eastAsia="Arial" w:cs="Arial"/>
          <w:sz w:val="20"/>
          <w:szCs w:val="20"/>
        </w:rPr>
      </w:pPr>
      <w:r>
        <w:rPr>
          <w:rFonts w:eastAsia="Arial" w:cs="Arial"/>
          <w:sz w:val="20"/>
          <w:szCs w:val="20"/>
        </w:rPr>
        <w:t>Identifies KCD personnel participating in the complaint resolution.</w:t>
      </w:r>
    </w:p>
    <w:p>
      <w:pPr>
        <w:pStyle w:val="normal0"/>
        <w:spacing w:before="200" w:after="200"/>
        <w:rPr>
          <w:rFonts w:eastAsia="Arial" w:cs="Arial"/>
          <w:sz w:val="20"/>
          <w:szCs w:val="20"/>
        </w:rPr>
      </w:pPr>
      <w:r>
        <w:rPr>
          <w:rFonts w:eastAsia="Arial" w:cs="Arial"/>
          <w:sz w:val="20"/>
          <w:szCs w:val="20"/>
        </w:rPr>
        <w:t>Client complaints shall be addressed and resolved pursuant to the following procedures:</w:t>
      </w:r>
    </w:p>
    <w:p>
      <w:pPr>
        <w:numPr>
          <w:ilvl w:val="0"/>
          <w:numId w:val="99"/>
        </w:numPr>
        <w:spacing w:before="200"/>
        <w:ind w:left="720" w:hanging="267"/>
        <w:jc w:val="left"/>
        <w:rPr>
          <w:rFonts w:eastAsia="Arial" w:cs="Arial"/>
          <w:sz w:val="20"/>
          <w:szCs w:val="20"/>
        </w:rPr>
      </w:pPr>
      <w:r>
        <w:rPr>
          <w:rFonts w:eastAsia="Arial" w:cs="Arial"/>
          <w:sz w:val="20"/>
          <w:szCs w:val="20"/>
        </w:rPr>
        <w:t>Each employee shall immediately report a complaint to the Chief Compliance Officer;</w:t>
      </w:r>
    </w:p>
    <w:p>
      <w:pPr>
        <w:numPr>
          <w:ilvl w:val="0"/>
          <w:numId w:val="99"/>
        </w:numPr>
        <w:ind w:left="720" w:hanging="267"/>
        <w:jc w:val="left"/>
        <w:rPr>
          <w:rFonts w:eastAsia="Arial" w:cs="Arial"/>
          <w:sz w:val="20"/>
          <w:szCs w:val="20"/>
        </w:rPr>
      </w:pPr>
      <w:r>
        <w:rPr>
          <w:rFonts w:eastAsia="Arial" w:cs="Arial"/>
          <w:sz w:val="20"/>
          <w:szCs w:val="20"/>
        </w:rPr>
        <w:t>No employee may independently respond to a client complaint or settle a complaint;</w:t>
      </w:r>
    </w:p>
    <w:p>
      <w:pPr>
        <w:numPr>
          <w:ilvl w:val="0"/>
          <w:numId w:val="99"/>
        </w:numPr>
        <w:ind w:left="720" w:hanging="267"/>
        <w:jc w:val="left"/>
        <w:rPr>
          <w:rFonts w:eastAsia="Arial" w:cs="Arial"/>
          <w:sz w:val="20"/>
          <w:szCs w:val="20"/>
        </w:rPr>
      </w:pPr>
      <w:r>
        <w:rPr>
          <w:rFonts w:eastAsia="Arial" w:cs="Arial"/>
          <w:sz w:val="20"/>
          <w:szCs w:val="20"/>
        </w:rPr>
        <w:t>The Chief Compliance Officer, with assistance from the employee reporting the complaint, shall make a written record of the complaint on the Client Complaint Form, which shall include, at a minimum, the date the complaint was received, from whom the complaint was received, and the recommended response or course of action to address the complaint. The Chief Compliance Officer shall attach the client's correspondence (if a written complaint) or a memorandum (if a verbal complaint) related to the complaint to the Client Complaint Form. Both documents and other related material shall be placed in a file opened pursuant to KCD's recordkeeping procedures. If the matter is serious in terms of financial or regulatory risk, the Chief Compliance Officer shall forward a copy of the Client Complaint Form immediately to senior management;</w:t>
      </w:r>
    </w:p>
    <w:p>
      <w:pPr>
        <w:numPr>
          <w:ilvl w:val="0"/>
          <w:numId w:val="99"/>
        </w:numPr>
        <w:ind w:left="720" w:hanging="267"/>
        <w:jc w:val="left"/>
        <w:rPr>
          <w:rFonts w:eastAsia="Arial" w:cs="Arial"/>
          <w:sz w:val="20"/>
          <w:szCs w:val="20"/>
        </w:rPr>
      </w:pPr>
      <w:r>
        <w:rPr>
          <w:rFonts w:eastAsia="Arial" w:cs="Arial"/>
          <w:sz w:val="20"/>
          <w:szCs w:val="20"/>
        </w:rPr>
        <w:t>Once in receipt of the complaint, the Chief Compliance Officer shall send a written communication to the client indicating that KCD is investigating his or her complaint and will respond to the client at the conclusion of the investigation;</w:t>
      </w:r>
    </w:p>
    <w:p>
      <w:pPr>
        <w:numPr>
          <w:ilvl w:val="0"/>
          <w:numId w:val="99"/>
        </w:numPr>
        <w:ind w:left="720" w:hanging="267"/>
        <w:jc w:val="left"/>
        <w:rPr>
          <w:rFonts w:eastAsia="Arial" w:cs="Arial"/>
          <w:sz w:val="20"/>
          <w:szCs w:val="20"/>
        </w:rPr>
      </w:pPr>
      <w:r>
        <w:rPr>
          <w:rFonts w:eastAsia="Arial" w:cs="Arial"/>
          <w:sz w:val="20"/>
          <w:szCs w:val="20"/>
        </w:rPr>
        <w:t>The Chief Compliance Officer shall make a full inquiry into the facts underlying the complaint. Factual conclusions shall be set forth in the Client Complaint Form;</w:t>
      </w:r>
    </w:p>
    <w:p>
      <w:pPr>
        <w:numPr>
          <w:ilvl w:val="0"/>
          <w:numId w:val="99"/>
        </w:numPr>
        <w:ind w:left="720" w:hanging="267"/>
        <w:jc w:val="left"/>
        <w:rPr>
          <w:rFonts w:eastAsia="Arial" w:cs="Arial"/>
          <w:sz w:val="20"/>
          <w:szCs w:val="20"/>
        </w:rPr>
      </w:pPr>
      <w:r>
        <w:rPr>
          <w:rFonts w:eastAsia="Arial" w:cs="Arial"/>
          <w:sz w:val="20"/>
          <w:szCs w:val="20"/>
        </w:rPr>
        <w:t>If it is a legitimate complaint because KCD acted erroneously or in an inappropriate manner, the Chief Compliance Officer and other relevant KCD employees or officers shall take prompt and appropriate remedial action. The Chief Compliance Officer will complete the section of the Client Complaint Form calling for a detailed explanation of: (a) what action was taken or (b) the reasons for taking no action;</w:t>
      </w:r>
    </w:p>
    <w:p>
      <w:pPr>
        <w:numPr>
          <w:ilvl w:val="0"/>
          <w:numId w:val="99"/>
        </w:numPr>
        <w:ind w:left="720" w:hanging="267"/>
        <w:jc w:val="left"/>
        <w:rPr>
          <w:rFonts w:eastAsia="Arial" w:cs="Arial"/>
          <w:sz w:val="20"/>
          <w:szCs w:val="20"/>
        </w:rPr>
      </w:pPr>
      <w:r>
        <w:rPr>
          <w:rFonts w:eastAsia="Arial" w:cs="Arial"/>
          <w:sz w:val="20"/>
          <w:szCs w:val="20"/>
        </w:rPr>
        <w:t>If the complaint becomes a legal issue, the Chief Compliance Officer will refer the complaint to KCD's chief legal counsel or outside counsel for appropriate action;</w:t>
      </w:r>
    </w:p>
    <w:p>
      <w:pPr>
        <w:numPr>
          <w:ilvl w:val="0"/>
          <w:numId w:val="99"/>
        </w:numPr>
        <w:ind w:left="720" w:hanging="267"/>
        <w:jc w:val="left"/>
        <w:rPr>
          <w:rFonts w:eastAsia="Arial" w:cs="Arial"/>
          <w:sz w:val="20"/>
          <w:szCs w:val="20"/>
        </w:rPr>
      </w:pPr>
      <w:r>
        <w:rPr>
          <w:rFonts w:eastAsia="Arial" w:cs="Arial"/>
          <w:sz w:val="20"/>
          <w:szCs w:val="20"/>
        </w:rPr>
        <w:t xml:space="preserve">After updating the Client Complaint Form about actions taken, the Form will be added to the Quarterly Complaints Report (for routine matters) or immediately forwarded to senior management (for serious matters); </w:t>
      </w:r>
    </w:p>
    <w:p>
      <w:pPr>
        <w:numPr>
          <w:ilvl w:val="0"/>
          <w:numId w:val="99"/>
        </w:numPr>
        <w:ind w:left="720" w:hanging="267"/>
        <w:jc w:val="left"/>
        <w:rPr>
          <w:rFonts w:eastAsia="Arial" w:cs="Arial"/>
          <w:sz w:val="20"/>
          <w:szCs w:val="20"/>
        </w:rPr>
      </w:pPr>
      <w:r>
        <w:rPr>
          <w:rFonts w:eastAsia="Arial" w:cs="Arial"/>
          <w:sz w:val="20"/>
          <w:szCs w:val="20"/>
        </w:rPr>
        <w:t>Senior management in consultation with the Chief Compliance Officer will determine what additional steps must be taken (if any) with respect to any active client complaint matter; and</w:t>
      </w:r>
    </w:p>
    <w:p>
      <w:pPr>
        <w:numPr>
          <w:ilvl w:val="0"/>
          <w:numId w:val="99"/>
        </w:numPr>
        <w:spacing w:after="200"/>
        <w:ind w:left="720" w:hanging="378"/>
        <w:jc w:val="left"/>
        <w:rPr>
          <w:rFonts w:eastAsia="Arial" w:cs="Arial"/>
          <w:sz w:val="20"/>
          <w:szCs w:val="20"/>
        </w:rPr>
      </w:pPr>
      <w:r>
        <w:rPr>
          <w:rFonts w:eastAsia="Arial" w:cs="Arial"/>
          <w:sz w:val="20"/>
          <w:szCs w:val="20"/>
        </w:rPr>
        <w:t>KCD shall make and keep a record of each complaint in the Complaint Log and maintain Complaint Logs, Quarterly Complaints Reports and all other material documents related to client complaints in the books and records of KCD in accordance with the established document retention procedures.</w:t>
      </w:r>
    </w:p>
    <w:p>
      <w:bookmarkEnd w:id="83"/>
      <w:bookmarkStart w:id="85" w:name="Sec_Chp_061016102248171_061016102248484"/>
    </w:p>
    <w:p>
      <w:pPr>
        <w:pStyle w:val="Heading3"/>
      </w:pPr>
      <w:bookmarkStart w:id="86" w:name="_Toc256000031"/>
      <w:r>
        <w:t>3.3.7 Errors</w:t>
      </w:r>
      <w:bookmarkEnd w:id="86"/>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correct any errors it has made in client accounts as soon as reasonably possible and will inform the client of the error and the correction.</w:t>
      </w:r>
    </w:p>
    <w:p>
      <w:bookmarkEnd w:id="85"/>
      <w:bookmarkStart w:id="87" w:name="Sec_Chp_061016102248171_000339"/>
    </w:p>
    <w:p>
      <w:pPr>
        <w:pStyle w:val="Heading3"/>
      </w:pPr>
      <w:bookmarkStart w:id="88" w:name="_Toc256000032"/>
      <w:r>
        <w:t>3.3.8 Inactive Accounts</w:t>
      </w:r>
      <w:bookmarkEnd w:id="88"/>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review client accounts on at least a monthly basis to gauge whether given client accounts are inactive. If a client account is deemed inactive, KCD shall:</w:t>
      </w:r>
    </w:p>
    <w:p>
      <w:pPr>
        <w:numPr>
          <w:ilvl w:val="0"/>
          <w:numId w:val="100"/>
        </w:numPr>
        <w:spacing w:before="200"/>
        <w:ind w:left="720" w:hanging="192"/>
        <w:jc w:val="left"/>
        <w:rPr>
          <w:rFonts w:eastAsia="Arial" w:cs="Arial"/>
          <w:sz w:val="20"/>
          <w:szCs w:val="20"/>
        </w:rPr>
      </w:pPr>
      <w:r>
        <w:rPr>
          <w:rFonts w:eastAsia="Arial" w:cs="Arial"/>
          <w:sz w:val="20"/>
          <w:szCs w:val="20"/>
        </w:rPr>
        <w:t xml:space="preserve">Investigate the reason for the account inactivity; </w:t>
      </w:r>
    </w:p>
    <w:p>
      <w:pPr>
        <w:numPr>
          <w:ilvl w:val="0"/>
          <w:numId w:val="100"/>
        </w:numPr>
        <w:ind w:left="720" w:hanging="192"/>
        <w:jc w:val="left"/>
        <w:rPr>
          <w:rFonts w:eastAsia="Arial" w:cs="Arial"/>
          <w:sz w:val="20"/>
          <w:szCs w:val="20"/>
        </w:rPr>
      </w:pPr>
      <w:r>
        <w:rPr>
          <w:rFonts w:eastAsia="Arial" w:cs="Arial"/>
          <w:sz w:val="20"/>
          <w:szCs w:val="20"/>
        </w:rPr>
        <w:t>Document why the account is inactive (</w:t>
      </w:r>
      <w:r>
        <w:rPr>
          <w:rFonts w:eastAsia="Arial" w:cs="Arial"/>
          <w:i/>
          <w:iCs/>
          <w:sz w:val="20"/>
          <w:szCs w:val="20"/>
        </w:rPr>
        <w:t>e.g.,</w:t>
      </w:r>
      <w:r>
        <w:rPr>
          <w:rFonts w:eastAsia="Arial" w:cs="Arial"/>
          <w:sz w:val="20"/>
          <w:szCs w:val="20"/>
        </w:rPr>
        <w:t xml:space="preserve"> client instructions to not trade his or her portfolio; the employment of a strategy that produces little portfolio turnover, </w:t>
      </w:r>
      <w:r>
        <w:rPr>
          <w:rFonts w:eastAsia="Arial" w:cs="Arial"/>
          <w:i/>
          <w:iCs/>
          <w:sz w:val="20"/>
          <w:szCs w:val="20"/>
        </w:rPr>
        <w:t>etc.</w:t>
      </w:r>
      <w:r>
        <w:rPr>
          <w:rFonts w:eastAsia="Arial" w:cs="Arial"/>
          <w:sz w:val="20"/>
          <w:szCs w:val="20"/>
        </w:rPr>
        <w:t>);</w:t>
      </w:r>
    </w:p>
    <w:p>
      <w:pPr>
        <w:numPr>
          <w:ilvl w:val="0"/>
          <w:numId w:val="100"/>
        </w:numPr>
        <w:ind w:left="720" w:hanging="192"/>
        <w:jc w:val="left"/>
        <w:rPr>
          <w:rFonts w:eastAsia="Arial" w:cs="Arial"/>
          <w:sz w:val="20"/>
          <w:szCs w:val="20"/>
        </w:rPr>
      </w:pPr>
      <w:r>
        <w:rPr>
          <w:rFonts w:eastAsia="Arial" w:cs="Arial"/>
          <w:sz w:val="20"/>
          <w:szCs w:val="20"/>
        </w:rPr>
        <w:t>Consider whether an advisory fee being charged to the inactive client account is appropriate;</w:t>
      </w:r>
    </w:p>
    <w:p>
      <w:pPr>
        <w:numPr>
          <w:ilvl w:val="0"/>
          <w:numId w:val="100"/>
        </w:numPr>
        <w:ind w:left="720" w:hanging="192"/>
        <w:jc w:val="left"/>
        <w:rPr>
          <w:rFonts w:eastAsia="Arial" w:cs="Arial"/>
          <w:sz w:val="20"/>
          <w:szCs w:val="20"/>
        </w:rPr>
      </w:pPr>
      <w:r>
        <w:rPr>
          <w:rFonts w:eastAsia="Arial" w:cs="Arial"/>
          <w:sz w:val="20"/>
          <w:szCs w:val="20"/>
        </w:rPr>
        <w:t>Review the type of fee the client account is subject to (</w:t>
      </w:r>
      <w:r>
        <w:rPr>
          <w:rFonts w:eastAsia="Arial" w:cs="Arial"/>
          <w:i/>
          <w:iCs/>
          <w:sz w:val="20"/>
          <w:szCs w:val="20"/>
        </w:rPr>
        <w:t>e.g.,</w:t>
      </w:r>
      <w:r>
        <w:rPr>
          <w:rFonts w:eastAsia="Arial" w:cs="Arial"/>
          <w:sz w:val="20"/>
          <w:szCs w:val="20"/>
        </w:rPr>
        <w:t xml:space="preserve"> if the client account is a wrap account where brokerage commissions are included in the fee, KCD may consider recommending that the client shift his or her accounts to a non-wrap fee account); and</w:t>
      </w:r>
    </w:p>
    <w:p>
      <w:pPr>
        <w:numPr>
          <w:ilvl w:val="0"/>
          <w:numId w:val="100"/>
        </w:numPr>
        <w:spacing w:after="200"/>
        <w:ind w:left="720" w:hanging="192"/>
        <w:jc w:val="left"/>
        <w:rPr>
          <w:rFonts w:eastAsia="Arial" w:cs="Arial"/>
          <w:sz w:val="20"/>
          <w:szCs w:val="20"/>
        </w:rPr>
      </w:pPr>
      <w:r>
        <w:rPr>
          <w:rFonts w:eastAsia="Arial" w:cs="Arial"/>
          <w:sz w:val="20"/>
          <w:szCs w:val="20"/>
        </w:rPr>
        <w:t>Document what action, if any, is taken.</w:t>
      </w:r>
    </w:p>
    <w:p>
      <w:bookmarkEnd w:id="87"/>
    </w:p>
    <w:p>
      <w:pPr>
        <w:pStyle w:val="Heading3"/>
      </w:pPr>
      <w:bookmarkStart w:id="89" w:name="_Toc256000033"/>
      <w:r>
        <w:t>3.3.9 Senior Clients</w:t>
      </w:r>
      <w:bookmarkEnd w:id="89"/>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follows these procedures to ensure that the special circumstances of senior citizens are taken into account when providing investment advice and related services to them. In connection with providing such services, KCD will rely upon the "Act to Protect Vulnerable Adults from Financial Exploitation" (also called "Senior Safety Act") or similar law or rule in the jurisdiction where it is located (assuming such law or rule has been enacted), which provides a safe harbor for KCD and its employees in the event of financial exploitation or abuse. The Act to Protect Vulnerable Adults from Financial Exploitation or variations address barriers financial professionals face in reporting suspected senior citizen financial exploitation or abuse to authorities. Specifically, the Act protects "covered financial institutions," which include investment advisers like KCD and their eligible employees, affiliated persons, and associated persons, from liability in any civil or administrative proceeding for reporting a case of potential exploitation of a senior citizen to a covered agency such as the SEC.</w:t>
      </w:r>
    </w:p>
    <w:p>
      <w:pPr>
        <w:pStyle w:val="normal0"/>
        <w:spacing w:before="200" w:after="200"/>
        <w:rPr>
          <w:rFonts w:eastAsia="Arial" w:cs="Arial"/>
          <w:sz w:val="20"/>
          <w:szCs w:val="20"/>
        </w:rPr>
      </w:pPr>
      <w:r>
        <w:rPr>
          <w:rFonts w:eastAsia="Arial" w:cs="Arial"/>
          <w:sz w:val="20"/>
          <w:szCs w:val="20"/>
        </w:rPr>
        <w:t>The immunity established by the Act to Protect Vulnerable Adults from Financial Exploitation is provided on the condition that:</w:t>
      </w:r>
    </w:p>
    <w:p>
      <w:pPr>
        <w:numPr>
          <w:ilvl w:val="0"/>
          <w:numId w:val="101"/>
        </w:numPr>
        <w:spacing w:before="200"/>
        <w:ind w:left="720" w:hanging="192"/>
        <w:jc w:val="left"/>
        <w:rPr>
          <w:rFonts w:eastAsia="Arial" w:cs="Arial"/>
          <w:sz w:val="20"/>
          <w:szCs w:val="20"/>
        </w:rPr>
      </w:pPr>
      <w:r>
        <w:rPr>
          <w:rFonts w:eastAsia="Arial" w:cs="Arial"/>
          <w:sz w:val="20"/>
          <w:szCs w:val="20"/>
        </w:rPr>
        <w:t>certain employees receive training on how to identify and report exploitative activity against seniors before making a report; and</w:t>
      </w:r>
    </w:p>
    <w:p>
      <w:pPr>
        <w:numPr>
          <w:ilvl w:val="0"/>
          <w:numId w:val="101"/>
        </w:numPr>
        <w:spacing w:after="200"/>
        <w:ind w:left="720" w:hanging="192"/>
        <w:jc w:val="left"/>
        <w:rPr>
          <w:rFonts w:eastAsia="Arial" w:cs="Arial"/>
          <w:sz w:val="20"/>
          <w:szCs w:val="20"/>
        </w:rPr>
      </w:pPr>
      <w:r>
        <w:rPr>
          <w:rFonts w:eastAsia="Arial" w:cs="Arial"/>
          <w:sz w:val="20"/>
          <w:szCs w:val="20"/>
        </w:rPr>
        <w:t>reports of suspected exploitation are made "in good faith" and "with reasonable care."</w:t>
      </w:r>
    </w:p>
    <w:p/>
    <w:p>
      <w:pPr>
        <w:pStyle w:val="Heading4"/>
      </w:pPr>
      <w:r>
        <w:t>3.3.9.1 Identification of Senior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identify all of its clients who are "senior clients." "Senior clients" are those clients who are:</w:t>
      </w:r>
    </w:p>
    <w:p>
      <w:pPr>
        <w:numPr>
          <w:ilvl w:val="0"/>
          <w:numId w:val="102"/>
        </w:numPr>
        <w:spacing w:before="200"/>
        <w:ind w:left="720" w:hanging="192"/>
        <w:jc w:val="left"/>
        <w:rPr>
          <w:rFonts w:eastAsia="Arial" w:cs="Arial"/>
          <w:sz w:val="20"/>
          <w:szCs w:val="20"/>
        </w:rPr>
      </w:pPr>
      <w:r>
        <w:rPr>
          <w:rFonts w:eastAsia="Arial" w:cs="Arial"/>
          <w:sz w:val="20"/>
          <w:szCs w:val="20"/>
        </w:rPr>
        <w:t>age 65 years or older;</w:t>
      </w:r>
    </w:p>
    <w:p>
      <w:pPr>
        <w:numPr>
          <w:ilvl w:val="0"/>
          <w:numId w:val="102"/>
        </w:numPr>
        <w:ind w:left="720" w:hanging="192"/>
        <w:jc w:val="left"/>
        <w:rPr>
          <w:rFonts w:eastAsia="Arial" w:cs="Arial"/>
          <w:sz w:val="20"/>
          <w:szCs w:val="20"/>
        </w:rPr>
      </w:pPr>
      <w:r>
        <w:rPr>
          <w:rFonts w:eastAsia="Arial" w:cs="Arial"/>
          <w:sz w:val="20"/>
          <w:szCs w:val="20"/>
        </w:rPr>
        <w:t>clients that KCD identifies as exhibiting mental or physical disabilities warranting the protections of these procedures; or</w:t>
      </w:r>
    </w:p>
    <w:p>
      <w:pPr>
        <w:numPr>
          <w:ilvl w:val="0"/>
          <w:numId w:val="102"/>
        </w:numPr>
        <w:spacing w:after="200"/>
        <w:ind w:left="720" w:hanging="192"/>
        <w:jc w:val="left"/>
        <w:rPr>
          <w:rFonts w:eastAsia="Arial" w:cs="Arial"/>
          <w:sz w:val="20"/>
          <w:szCs w:val="20"/>
        </w:rPr>
      </w:pPr>
      <w:r>
        <w:rPr>
          <w:rFonts w:eastAsia="Arial" w:cs="Arial"/>
          <w:sz w:val="20"/>
          <w:szCs w:val="20"/>
        </w:rPr>
        <w:t>each other client who is an adult and deemed a "senior" under applicable law.</w:t>
      </w:r>
    </w:p>
    <w:p/>
    <w:p>
      <w:pPr>
        <w:pStyle w:val="Heading4"/>
      </w:pPr>
      <w:r>
        <w:t>3.3.9.2 Signs of Diminished Capacity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Firm investment adviser representatives who provide investment advice to senior clients will monitor for signs of diminished capacity and report to the Chief Compliance Officer any signs with a particular senior client of one or more of the following:</w:t>
      </w:r>
    </w:p>
    <w:p>
      <w:pPr>
        <w:numPr>
          <w:ilvl w:val="0"/>
          <w:numId w:val="103"/>
        </w:numPr>
        <w:spacing w:before="200"/>
        <w:ind w:left="720" w:hanging="192"/>
        <w:jc w:val="left"/>
        <w:rPr>
          <w:rFonts w:eastAsia="Arial" w:cs="Arial"/>
          <w:sz w:val="20"/>
          <w:szCs w:val="20"/>
        </w:rPr>
      </w:pPr>
      <w:r>
        <w:rPr>
          <w:rFonts w:eastAsia="Arial" w:cs="Arial"/>
          <w:sz w:val="20"/>
          <w:szCs w:val="20"/>
        </w:rPr>
        <w:t>The senior client appears unable to process simple concepts including:</w:t>
      </w:r>
    </w:p>
    <w:p>
      <w:pPr>
        <w:numPr>
          <w:ilvl w:val="1"/>
          <w:numId w:val="103"/>
        </w:numPr>
        <w:ind w:left="1440" w:hanging="220"/>
        <w:jc w:val="left"/>
        <w:rPr>
          <w:rFonts w:eastAsia="Arial" w:cs="Arial"/>
          <w:sz w:val="20"/>
          <w:szCs w:val="20"/>
        </w:rPr>
      </w:pPr>
      <w:r>
        <w:rPr>
          <w:rFonts w:eastAsia="Arial" w:cs="Arial"/>
          <w:sz w:val="20"/>
          <w:szCs w:val="20"/>
        </w:rPr>
        <w:t>a decline in the ability to do simple math problems;</w:t>
      </w:r>
    </w:p>
    <w:p>
      <w:pPr>
        <w:numPr>
          <w:ilvl w:val="1"/>
          <w:numId w:val="103"/>
        </w:numPr>
        <w:ind w:left="1440" w:hanging="220"/>
        <w:jc w:val="left"/>
        <w:rPr>
          <w:rFonts w:eastAsia="Arial" w:cs="Arial"/>
          <w:sz w:val="20"/>
          <w:szCs w:val="20"/>
        </w:rPr>
      </w:pPr>
      <w:r>
        <w:rPr>
          <w:rFonts w:eastAsia="Arial" w:cs="Arial"/>
          <w:sz w:val="20"/>
          <w:szCs w:val="20"/>
        </w:rPr>
        <w:t>difficulty in understanding important aspects of the account;</w:t>
      </w:r>
    </w:p>
    <w:p>
      <w:pPr>
        <w:numPr>
          <w:ilvl w:val="1"/>
          <w:numId w:val="103"/>
        </w:numPr>
        <w:ind w:left="1440" w:hanging="220"/>
        <w:jc w:val="left"/>
        <w:rPr>
          <w:rFonts w:eastAsia="Arial" w:cs="Arial"/>
          <w:sz w:val="20"/>
          <w:szCs w:val="20"/>
        </w:rPr>
      </w:pPr>
      <w:r>
        <w:rPr>
          <w:rFonts w:eastAsia="Arial" w:cs="Arial"/>
          <w:sz w:val="20"/>
          <w:szCs w:val="20"/>
        </w:rPr>
        <w:t>difficulty with checkbook management; or</w:t>
      </w:r>
    </w:p>
    <w:p>
      <w:pPr>
        <w:numPr>
          <w:ilvl w:val="1"/>
          <w:numId w:val="103"/>
        </w:numPr>
        <w:ind w:left="1440" w:hanging="220"/>
        <w:jc w:val="left"/>
        <w:rPr>
          <w:rFonts w:eastAsia="Arial" w:cs="Arial"/>
          <w:sz w:val="20"/>
          <w:szCs w:val="20"/>
        </w:rPr>
      </w:pPr>
      <w:r>
        <w:rPr>
          <w:rFonts w:eastAsia="Arial" w:cs="Arial"/>
          <w:sz w:val="20"/>
          <w:szCs w:val="20"/>
        </w:rPr>
        <w:t>confusion and loss of general knowledge regarding basic financial terms and concepts such as mortgages, will and annuities;</w:t>
      </w:r>
    </w:p>
    <w:p>
      <w:pPr>
        <w:numPr>
          <w:ilvl w:val="0"/>
          <w:numId w:val="103"/>
        </w:numPr>
        <w:ind w:left="720" w:hanging="192"/>
        <w:jc w:val="left"/>
        <w:rPr>
          <w:rFonts w:eastAsia="Arial" w:cs="Arial"/>
          <w:sz w:val="20"/>
          <w:szCs w:val="20"/>
        </w:rPr>
      </w:pPr>
      <w:r>
        <w:rPr>
          <w:rFonts w:eastAsia="Arial" w:cs="Arial"/>
          <w:sz w:val="20"/>
          <w:szCs w:val="20"/>
        </w:rPr>
        <w:t xml:space="preserve">The senior client's behavior is erratic including: </w:t>
      </w:r>
    </w:p>
    <w:p>
      <w:pPr>
        <w:numPr>
          <w:ilvl w:val="1"/>
          <w:numId w:val="103"/>
        </w:numPr>
        <w:ind w:left="1440" w:hanging="220"/>
        <w:jc w:val="left"/>
        <w:rPr>
          <w:rFonts w:eastAsia="Arial" w:cs="Arial"/>
          <w:sz w:val="20"/>
          <w:szCs w:val="20"/>
        </w:rPr>
      </w:pPr>
      <w:r>
        <w:rPr>
          <w:rFonts w:eastAsia="Arial" w:cs="Arial"/>
          <w:sz w:val="20"/>
          <w:szCs w:val="20"/>
        </w:rPr>
        <w:t>memory loss;</w:t>
      </w:r>
    </w:p>
    <w:p>
      <w:pPr>
        <w:numPr>
          <w:ilvl w:val="1"/>
          <w:numId w:val="103"/>
        </w:numPr>
        <w:ind w:left="1440" w:hanging="220"/>
        <w:jc w:val="left"/>
        <w:rPr>
          <w:rFonts w:eastAsia="Arial" w:cs="Arial"/>
          <w:sz w:val="20"/>
          <w:szCs w:val="20"/>
        </w:rPr>
      </w:pPr>
      <w:r>
        <w:rPr>
          <w:rFonts w:eastAsia="Arial" w:cs="Arial"/>
          <w:sz w:val="20"/>
          <w:szCs w:val="20"/>
        </w:rPr>
        <w:t>difficulty speaking or communicating;</w:t>
      </w:r>
    </w:p>
    <w:p>
      <w:pPr>
        <w:numPr>
          <w:ilvl w:val="1"/>
          <w:numId w:val="103"/>
        </w:numPr>
        <w:ind w:left="1440" w:hanging="220"/>
        <w:jc w:val="left"/>
        <w:rPr>
          <w:rFonts w:eastAsia="Arial" w:cs="Arial"/>
          <w:sz w:val="20"/>
          <w:szCs w:val="20"/>
        </w:rPr>
      </w:pPr>
      <w:r>
        <w:rPr>
          <w:rFonts w:eastAsia="Arial" w:cs="Arial"/>
          <w:sz w:val="20"/>
          <w:szCs w:val="20"/>
        </w:rPr>
        <w:t>inability to appreciate the consequences of decisions;</w:t>
      </w:r>
    </w:p>
    <w:p>
      <w:pPr>
        <w:numPr>
          <w:ilvl w:val="1"/>
          <w:numId w:val="103"/>
        </w:numPr>
        <w:ind w:left="1440" w:hanging="220"/>
        <w:jc w:val="left"/>
        <w:rPr>
          <w:rFonts w:eastAsia="Arial" w:cs="Arial"/>
          <w:sz w:val="20"/>
          <w:szCs w:val="20"/>
        </w:rPr>
      </w:pPr>
      <w:r>
        <w:rPr>
          <w:rFonts w:eastAsia="Arial" w:cs="Arial"/>
          <w:sz w:val="20"/>
          <w:szCs w:val="20"/>
        </w:rPr>
        <w:t>disorientation with surroundings or social settings; or</w:t>
      </w:r>
    </w:p>
    <w:p>
      <w:pPr>
        <w:numPr>
          <w:ilvl w:val="1"/>
          <w:numId w:val="103"/>
        </w:numPr>
        <w:ind w:left="1440" w:hanging="220"/>
        <w:jc w:val="left"/>
        <w:rPr>
          <w:rFonts w:eastAsia="Arial" w:cs="Arial"/>
          <w:sz w:val="20"/>
          <w:szCs w:val="20"/>
        </w:rPr>
      </w:pPr>
      <w:r>
        <w:rPr>
          <w:rFonts w:eastAsia="Arial" w:cs="Arial"/>
          <w:sz w:val="20"/>
          <w:szCs w:val="20"/>
        </w:rPr>
        <w:t>uncharacteristically unkempt appearance;</w:t>
      </w:r>
    </w:p>
    <w:p>
      <w:pPr>
        <w:numPr>
          <w:ilvl w:val="0"/>
          <w:numId w:val="103"/>
        </w:numPr>
        <w:ind w:left="720" w:hanging="192"/>
        <w:jc w:val="left"/>
        <w:rPr>
          <w:rFonts w:eastAsia="Arial" w:cs="Arial"/>
          <w:sz w:val="20"/>
          <w:szCs w:val="20"/>
        </w:rPr>
      </w:pPr>
      <w:r>
        <w:rPr>
          <w:rFonts w:eastAsia="Arial" w:cs="Arial"/>
          <w:sz w:val="20"/>
          <w:szCs w:val="20"/>
        </w:rPr>
        <w:t>The senior client exhibits impaired judgment about investments or the use of money, including:</w:t>
      </w:r>
    </w:p>
    <w:p>
      <w:pPr>
        <w:numPr>
          <w:ilvl w:val="1"/>
          <w:numId w:val="103"/>
        </w:numPr>
        <w:ind w:left="1440" w:hanging="220"/>
        <w:jc w:val="left"/>
        <w:rPr>
          <w:rFonts w:eastAsia="Arial" w:cs="Arial"/>
          <w:sz w:val="20"/>
          <w:szCs w:val="20"/>
        </w:rPr>
      </w:pPr>
      <w:r>
        <w:rPr>
          <w:rFonts w:eastAsia="Arial" w:cs="Arial"/>
          <w:sz w:val="20"/>
          <w:szCs w:val="20"/>
        </w:rPr>
        <w:t>interest in get rich quick schemes;</w:t>
      </w:r>
    </w:p>
    <w:p>
      <w:pPr>
        <w:numPr>
          <w:ilvl w:val="1"/>
          <w:numId w:val="103"/>
        </w:numPr>
        <w:ind w:left="1440" w:hanging="220"/>
        <w:jc w:val="left"/>
        <w:rPr>
          <w:rFonts w:eastAsia="Arial" w:cs="Arial"/>
          <w:sz w:val="20"/>
          <w:szCs w:val="20"/>
        </w:rPr>
      </w:pPr>
      <w:r>
        <w:rPr>
          <w:rFonts w:eastAsia="Arial" w:cs="Arial"/>
          <w:sz w:val="20"/>
          <w:szCs w:val="20"/>
        </w:rPr>
        <w:t>extreme anxiety about the nature and extent of personal wealth;</w:t>
      </w:r>
    </w:p>
    <w:p>
      <w:pPr>
        <w:numPr>
          <w:ilvl w:val="1"/>
          <w:numId w:val="103"/>
        </w:numPr>
        <w:ind w:left="1440" w:hanging="220"/>
        <w:jc w:val="left"/>
        <w:rPr>
          <w:rFonts w:eastAsia="Arial" w:cs="Arial"/>
          <w:sz w:val="20"/>
          <w:szCs w:val="20"/>
        </w:rPr>
      </w:pPr>
      <w:r>
        <w:rPr>
          <w:rFonts w:eastAsia="Arial" w:cs="Arial"/>
          <w:sz w:val="20"/>
          <w:szCs w:val="20"/>
        </w:rPr>
        <w:t>making decisions that are inconsistent with his or her current long-term goals or commitments; or</w:t>
      </w:r>
    </w:p>
    <w:p>
      <w:pPr>
        <w:numPr>
          <w:ilvl w:val="1"/>
          <w:numId w:val="103"/>
        </w:numPr>
        <w:ind w:left="1440" w:hanging="220"/>
        <w:jc w:val="left"/>
        <w:rPr>
          <w:rFonts w:eastAsia="Arial" w:cs="Arial"/>
          <w:sz w:val="20"/>
          <w:szCs w:val="20"/>
        </w:rPr>
      </w:pPr>
      <w:r>
        <w:rPr>
          <w:rFonts w:eastAsia="Arial" w:cs="Arial"/>
          <w:sz w:val="20"/>
          <w:szCs w:val="20"/>
        </w:rPr>
        <w:t>failure to fulfill financial obligations such as paying bills, or paying the same bill multiple times;</w:t>
      </w:r>
    </w:p>
    <w:p>
      <w:pPr>
        <w:numPr>
          <w:ilvl w:val="0"/>
          <w:numId w:val="103"/>
        </w:numPr>
        <w:ind w:left="720" w:hanging="192"/>
        <w:jc w:val="left"/>
        <w:rPr>
          <w:rFonts w:eastAsia="Arial" w:cs="Arial"/>
          <w:sz w:val="20"/>
          <w:szCs w:val="20"/>
        </w:rPr>
      </w:pPr>
      <w:r>
        <w:rPr>
          <w:rFonts w:eastAsia="Arial" w:cs="Arial"/>
          <w:sz w:val="20"/>
          <w:szCs w:val="20"/>
        </w:rPr>
        <w:t>The senior client refuses to follow appropriate investment advice; this may be of particular concern when the advice is consistent with previously-stated investment objectives;</w:t>
      </w:r>
    </w:p>
    <w:p>
      <w:pPr>
        <w:numPr>
          <w:ilvl w:val="0"/>
          <w:numId w:val="103"/>
        </w:numPr>
        <w:ind w:left="720" w:hanging="192"/>
        <w:jc w:val="left"/>
        <w:rPr>
          <w:rFonts w:eastAsia="Arial" w:cs="Arial"/>
          <w:sz w:val="20"/>
          <w:szCs w:val="20"/>
        </w:rPr>
      </w:pPr>
      <w:r>
        <w:rPr>
          <w:rFonts w:eastAsia="Arial" w:cs="Arial"/>
          <w:sz w:val="20"/>
          <w:szCs w:val="20"/>
        </w:rPr>
        <w:t>The senior client appears to be concerned or confused about missing funds in his or her account, where reviews indicate there were no unauthorized money movements or no money movements at all;</w:t>
      </w:r>
    </w:p>
    <w:p>
      <w:pPr>
        <w:numPr>
          <w:ilvl w:val="0"/>
          <w:numId w:val="103"/>
        </w:numPr>
        <w:ind w:left="720" w:hanging="192"/>
        <w:jc w:val="left"/>
        <w:rPr>
          <w:rFonts w:eastAsia="Arial" w:cs="Arial"/>
          <w:sz w:val="20"/>
          <w:szCs w:val="20"/>
        </w:rPr>
      </w:pPr>
      <w:r>
        <w:rPr>
          <w:rFonts w:eastAsia="Arial" w:cs="Arial"/>
          <w:sz w:val="20"/>
          <w:szCs w:val="20"/>
        </w:rPr>
        <w:t>The senior client is not aware of, or does not understand, recently completed financial transactions; and</w:t>
      </w:r>
    </w:p>
    <w:p>
      <w:pPr>
        <w:numPr>
          <w:ilvl w:val="0"/>
          <w:numId w:val="103"/>
        </w:numPr>
        <w:spacing w:after="200"/>
        <w:ind w:left="720" w:hanging="192"/>
        <w:jc w:val="left"/>
        <w:rPr>
          <w:rFonts w:eastAsia="Arial" w:cs="Arial"/>
          <w:sz w:val="20"/>
          <w:szCs w:val="20"/>
        </w:rPr>
      </w:pPr>
      <w:r>
        <w:rPr>
          <w:rFonts w:eastAsia="Arial" w:cs="Arial"/>
          <w:sz w:val="20"/>
          <w:szCs w:val="20"/>
        </w:rPr>
        <w:t>The senior client appears to be disoriented with surroundings or social setting.</w:t>
      </w:r>
    </w:p>
    <w:p/>
    <w:p>
      <w:pPr>
        <w:pStyle w:val="Heading4"/>
      </w:pPr>
      <w:r>
        <w:t>3.3.9.3 Outward Signs of Potential Elder Abuse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Firm employees who provide investment advice to senior clients will monitor for signs of elder abuse or financial exploitation with a particular senior client including monitoring for one or more of the following:</w:t>
      </w:r>
    </w:p>
    <w:p>
      <w:pPr>
        <w:numPr>
          <w:ilvl w:val="0"/>
          <w:numId w:val="104"/>
        </w:numPr>
        <w:spacing w:before="200"/>
        <w:ind w:left="720" w:hanging="192"/>
        <w:jc w:val="left"/>
        <w:rPr>
          <w:rFonts w:eastAsia="Arial" w:cs="Arial"/>
          <w:sz w:val="20"/>
          <w:szCs w:val="20"/>
        </w:rPr>
      </w:pPr>
      <w:r>
        <w:rPr>
          <w:rFonts w:eastAsia="Arial" w:cs="Arial"/>
          <w:sz w:val="20"/>
          <w:szCs w:val="20"/>
        </w:rPr>
        <w:t>The senior client gives a power of attorney to someone that, to the investment adviser representative, appears inappropriate;</w:t>
      </w:r>
    </w:p>
    <w:p>
      <w:pPr>
        <w:numPr>
          <w:ilvl w:val="0"/>
          <w:numId w:val="104"/>
        </w:numPr>
        <w:ind w:left="720" w:hanging="192"/>
        <w:jc w:val="left"/>
        <w:rPr>
          <w:rFonts w:eastAsia="Arial" w:cs="Arial"/>
          <w:sz w:val="20"/>
          <w:szCs w:val="20"/>
        </w:rPr>
      </w:pPr>
      <w:r>
        <w:rPr>
          <w:rFonts w:eastAsia="Arial" w:cs="Arial"/>
          <w:sz w:val="20"/>
          <w:szCs w:val="20"/>
        </w:rPr>
        <w:t>Uncharacteristic and repeated cash withdrawals or wire transfers;</w:t>
      </w:r>
    </w:p>
    <w:p>
      <w:pPr>
        <w:numPr>
          <w:ilvl w:val="0"/>
          <w:numId w:val="104"/>
        </w:numPr>
        <w:ind w:left="720" w:hanging="192"/>
        <w:jc w:val="left"/>
        <w:rPr>
          <w:rFonts w:eastAsia="Arial" w:cs="Arial"/>
          <w:sz w:val="20"/>
          <w:szCs w:val="20"/>
        </w:rPr>
      </w:pPr>
      <w:r>
        <w:rPr>
          <w:rFonts w:eastAsia="Arial" w:cs="Arial"/>
          <w:sz w:val="20"/>
          <w:szCs w:val="20"/>
        </w:rPr>
        <w:t>Appearing with new and unknown associates, friends or relatives;</w:t>
      </w:r>
    </w:p>
    <w:p>
      <w:pPr>
        <w:numPr>
          <w:ilvl w:val="0"/>
          <w:numId w:val="104"/>
        </w:numPr>
        <w:ind w:left="720" w:hanging="192"/>
        <w:jc w:val="left"/>
        <w:rPr>
          <w:rFonts w:eastAsia="Arial" w:cs="Arial"/>
          <w:sz w:val="20"/>
          <w:szCs w:val="20"/>
        </w:rPr>
      </w:pPr>
      <w:r>
        <w:rPr>
          <w:rFonts w:eastAsia="Arial" w:cs="Arial"/>
          <w:sz w:val="20"/>
          <w:szCs w:val="20"/>
        </w:rPr>
        <w:t>Uncharacteristic nervousness or anxiety when visiting the office or conducting telephone transactions;</w:t>
      </w:r>
    </w:p>
    <w:p>
      <w:pPr>
        <w:numPr>
          <w:ilvl w:val="0"/>
          <w:numId w:val="104"/>
        </w:numPr>
        <w:ind w:left="720" w:hanging="192"/>
        <w:jc w:val="left"/>
        <w:rPr>
          <w:rFonts w:eastAsia="Arial" w:cs="Arial"/>
          <w:sz w:val="20"/>
          <w:szCs w:val="20"/>
        </w:rPr>
      </w:pPr>
      <w:r>
        <w:rPr>
          <w:rFonts w:eastAsia="Arial" w:cs="Arial"/>
          <w:sz w:val="20"/>
          <w:szCs w:val="20"/>
        </w:rPr>
        <w:t>Lacking knowledge about his or her financial status;</w:t>
      </w:r>
    </w:p>
    <w:p>
      <w:pPr>
        <w:numPr>
          <w:ilvl w:val="0"/>
          <w:numId w:val="104"/>
        </w:numPr>
        <w:ind w:left="720" w:hanging="192"/>
        <w:jc w:val="left"/>
        <w:rPr>
          <w:rFonts w:eastAsia="Arial" w:cs="Arial"/>
          <w:sz w:val="20"/>
          <w:szCs w:val="20"/>
        </w:rPr>
      </w:pPr>
      <w:r>
        <w:rPr>
          <w:rFonts w:eastAsia="Arial" w:cs="Arial"/>
          <w:sz w:val="20"/>
          <w:szCs w:val="20"/>
        </w:rPr>
        <w:t>Large, atypical withdrawals or closing accounts with regard to penalties;</w:t>
      </w:r>
    </w:p>
    <w:p>
      <w:pPr>
        <w:numPr>
          <w:ilvl w:val="0"/>
          <w:numId w:val="104"/>
        </w:numPr>
        <w:ind w:left="720" w:hanging="192"/>
        <w:jc w:val="left"/>
        <w:rPr>
          <w:rFonts w:eastAsia="Arial" w:cs="Arial"/>
          <w:sz w:val="20"/>
          <w:szCs w:val="20"/>
        </w:rPr>
      </w:pPr>
      <w:r>
        <w:rPr>
          <w:rFonts w:eastAsia="Arial" w:cs="Arial"/>
          <w:sz w:val="20"/>
          <w:szCs w:val="20"/>
        </w:rPr>
        <w:t>Indications that the senior client does not have control over or access to his/her money;</w:t>
      </w:r>
    </w:p>
    <w:p>
      <w:pPr>
        <w:numPr>
          <w:ilvl w:val="0"/>
          <w:numId w:val="104"/>
        </w:numPr>
        <w:ind w:left="720" w:hanging="192"/>
        <w:jc w:val="left"/>
        <w:rPr>
          <w:rFonts w:eastAsia="Arial" w:cs="Arial"/>
          <w:sz w:val="20"/>
          <w:szCs w:val="20"/>
        </w:rPr>
      </w:pPr>
      <w:r>
        <w:rPr>
          <w:rFonts w:eastAsia="Arial" w:cs="Arial"/>
          <w:sz w:val="20"/>
          <w:szCs w:val="20"/>
        </w:rPr>
        <w:t>The senior client's mailing address has been changed to an unfamiliar and unexplained address;</w:t>
      </w:r>
    </w:p>
    <w:p>
      <w:pPr>
        <w:numPr>
          <w:ilvl w:val="0"/>
          <w:numId w:val="104"/>
        </w:numPr>
        <w:ind w:left="720" w:hanging="192"/>
        <w:jc w:val="left"/>
        <w:rPr>
          <w:rFonts w:eastAsia="Arial" w:cs="Arial"/>
          <w:sz w:val="20"/>
          <w:szCs w:val="20"/>
        </w:rPr>
      </w:pPr>
      <w:r>
        <w:rPr>
          <w:rFonts w:eastAsia="Arial" w:cs="Arial"/>
          <w:sz w:val="20"/>
          <w:szCs w:val="20"/>
        </w:rPr>
        <w:t>Inability of the investment adviser representative to speak directly to the senior client, despite attempts to do so;</w:t>
      </w:r>
    </w:p>
    <w:p>
      <w:pPr>
        <w:numPr>
          <w:ilvl w:val="0"/>
          <w:numId w:val="104"/>
        </w:numPr>
        <w:ind w:left="720" w:hanging="192"/>
        <w:jc w:val="left"/>
        <w:rPr>
          <w:rFonts w:eastAsia="Arial" w:cs="Arial"/>
          <w:sz w:val="20"/>
          <w:szCs w:val="20"/>
        </w:rPr>
      </w:pPr>
      <w:r>
        <w:rPr>
          <w:rFonts w:eastAsia="Arial" w:cs="Arial"/>
          <w:sz w:val="20"/>
          <w:szCs w:val="20"/>
        </w:rPr>
        <w:t>The senior client appears to be suddenly isolated from friends and family;</w:t>
      </w:r>
    </w:p>
    <w:p>
      <w:pPr>
        <w:numPr>
          <w:ilvl w:val="0"/>
          <w:numId w:val="104"/>
        </w:numPr>
        <w:ind w:left="720" w:hanging="192"/>
        <w:jc w:val="left"/>
        <w:rPr>
          <w:rFonts w:eastAsia="Arial" w:cs="Arial"/>
          <w:sz w:val="20"/>
          <w:szCs w:val="20"/>
        </w:rPr>
      </w:pPr>
      <w:r>
        <w:rPr>
          <w:rFonts w:eastAsia="Arial" w:cs="Arial"/>
          <w:sz w:val="20"/>
          <w:szCs w:val="20"/>
        </w:rPr>
        <w:t>There is a sudden, unexplained or unusual change in the senior client's transaction patterns;</w:t>
      </w:r>
    </w:p>
    <w:p>
      <w:pPr>
        <w:numPr>
          <w:ilvl w:val="0"/>
          <w:numId w:val="104"/>
        </w:numPr>
        <w:ind w:left="720" w:hanging="192"/>
        <w:jc w:val="left"/>
        <w:rPr>
          <w:rFonts w:eastAsia="Arial" w:cs="Arial"/>
          <w:sz w:val="20"/>
          <w:szCs w:val="20"/>
        </w:rPr>
      </w:pPr>
      <w:r>
        <w:rPr>
          <w:rFonts w:eastAsia="Arial" w:cs="Arial"/>
          <w:sz w:val="20"/>
          <w:szCs w:val="20"/>
        </w:rPr>
        <w:t>There are unexplained disbursements made in the senior client's account that are outside of the norm; or</w:t>
      </w:r>
    </w:p>
    <w:p>
      <w:pPr>
        <w:numPr>
          <w:ilvl w:val="0"/>
          <w:numId w:val="104"/>
        </w:numPr>
        <w:spacing w:after="200"/>
        <w:ind w:left="720" w:hanging="192"/>
        <w:jc w:val="left"/>
        <w:rPr>
          <w:rFonts w:eastAsia="Arial" w:cs="Arial"/>
          <w:sz w:val="20"/>
          <w:szCs w:val="20"/>
        </w:rPr>
      </w:pPr>
      <w:r>
        <w:rPr>
          <w:rFonts w:eastAsia="Arial" w:cs="Arial"/>
          <w:sz w:val="20"/>
          <w:szCs w:val="20"/>
        </w:rPr>
        <w:t>The sudden appearance of a new individual involved in the senior client's financial affairs.</w:t>
      </w:r>
    </w:p>
    <w:p/>
    <w:p>
      <w:pPr>
        <w:pStyle w:val="Heading4"/>
      </w:pPr>
      <w:r>
        <w:t>3.3.9.4 Assisting Senior Clients Experiencing Cognitive Decline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Firm investment adviser representatives will assist senior clients who are experiencing cognitive decline including:</w:t>
      </w:r>
    </w:p>
    <w:p>
      <w:pPr>
        <w:numPr>
          <w:ilvl w:val="0"/>
          <w:numId w:val="105"/>
        </w:numPr>
        <w:spacing w:before="200"/>
        <w:ind w:left="720" w:hanging="192"/>
        <w:jc w:val="left"/>
        <w:rPr>
          <w:rFonts w:eastAsia="Arial" w:cs="Arial"/>
          <w:sz w:val="20"/>
          <w:szCs w:val="20"/>
        </w:rPr>
      </w:pPr>
      <w:r>
        <w:rPr>
          <w:rFonts w:eastAsia="Arial" w:cs="Arial"/>
          <w:sz w:val="20"/>
          <w:szCs w:val="20"/>
        </w:rPr>
        <w:t>Enhancing supervisory oversight for an account where there is a suspicion that a senior client may be vulnerable;</w:t>
      </w:r>
    </w:p>
    <w:p>
      <w:pPr>
        <w:numPr>
          <w:ilvl w:val="0"/>
          <w:numId w:val="105"/>
        </w:numPr>
        <w:ind w:left="720" w:hanging="192"/>
        <w:jc w:val="left"/>
        <w:rPr>
          <w:rFonts w:eastAsia="Arial" w:cs="Arial"/>
          <w:sz w:val="20"/>
          <w:szCs w:val="20"/>
        </w:rPr>
      </w:pPr>
      <w:r>
        <w:rPr>
          <w:rFonts w:eastAsia="Arial" w:cs="Arial"/>
          <w:sz w:val="20"/>
          <w:szCs w:val="20"/>
        </w:rPr>
        <w:t>Documenting contact senior clients in case they have problems with lack of recall or need assistance with resolving any misunderstanding; and</w:t>
      </w:r>
    </w:p>
    <w:p>
      <w:pPr>
        <w:numPr>
          <w:ilvl w:val="0"/>
          <w:numId w:val="105"/>
        </w:numPr>
        <w:spacing w:after="200"/>
        <w:ind w:left="720" w:hanging="192"/>
        <w:jc w:val="left"/>
        <w:rPr>
          <w:rFonts w:eastAsia="Arial" w:cs="Arial"/>
          <w:sz w:val="20"/>
          <w:szCs w:val="20"/>
        </w:rPr>
      </w:pPr>
      <w:r>
        <w:rPr>
          <w:rFonts w:eastAsia="Arial" w:cs="Arial"/>
          <w:sz w:val="20"/>
          <w:szCs w:val="20"/>
        </w:rPr>
        <w:t>Developing escalation protocol, including firm personnel trained to deal with senior clients.</w:t>
      </w:r>
    </w:p>
    <w:p>
      <w:bookmarkStart w:id="90" w:name="Sec_Chp_061016102248171_281806"/>
    </w:p>
    <w:p>
      <w:pPr>
        <w:pStyle w:val="Heading4"/>
      </w:pPr>
      <w:r>
        <w:t>3.3.9.5 Senior Client Communications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senior clients, KCD will follow these additional communications procedures:</w:t>
      </w:r>
    </w:p>
    <w:p>
      <w:pPr>
        <w:numPr>
          <w:ilvl w:val="0"/>
          <w:numId w:val="106"/>
        </w:numPr>
        <w:spacing w:before="200"/>
        <w:ind w:left="720" w:hanging="192"/>
        <w:jc w:val="left"/>
        <w:rPr>
          <w:rFonts w:eastAsia="Arial" w:cs="Arial"/>
          <w:sz w:val="20"/>
          <w:szCs w:val="20"/>
        </w:rPr>
      </w:pPr>
      <w:r>
        <w:rPr>
          <w:rFonts w:eastAsia="Arial" w:cs="Arial"/>
          <w:sz w:val="20"/>
          <w:szCs w:val="20"/>
        </w:rPr>
        <w:t>Increase the frequency of contact with senior clients to remain informed about changes in senior clients' financial needs, employment status, health, and other life events;</w:t>
      </w:r>
    </w:p>
    <w:p>
      <w:pPr>
        <w:numPr>
          <w:ilvl w:val="0"/>
          <w:numId w:val="106"/>
        </w:numPr>
        <w:ind w:left="720" w:hanging="192"/>
        <w:jc w:val="left"/>
        <w:rPr>
          <w:rFonts w:eastAsia="Arial" w:cs="Arial"/>
          <w:sz w:val="20"/>
          <w:szCs w:val="20"/>
        </w:rPr>
      </w:pPr>
      <w:r>
        <w:rPr>
          <w:rFonts w:eastAsia="Arial" w:cs="Arial"/>
          <w:sz w:val="20"/>
          <w:szCs w:val="20"/>
        </w:rPr>
        <w:t>Encourage investment adviser representatives to talk to senior clients about having an emergency or alternate contact on file with KCD, such as a trusted family member or other trusted individual;</w:t>
      </w:r>
    </w:p>
    <w:p>
      <w:pPr>
        <w:numPr>
          <w:ilvl w:val="0"/>
          <w:numId w:val="106"/>
        </w:numPr>
        <w:ind w:left="720" w:hanging="192"/>
        <w:jc w:val="left"/>
        <w:rPr>
          <w:rFonts w:eastAsia="Arial" w:cs="Arial"/>
          <w:sz w:val="20"/>
          <w:szCs w:val="20"/>
        </w:rPr>
      </w:pPr>
      <w:r>
        <w:rPr>
          <w:rFonts w:eastAsia="Arial" w:cs="Arial"/>
          <w:sz w:val="20"/>
          <w:szCs w:val="20"/>
        </w:rPr>
        <w:t>Educate senior clients about the benefits of having a power of attorney and when appropriate, encouraging senior clients who are in good health to share details of their financial affairs with trusted family members, estate lawyers and/or other professionals to help ensure that if the senior client's health deteriorates, their financial affairs will be properly handled;</w:t>
      </w:r>
    </w:p>
    <w:p>
      <w:pPr>
        <w:numPr>
          <w:ilvl w:val="0"/>
          <w:numId w:val="106"/>
        </w:numPr>
        <w:ind w:left="720" w:hanging="192"/>
        <w:jc w:val="left"/>
        <w:rPr>
          <w:rFonts w:eastAsia="Arial" w:cs="Arial"/>
          <w:sz w:val="20"/>
          <w:szCs w:val="20"/>
        </w:rPr>
      </w:pPr>
      <w:r>
        <w:rPr>
          <w:rFonts w:eastAsia="Arial" w:cs="Arial"/>
          <w:sz w:val="20"/>
          <w:szCs w:val="20"/>
        </w:rPr>
        <w:t>Document conversations with senior clients in case they have problems with lack of recall or to help resolve any misunderstanding;</w:t>
      </w:r>
    </w:p>
    <w:p>
      <w:pPr>
        <w:numPr>
          <w:ilvl w:val="0"/>
          <w:numId w:val="106"/>
        </w:numPr>
        <w:ind w:left="720" w:hanging="192"/>
        <w:jc w:val="left"/>
        <w:rPr>
          <w:rFonts w:eastAsia="Arial" w:cs="Arial"/>
          <w:sz w:val="20"/>
          <w:szCs w:val="20"/>
        </w:rPr>
      </w:pPr>
      <w:r>
        <w:rPr>
          <w:rFonts w:eastAsia="Arial" w:cs="Arial"/>
          <w:sz w:val="20"/>
          <w:szCs w:val="20"/>
        </w:rPr>
        <w:t>Send follow-up letters, e-mails or other communications to senior clients after conversations to document and reiterate what was discussed;</w:t>
      </w:r>
    </w:p>
    <w:p>
      <w:pPr>
        <w:numPr>
          <w:ilvl w:val="0"/>
          <w:numId w:val="106"/>
        </w:numPr>
        <w:ind w:left="720" w:hanging="192"/>
        <w:jc w:val="left"/>
        <w:rPr>
          <w:rFonts w:eastAsia="Arial" w:cs="Arial"/>
          <w:sz w:val="20"/>
          <w:szCs w:val="20"/>
        </w:rPr>
      </w:pPr>
      <w:r>
        <w:rPr>
          <w:rFonts w:eastAsia="Arial" w:cs="Arial"/>
          <w:sz w:val="20"/>
          <w:szCs w:val="20"/>
        </w:rPr>
        <w:t>Avoid financial jargon, and instead use plain language;</w:t>
      </w:r>
    </w:p>
    <w:p>
      <w:pPr>
        <w:numPr>
          <w:ilvl w:val="0"/>
          <w:numId w:val="106"/>
        </w:numPr>
        <w:ind w:left="720" w:hanging="192"/>
        <w:jc w:val="left"/>
        <w:rPr>
          <w:rFonts w:eastAsia="Arial" w:cs="Arial"/>
          <w:sz w:val="20"/>
          <w:szCs w:val="20"/>
        </w:rPr>
      </w:pPr>
      <w:r>
        <w:rPr>
          <w:rFonts w:eastAsia="Arial" w:cs="Arial"/>
          <w:sz w:val="20"/>
          <w:szCs w:val="20"/>
        </w:rPr>
        <w:t>Use larger font versions of marketing materials; and</w:t>
      </w:r>
    </w:p>
    <w:p>
      <w:pPr>
        <w:numPr>
          <w:ilvl w:val="0"/>
          <w:numId w:val="106"/>
        </w:numPr>
        <w:spacing w:after="200"/>
        <w:ind w:left="720" w:hanging="192"/>
        <w:jc w:val="left"/>
        <w:rPr>
          <w:rFonts w:eastAsia="Arial" w:cs="Arial"/>
          <w:sz w:val="20"/>
          <w:szCs w:val="20"/>
        </w:rPr>
      </w:pPr>
      <w:r>
        <w:rPr>
          <w:rFonts w:eastAsia="Arial" w:cs="Arial"/>
          <w:sz w:val="20"/>
          <w:szCs w:val="20"/>
        </w:rPr>
        <w:t>Consider providing or making available brochures that explain to senior clients how to identify, locate, organize and store important documents so that they are easily accessible in case of an emergency.</w:t>
      </w:r>
    </w:p>
    <w:p>
      <w:bookmarkEnd w:id="90"/>
    </w:p>
    <w:p>
      <w:pPr>
        <w:pStyle w:val="Heading4"/>
      </w:pPr>
      <w:r>
        <w:t>3.3.9.6 Senior Client Financial Exploitation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Financial exploitation of a senior client means:</w:t>
      </w:r>
    </w:p>
    <w:p>
      <w:pPr>
        <w:numPr>
          <w:ilvl w:val="0"/>
          <w:numId w:val="107"/>
        </w:numPr>
        <w:spacing w:before="200"/>
        <w:ind w:left="720" w:hanging="192"/>
        <w:jc w:val="left"/>
        <w:rPr>
          <w:rFonts w:eastAsia="Arial" w:cs="Arial"/>
          <w:sz w:val="20"/>
          <w:szCs w:val="20"/>
        </w:rPr>
      </w:pPr>
      <w:r>
        <w:rPr>
          <w:rFonts w:eastAsia="Arial" w:cs="Arial"/>
          <w:sz w:val="20"/>
          <w:szCs w:val="20"/>
        </w:rPr>
        <w:t>the wrongful or unauthorized taking, withholding, appropriation, or use of money, assets or property of an eligible adult; or</w:t>
      </w:r>
    </w:p>
    <w:p>
      <w:pPr>
        <w:numPr>
          <w:ilvl w:val="0"/>
          <w:numId w:val="107"/>
        </w:numPr>
        <w:ind w:left="720" w:hanging="192"/>
        <w:jc w:val="left"/>
        <w:rPr>
          <w:rFonts w:eastAsia="Arial" w:cs="Arial"/>
          <w:sz w:val="20"/>
          <w:szCs w:val="20"/>
        </w:rPr>
      </w:pPr>
      <w:r>
        <w:rPr>
          <w:rFonts w:eastAsia="Arial" w:cs="Arial"/>
          <w:sz w:val="20"/>
          <w:szCs w:val="20"/>
        </w:rPr>
        <w:t>any act or omission taken by a Firm employee or guardian or other representative of a senior client, through the use of a power of attorney, guardianship, conservatorship or otherwise, to:</w:t>
      </w:r>
    </w:p>
    <w:p>
      <w:pPr>
        <w:numPr>
          <w:ilvl w:val="1"/>
          <w:numId w:val="107"/>
        </w:numPr>
        <w:ind w:left="1440" w:hanging="220"/>
        <w:jc w:val="left"/>
        <w:rPr>
          <w:rFonts w:eastAsia="Arial" w:cs="Arial"/>
          <w:sz w:val="20"/>
          <w:szCs w:val="20"/>
        </w:rPr>
      </w:pPr>
      <w:r>
        <w:rPr>
          <w:rFonts w:eastAsia="Arial" w:cs="Arial"/>
          <w:sz w:val="20"/>
          <w:szCs w:val="20"/>
        </w:rPr>
        <w:t>obtain control, through deception, intimidation or undue influence, over the eligible adult's money, assets or property to deprive the eligible adult of the ownership, use, benefit or possession of his or her money, assets or property; or</w:t>
      </w:r>
    </w:p>
    <w:p>
      <w:pPr>
        <w:numPr>
          <w:ilvl w:val="1"/>
          <w:numId w:val="107"/>
        </w:numPr>
        <w:spacing w:after="200"/>
        <w:ind w:left="1440" w:hanging="220"/>
        <w:jc w:val="left"/>
        <w:rPr>
          <w:rFonts w:eastAsia="Arial" w:cs="Arial"/>
          <w:sz w:val="20"/>
          <w:szCs w:val="20"/>
        </w:rPr>
      </w:pPr>
      <w:r>
        <w:rPr>
          <w:rFonts w:eastAsia="Arial" w:cs="Arial"/>
          <w:sz w:val="20"/>
          <w:szCs w:val="20"/>
        </w:rPr>
        <w:t xml:space="preserve">convert money, assets or property of the eligible adult to deprive such eligible adult of the ownership, use, benefit or possession of his or her money, assets or property. </w:t>
      </w:r>
    </w:p>
    <w:p/>
    <w:p>
      <w:pPr>
        <w:pStyle w:val="Heading4"/>
      </w:pPr>
      <w:r>
        <w:t>3.3.9.7 Reporting Senior Client Exploitation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Firm employees shall promptly report senior client exploitation to the Chief Compliance Officer and a senior officer of KCD. Report forms used when senior client exploitation is detected shall include, at a minimum, the following:</w:t>
      </w:r>
    </w:p>
    <w:p>
      <w:pPr>
        <w:numPr>
          <w:ilvl w:val="0"/>
          <w:numId w:val="108"/>
        </w:numPr>
        <w:spacing w:before="200"/>
        <w:ind w:left="720" w:hanging="192"/>
        <w:jc w:val="left"/>
        <w:rPr>
          <w:rFonts w:eastAsia="Arial" w:cs="Arial"/>
          <w:sz w:val="20"/>
          <w:szCs w:val="20"/>
        </w:rPr>
      </w:pPr>
      <w:r>
        <w:rPr>
          <w:rFonts w:eastAsia="Arial" w:cs="Arial"/>
          <w:sz w:val="20"/>
          <w:szCs w:val="20"/>
        </w:rPr>
        <w:t>the name of the senior client;</w:t>
      </w:r>
    </w:p>
    <w:p>
      <w:pPr>
        <w:numPr>
          <w:ilvl w:val="0"/>
          <w:numId w:val="108"/>
        </w:numPr>
        <w:ind w:left="720" w:hanging="192"/>
        <w:jc w:val="left"/>
        <w:rPr>
          <w:rFonts w:eastAsia="Arial" w:cs="Arial"/>
          <w:sz w:val="20"/>
          <w:szCs w:val="20"/>
        </w:rPr>
      </w:pPr>
      <w:r>
        <w:rPr>
          <w:rFonts w:eastAsia="Arial" w:cs="Arial"/>
          <w:sz w:val="20"/>
          <w:szCs w:val="20"/>
        </w:rPr>
        <w:t>the relevant dates;</w:t>
      </w:r>
    </w:p>
    <w:p>
      <w:pPr>
        <w:numPr>
          <w:ilvl w:val="0"/>
          <w:numId w:val="108"/>
        </w:numPr>
        <w:ind w:left="720" w:hanging="192"/>
        <w:jc w:val="left"/>
        <w:rPr>
          <w:rFonts w:eastAsia="Arial" w:cs="Arial"/>
          <w:sz w:val="20"/>
          <w:szCs w:val="20"/>
        </w:rPr>
      </w:pPr>
      <w:r>
        <w:rPr>
          <w:rFonts w:eastAsia="Arial" w:cs="Arial"/>
          <w:sz w:val="20"/>
          <w:szCs w:val="20"/>
        </w:rPr>
        <w:t>a description of the events that led to the report; and</w:t>
      </w:r>
    </w:p>
    <w:p>
      <w:pPr>
        <w:numPr>
          <w:ilvl w:val="0"/>
          <w:numId w:val="108"/>
        </w:numPr>
        <w:spacing w:after="200"/>
        <w:ind w:left="720" w:hanging="192"/>
        <w:jc w:val="left"/>
        <w:rPr>
          <w:rFonts w:eastAsia="Arial" w:cs="Arial"/>
          <w:sz w:val="20"/>
          <w:szCs w:val="20"/>
        </w:rPr>
      </w:pPr>
      <w:r>
        <w:rPr>
          <w:rFonts w:eastAsia="Arial" w:cs="Arial"/>
          <w:sz w:val="20"/>
          <w:szCs w:val="20"/>
        </w:rPr>
        <w:t>any relevant documentation related to the potential financial exploitation to ensure, in part, that any outside agency receiving the report has all of the necessary information to evaluate the report.</w:t>
      </w:r>
    </w:p>
    <w:p/>
    <w:p>
      <w:pPr>
        <w:pStyle w:val="Heading4"/>
      </w:pPr>
      <w:r>
        <w:t>3.3.9.8 Notifying Government Agency of Client Exploitation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 Firm employee reasonably believes that financial exploitation of a senior client may have occurred, may have been attempted, or is being attempted, the Firm employee shall promptly notify the proper governmental authority.</w:t>
      </w:r>
    </w:p>
    <w:p/>
    <w:p>
      <w:pPr>
        <w:pStyle w:val="Heading4"/>
      </w:pPr>
      <w:r>
        <w:t>3.3.9.9 Delaying Disbursements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delay a disbursement from a senior client account or an account on which a senior account is a beneficiary if KCD reasonably believes, after initiating an internal review of the requested disbursement and the suspected financial exploitation, that the requested disbursement may result in financial exploitation of the senior client; and</w:t>
      </w:r>
    </w:p>
    <w:p>
      <w:pPr>
        <w:numPr>
          <w:ilvl w:val="0"/>
          <w:numId w:val="109"/>
        </w:numPr>
        <w:spacing w:before="200"/>
        <w:ind w:left="720" w:hanging="192"/>
        <w:jc w:val="left"/>
        <w:rPr>
          <w:rFonts w:eastAsia="Arial" w:cs="Arial"/>
          <w:sz w:val="20"/>
          <w:szCs w:val="20"/>
        </w:rPr>
      </w:pPr>
      <w:r>
        <w:rPr>
          <w:rFonts w:eastAsia="Arial" w:cs="Arial"/>
          <w:sz w:val="20"/>
          <w:szCs w:val="20"/>
        </w:rPr>
        <w:t>immediately, but in no event more than 2 business days after the requested disbursement, KCD provides written notification of the delay and the reason for the delay to all parties authorized to transact business on the account, unless any such party is reasonably believed to have engaged in suspected or attempted financial exploitation of the eligible adult;</w:t>
      </w:r>
    </w:p>
    <w:p>
      <w:pPr>
        <w:numPr>
          <w:ilvl w:val="0"/>
          <w:numId w:val="109"/>
        </w:numPr>
        <w:ind w:left="720" w:hanging="192"/>
        <w:jc w:val="left"/>
        <w:rPr>
          <w:rFonts w:eastAsia="Arial" w:cs="Arial"/>
          <w:sz w:val="20"/>
          <w:szCs w:val="20"/>
        </w:rPr>
      </w:pPr>
      <w:r>
        <w:rPr>
          <w:rFonts w:eastAsia="Arial" w:cs="Arial"/>
          <w:sz w:val="20"/>
          <w:szCs w:val="20"/>
        </w:rPr>
        <w:t>immediately, but in no event more than 2 business days after the requested disbursement, KCD notifies the appropriate federal or state agencies; and</w:t>
      </w:r>
    </w:p>
    <w:p>
      <w:pPr>
        <w:numPr>
          <w:ilvl w:val="0"/>
          <w:numId w:val="109"/>
        </w:numPr>
        <w:spacing w:after="200"/>
        <w:ind w:left="720" w:hanging="192"/>
        <w:jc w:val="left"/>
        <w:rPr>
          <w:rFonts w:eastAsia="Arial" w:cs="Arial"/>
          <w:sz w:val="20"/>
          <w:szCs w:val="20"/>
        </w:rPr>
      </w:pPr>
      <w:r>
        <w:rPr>
          <w:rFonts w:eastAsia="Arial" w:cs="Arial"/>
          <w:sz w:val="20"/>
          <w:szCs w:val="20"/>
        </w:rPr>
        <w:t>KCD conducts an internal review of the suspected or attempted financial exploitation of the eligible adult, as necessary, and reports the investigation's results to the appropriate federal or state agencies within 7 business days after the requested disbursement.</w:t>
      </w:r>
    </w:p>
    <w:p>
      <w:pPr>
        <w:pStyle w:val="normal0"/>
        <w:spacing w:before="200" w:after="200"/>
        <w:rPr>
          <w:rFonts w:eastAsia="Arial" w:cs="Arial"/>
          <w:sz w:val="20"/>
          <w:szCs w:val="20"/>
        </w:rPr>
      </w:pPr>
      <w:r>
        <w:rPr>
          <w:rFonts w:eastAsia="Arial" w:cs="Arial"/>
          <w:sz w:val="20"/>
          <w:szCs w:val="20"/>
        </w:rPr>
        <w:t>Any delay of a disbursement as authorized by this section will expire upon the sooner of:</w:t>
      </w:r>
    </w:p>
    <w:p>
      <w:pPr>
        <w:numPr>
          <w:ilvl w:val="0"/>
          <w:numId w:val="110"/>
        </w:numPr>
        <w:spacing w:before="200"/>
        <w:ind w:left="720" w:hanging="192"/>
        <w:jc w:val="left"/>
        <w:rPr>
          <w:rFonts w:eastAsia="Arial" w:cs="Arial"/>
          <w:sz w:val="20"/>
          <w:szCs w:val="20"/>
        </w:rPr>
      </w:pPr>
      <w:r>
        <w:rPr>
          <w:rFonts w:eastAsia="Arial" w:cs="Arial"/>
          <w:sz w:val="20"/>
          <w:szCs w:val="20"/>
        </w:rPr>
        <w:t>a determination by KCD that the disbursement will not result in financial exploitation of the senior client; or</w:t>
      </w:r>
    </w:p>
    <w:p>
      <w:pPr>
        <w:numPr>
          <w:ilvl w:val="0"/>
          <w:numId w:val="110"/>
        </w:numPr>
        <w:spacing w:after="200"/>
        <w:ind w:left="720" w:hanging="192"/>
        <w:jc w:val="left"/>
        <w:rPr>
          <w:rFonts w:eastAsia="Arial" w:cs="Arial"/>
          <w:sz w:val="20"/>
          <w:szCs w:val="20"/>
        </w:rPr>
      </w:pPr>
      <w:r>
        <w:rPr>
          <w:rFonts w:eastAsia="Arial" w:cs="Arial"/>
          <w:sz w:val="20"/>
          <w:szCs w:val="20"/>
        </w:rPr>
        <w:t>15 business days after the date on which KCD first delayed disbursement of the funds, unless either of a federal or state agency requests that KCD extend the delay, in which case the delay shall expire no more than 25 business days after the date on which KCD first delayed disbursement of the funds unless sooner terminated by either of the agency or an order of a court of competent jurisdiction.</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model Act to Protect Vulnerable Adults from Financial Exploitation provides:</w:t>
            </w:r>
          </w:p>
          <w:p>
            <w:pPr>
              <w:numPr>
                <w:ilvl w:val="0"/>
                <w:numId w:val="111"/>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 court of competent jurisdiction may enter an order extending the delay of the disbursement of funds or may order other protective relief based on the petition of the commissioner of securities, Adult Protective Services, the broker-dealer or investment adviser that initiated the delay, or other interested party.</w:t>
            </w:r>
          </w:p>
          <w:p>
            <w:pPr>
              <w:numPr>
                <w:ilvl w:val="0"/>
                <w:numId w:val="11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If KCD acting in good faith and exercising reasonable care complies with these procedures, the model Act to Protect Vulnerable Adults from Financial Exploitation provides that it shall be immune from any administrative or civil liability that might otherwise arise from such delay in a disbursement.</w:t>
            </w:r>
          </w:p>
          <w:p>
            <w:pPr>
              <w:numPr>
                <w:ilvl w:val="0"/>
                <w:numId w:val="11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shall conform these procedures if required to by applicable law or rules.</w:t>
            </w:r>
          </w:p>
          <w:p>
            <w:pPr>
              <w:rPr>
                <w:rFonts w:eastAsia="Arial" w:cs="Arial"/>
                <w:b w:val="0"/>
                <w:bCs w:val="0"/>
                <w:i w:val="0"/>
                <w:iCs w:val="0"/>
                <w:smallCaps w:val="0"/>
                <w:color w:val="000000"/>
                <w:sz w:val="24"/>
              </w:rPr>
            </w:pPr>
          </w:p>
        </w:tc>
      </w:tr>
    </w:tbl>
    <w:p/>
    <w:p>
      <w:pPr>
        <w:pStyle w:val="Heading4"/>
      </w:pPr>
      <w:r>
        <w:t>3.3.9.10 Senior Client Training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and as needed will:</w:t>
      </w:r>
    </w:p>
    <w:p>
      <w:pPr>
        <w:numPr>
          <w:ilvl w:val="0"/>
          <w:numId w:val="112"/>
        </w:numPr>
        <w:spacing w:before="200"/>
        <w:ind w:left="720" w:hanging="192"/>
        <w:jc w:val="left"/>
        <w:rPr>
          <w:rFonts w:eastAsia="Arial" w:cs="Arial"/>
          <w:sz w:val="20"/>
          <w:szCs w:val="20"/>
        </w:rPr>
      </w:pPr>
      <w:r>
        <w:rPr>
          <w:rFonts w:eastAsia="Arial" w:cs="Arial"/>
          <w:sz w:val="20"/>
          <w:szCs w:val="20"/>
        </w:rPr>
        <w:t>train appropriate personnel, including personnel who provide financial advice to senior clients, to, among other things, recognize red flags for diminished capacity and financial exploitation, as well as to comply with procedures applicable to senior clients;</w:t>
      </w:r>
    </w:p>
    <w:p>
      <w:pPr>
        <w:numPr>
          <w:ilvl w:val="0"/>
          <w:numId w:val="112"/>
        </w:numPr>
        <w:ind w:left="720" w:hanging="192"/>
        <w:jc w:val="left"/>
        <w:rPr>
          <w:rFonts w:eastAsia="Arial" w:cs="Arial"/>
          <w:sz w:val="20"/>
          <w:szCs w:val="20"/>
        </w:rPr>
      </w:pPr>
      <w:r>
        <w:rPr>
          <w:rFonts w:eastAsia="Arial" w:cs="Arial"/>
          <w:sz w:val="20"/>
          <w:szCs w:val="20"/>
        </w:rPr>
        <w:t>train appropriate personnel on the legal definitions of financial exploitation applicable in their state;</w:t>
      </w:r>
    </w:p>
    <w:p>
      <w:pPr>
        <w:numPr>
          <w:ilvl w:val="0"/>
          <w:numId w:val="112"/>
        </w:numPr>
        <w:ind w:left="720" w:hanging="192"/>
        <w:jc w:val="left"/>
        <w:rPr>
          <w:rFonts w:eastAsia="Arial" w:cs="Arial"/>
          <w:sz w:val="20"/>
          <w:szCs w:val="20"/>
        </w:rPr>
      </w:pPr>
      <w:r>
        <w:rPr>
          <w:rFonts w:eastAsia="Arial" w:cs="Arial"/>
          <w:sz w:val="20"/>
          <w:szCs w:val="20"/>
        </w:rPr>
        <w:t>train appropriate personnel on how to communicate with persons experiencing reduced cognition; and</w:t>
      </w:r>
    </w:p>
    <w:p>
      <w:pPr>
        <w:numPr>
          <w:ilvl w:val="0"/>
          <w:numId w:val="112"/>
        </w:numPr>
        <w:spacing w:after="200"/>
        <w:ind w:left="720" w:hanging="192"/>
        <w:jc w:val="left"/>
        <w:rPr>
          <w:rFonts w:eastAsia="Arial" w:cs="Arial"/>
          <w:sz w:val="20"/>
          <w:szCs w:val="20"/>
        </w:rPr>
      </w:pPr>
      <w:r>
        <w:rPr>
          <w:rFonts w:eastAsia="Arial" w:cs="Arial"/>
          <w:sz w:val="20"/>
          <w:szCs w:val="20"/>
        </w:rPr>
        <w:t>develop training and/or use existing training materials.</w:t>
      </w:r>
    </w:p>
    <w:p>
      <w:bookmarkStart w:id="91" w:name="Sec_Chp_061016102248171_0610161022485003"/>
    </w:p>
    <w:p>
      <w:pPr>
        <w:pStyle w:val="Heading4"/>
      </w:pPr>
      <w:r>
        <w:t>3.3.9.11 Senior Client Safe Harbor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review federal, state or local law and rules in the jurisdiction where KCD is located to see if a law or rule modelled after the "Act to Protect Vulnerable Adults from Financial Exploitation" (also called "Senior Safety Act") has been enacted or if there are other laws or rules that provide a similar safe harbor granting immunity from administrative or civil liability that might otherwise arise from charges of financial exploitation of a senior client. If such statute or rule exists and a senior client safe harbor is available to KCD, KCD will consider whether or not to avail itself to the safe harbor. If so, KCD's senior client procedures will be modified so that it is eligible to rely upon the safe harbor offered by the federal, state or local law if it elects to avail itself to the safe harbor.</w:t>
      </w:r>
    </w:p>
    <w:p>
      <w:bookmarkEnd w:id="91"/>
      <w:bookmarkStart w:id="92" w:name="Sec_Chp_061016102248171_0610161022485001"/>
    </w:p>
    <w:p>
      <w:pPr>
        <w:pStyle w:val="Heading3"/>
      </w:pPr>
      <w:bookmarkStart w:id="93" w:name="_Toc256000034"/>
      <w:r>
        <w:t>3.3.10 Relationship Summary (Form CRS) Annual Delivery</w:t>
      </w:r>
      <w:bookmarkEnd w:id="93"/>
    </w:p>
    <w:p/>
    <w:p>
      <w:pPr>
        <w:rPr>
          <w:rFonts w:eastAsia="Arial" w:cs="Arial"/>
          <w:sz w:val="16"/>
          <w:szCs w:val="16"/>
        </w:rPr>
      </w:pPr>
    </w:p>
    <w:p>
      <w:pPr>
        <w:spacing w:after="200"/>
        <w:rPr>
          <w:rFonts w:eastAsia="Arial" w:cs="Arial"/>
          <w:sz w:val="20"/>
          <w:szCs w:val="20"/>
        </w:rPr>
      </w:pPr>
      <w:r>
        <w:rPr>
          <w:rFonts w:eastAsia="Arial" w:cs="Arial"/>
          <w:sz w:val="20"/>
          <w:szCs w:val="20"/>
        </w:rPr>
        <w:t xml:space="preserve">KCD will deliver to each existing retail client its current Relationship Summary that meets the requirements set forth in the </w:t>
      </w:r>
      <w:r>
        <w:rPr>
          <w:rFonts w:eastAsia="Arial" w:cs="Arial"/>
          <w:i/>
          <w:iCs/>
          <w:sz w:val="20"/>
          <w:szCs w:val="20"/>
        </w:rPr>
        <w:t>REGISTRATION AND FILINGS</w:t>
      </w:r>
      <w:r>
        <w:rPr>
          <w:rFonts w:eastAsia="Arial" w:cs="Arial"/>
          <w:sz w:val="20"/>
          <w:szCs w:val="20"/>
        </w:rPr>
        <w:t xml:space="preserve"> chapter of this Compliance Manual annually and more frequently if certain events take place.</w:t>
      </w:r>
    </w:p>
    <w:p>
      <w:pPr>
        <w:spacing w:before="200" w:after="200"/>
        <w:rPr>
          <w:rFonts w:eastAsia="Arial" w:cs="Arial"/>
          <w:sz w:val="20"/>
          <w:szCs w:val="20"/>
        </w:rPr>
      </w:pPr>
      <w:r>
        <w:rPr>
          <w:rFonts w:eastAsia="Arial" w:cs="Arial"/>
          <w:sz w:val="20"/>
          <w:szCs w:val="20"/>
        </w:rPr>
        <w:t xml:space="preserve">See </w:t>
      </w:r>
      <w:r>
        <w:rPr>
          <w:rFonts w:eastAsia="Arial" w:cs="Arial"/>
          <w:i/>
          <w:iCs/>
          <w:sz w:val="20"/>
          <w:szCs w:val="20"/>
        </w:rPr>
        <w:t>Relationship Summary Delivery and Posting</w:t>
      </w:r>
      <w:r>
        <w:rPr>
          <w:rFonts w:eastAsia="Arial" w:cs="Arial"/>
          <w:sz w:val="20"/>
          <w:szCs w:val="20"/>
        </w:rPr>
        <w:t xml:space="preserve"> in the </w:t>
      </w:r>
      <w:r>
        <w:rPr>
          <w:rFonts w:eastAsia="Arial" w:cs="Arial"/>
          <w:i/>
          <w:iCs/>
          <w:sz w:val="20"/>
          <w:szCs w:val="20"/>
        </w:rPr>
        <w:t>REGISTRATION AND FILINGS</w:t>
      </w:r>
      <w:r>
        <w:rPr>
          <w:rFonts w:eastAsia="Arial" w:cs="Arial"/>
          <w:sz w:val="20"/>
          <w:szCs w:val="20"/>
        </w:rPr>
        <w:t xml:space="preserve"> chapter of this Compliance Manual for annual and other periodic delivery requirements.</w:t>
      </w:r>
    </w:p>
    <w:p>
      <w:bookmarkEnd w:id="92"/>
      <w:bookmarkStart w:id="94" w:name="Sec_Chp_061016102248171_061016102248500"/>
    </w:p>
    <w:p>
      <w:pPr>
        <w:pStyle w:val="Heading3"/>
      </w:pPr>
      <w:bookmarkStart w:id="95" w:name="_Toc256000035"/>
      <w:r>
        <w:t>3.3.11 Annual Form ADV Delivery</w:t>
      </w:r>
      <w:bookmarkEnd w:id="95"/>
    </w:p>
    <w:p/>
    <w:p>
      <w:pPr>
        <w:rPr>
          <w:rFonts w:eastAsia="Arial" w:cs="Arial"/>
          <w:sz w:val="16"/>
          <w:szCs w:val="16"/>
        </w:rPr>
      </w:pPr>
      <w:r>
        <w:rPr>
          <w:rFonts w:eastAsia="Arial" w:cs="Arial"/>
          <w:sz w:val="16"/>
          <w:szCs w:val="16"/>
        </w:rPr>
        <w:t>[Investment Advisers Act of 1940 Rule 204-3]</w:t>
      </w:r>
    </w:p>
    <w:p/>
    <w:p>
      <w:pPr>
        <w:pStyle w:val="normal0"/>
        <w:spacing w:after="200"/>
        <w:rPr>
          <w:rFonts w:eastAsia="Arial" w:cs="Arial"/>
          <w:sz w:val="20"/>
          <w:szCs w:val="20"/>
        </w:rPr>
      </w:pPr>
      <w:r>
        <w:rPr>
          <w:rFonts w:eastAsia="Arial" w:cs="Arial"/>
          <w:sz w:val="20"/>
          <w:szCs w:val="20"/>
        </w:rPr>
        <w:t>Pursuant to Rule 204-3 under the Investment Advisers Act of 1940, which imposes disclosure delivery obligations on investment advisers, KCD each year, will deliver, or offer to deliver, to each existing client, its Brochure (Part 2A) and Brochure Supplements (Part 2B).</w:t>
      </w:r>
    </w:p>
    <w:p>
      <w:bookmarkEnd w:id="94"/>
      <w:bookmarkStart w:id="96" w:name="Sec_Chp_061016102248171_061016102248515"/>
    </w:p>
    <w:p>
      <w:pPr>
        <w:pStyle w:val="Heading4"/>
      </w:pPr>
      <w:r>
        <w:t>3.3.11.1 Annual Delivery</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In response to the outbreak of coronavirus disease 2019 (COVID-19) with respect to investment advisers, the SEC issued an order (Investment Advisers Act Rel. No. 5463 (March 13, 2020)) (the Order) that a registered investment adviser is exempt from the requirements under Rule 204-3(b)(2) and (b)(4) related to the delivery of Form ADV Part 2 (or a summary of material changes) to existing clients, where the conditions are met: </w:t>
            </w:r>
          </w:p>
          <w:p>
            <w:pPr>
              <w:numPr>
                <w:ilvl w:val="0"/>
                <w:numId w:val="113"/>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The investment adviser is unable to meet a delivery requirement due to circumstances related to current or potential effects of COVID-19;</w:t>
            </w:r>
          </w:p>
          <w:p>
            <w:pPr>
              <w:numPr>
                <w:ilvl w:val="0"/>
                <w:numId w:val="113"/>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The investment adviser relying on the Order with respect to the delivery of its brochure, summary of material changes, or brochure supplement (the "Forms") required by Rule 204-3(b)(2) or (b)(4), promptly provides the SEC via e-mail at </w:t>
            </w:r>
            <w:hyperlink r:id="rId10" w:history="1">
              <w:r>
                <w:rPr>
                  <w:rStyle w:val="Hyperlink"/>
                  <w:rFonts w:eastAsia="Arial" w:cs="Arial"/>
                  <w:b w:val="0"/>
                  <w:bCs w:val="0"/>
                  <w:i w:val="0"/>
                  <w:iCs w:val="0"/>
                  <w:smallCaps w:val="0"/>
                  <w:color w:val="0000EE"/>
                  <w:sz w:val="24"/>
                  <w:u w:color="0000EE"/>
                </w:rPr>
                <w:t>IARDLive@sec.gov</w:t>
              </w:r>
            </w:hyperlink>
            <w:r>
              <w:rPr>
                <w:rFonts w:eastAsia="Arial" w:cs="Arial"/>
                <w:b w:val="0"/>
                <w:bCs w:val="0"/>
                <w:i w:val="0"/>
                <w:iCs w:val="0"/>
                <w:smallCaps w:val="0"/>
                <w:color w:val="000000"/>
                <w:sz w:val="20"/>
              </w:rPr>
              <w:t xml:space="preserve"> and discloses on its public website (or if it does not have a public website, promptly notifies its clients) the following information:</w:t>
            </w:r>
          </w:p>
          <w:p>
            <w:pPr>
              <w:numPr>
                <w:ilvl w:val="1"/>
                <w:numId w:val="113"/>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that it is relying on the Order;</w:t>
            </w:r>
          </w:p>
          <w:p>
            <w:pPr>
              <w:numPr>
                <w:ilvl w:val="1"/>
                <w:numId w:val="113"/>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 brief description of the reasons why it cannot deliver the applicable Form(s) on a timely basis; and</w:t>
            </w:r>
          </w:p>
          <w:p>
            <w:pPr>
              <w:numPr>
                <w:ilvl w:val="1"/>
                <w:numId w:val="113"/>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the estimated date by which it expects to deliver the applicable Form(s); and</w:t>
            </w:r>
          </w:p>
          <w:p>
            <w:pPr>
              <w:numPr>
                <w:ilvl w:val="0"/>
                <w:numId w:val="11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The investment adviser delivers the applicable Form(s) required by Rule 204-3(b)(2) and (b)(4) under the Advisers Act, as soon as practicable, but not later than 45 days after the original due date for delivery, as applicable.</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t>Given the current state of COVID-19, KCD shall be very circumspect of reasons why it may rely upon the Order not to deliver Form ADV Part 2 and if it elects to rely on the Order, it shall document with detailed explanations for why COVID-19 is appropriate and warranted.</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may extend this time period for any or all of the relief, if necessary, if it finds that conditions are deemed appropriate, and the SEC may issue other relief as necessary or appropriate and took such action in Investment Advisers Act Rel. No. 5469 (March 25, 2020) (Extended Deadline Order) to extend the deadline to June 30, 2020.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Click </w:t>
            </w:r>
            <w:hyperlink r:id="rId11" w:tgtFrame="_blank" w:history="1">
              <w:r>
                <w:rPr>
                  <w:rStyle w:val="Hyperlink"/>
                  <w:rFonts w:eastAsia="Arial" w:cs="Arial"/>
                  <w:b w:val="0"/>
                  <w:bCs w:val="0"/>
                  <w:i w:val="0"/>
                  <w:iCs w:val="0"/>
                  <w:smallCaps w:val="0"/>
                  <w:color w:val="0000EE"/>
                  <w:sz w:val="24"/>
                  <w:u w:color="0000EE"/>
                </w:rPr>
                <w:t>https://www.sec.gov/rules/other/2020/ia-5463.pdf</w:t>
              </w:r>
            </w:hyperlink>
            <w:r>
              <w:rPr>
                <w:rFonts w:eastAsia="Arial" w:cs="Arial"/>
                <w:b w:val="0"/>
                <w:bCs w:val="0"/>
                <w:i w:val="0"/>
                <w:iCs w:val="0"/>
                <w:smallCaps w:val="0"/>
                <w:color w:val="000000"/>
                <w:sz w:val="20"/>
              </w:rPr>
              <w:t xml:space="preserve"> to access the Order.</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Click </w:t>
            </w:r>
            <w:hyperlink r:id="rId12" w:tgtFrame="_blank" w:history="1">
              <w:r>
                <w:rPr>
                  <w:rStyle w:val="Hyperlink"/>
                  <w:rFonts w:eastAsia="Arial" w:cs="Arial"/>
                  <w:b w:val="0"/>
                  <w:bCs w:val="0"/>
                  <w:i w:val="0"/>
                  <w:iCs w:val="0"/>
                  <w:smallCaps w:val="0"/>
                  <w:color w:val="0000EE"/>
                  <w:sz w:val="24"/>
                  <w:u w:color="0000EE"/>
                </w:rPr>
                <w:t>https://www.sec.gov/rules/other/2020/ia-5469.pdf</w:t>
              </w:r>
            </w:hyperlink>
            <w:r>
              <w:rPr>
                <w:rFonts w:eastAsia="Arial" w:cs="Arial"/>
                <w:b w:val="0"/>
                <w:bCs w:val="0"/>
                <w:i w:val="0"/>
                <w:iCs w:val="0"/>
                <w:smallCaps w:val="0"/>
                <w:color w:val="000000"/>
                <w:sz w:val="20"/>
              </w:rPr>
              <w:t xml:space="preserve"> to access the Extended Deadline Order.</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All Clients shall receive Brochures each year.</w:t>
      </w:r>
    </w:p>
    <w:p>
      <w:pPr>
        <w:pStyle w:val="normal0"/>
        <w:spacing w:before="200" w:after="200"/>
        <w:rPr>
          <w:rFonts w:eastAsia="Arial" w:cs="Arial"/>
          <w:sz w:val="20"/>
          <w:szCs w:val="20"/>
        </w:rPr>
      </w:pPr>
      <w:r>
        <w:rPr>
          <w:rFonts w:eastAsia="Arial" w:cs="Arial"/>
          <w:sz w:val="20"/>
          <w:szCs w:val="20"/>
        </w:rPr>
        <w:t>Each existing client within 120 days of the end of KCD's fiscal year shall have received: (i) an updated Brochure that either includes a summary of material changes or is accompanied by a summary of material changes, or (ii) a summary of material changes that includes an offer to provide a copy of the updated Brochure and information on how a client may obtain the Brochure.</w:t>
      </w:r>
    </w:p>
    <w:p>
      <w:pPr>
        <w:pStyle w:val="normal0"/>
        <w:spacing w:before="200" w:after="200"/>
        <w:rPr>
          <w:rFonts w:eastAsia="Arial" w:cs="Arial"/>
          <w:sz w:val="20"/>
          <w:szCs w:val="20"/>
        </w:rPr>
      </w:pPr>
      <w:r>
        <w:rPr>
          <w:rFonts w:eastAsia="Arial" w:cs="Arial"/>
          <w:sz w:val="20"/>
          <w:szCs w:val="20"/>
        </w:rPr>
        <w:t>In such case, KCD will provide the updated Brochure Supplement or sticker to the clients to whom the Investment Person:</w:t>
      </w:r>
    </w:p>
    <w:p>
      <w:pPr>
        <w:numPr>
          <w:ilvl w:val="0"/>
          <w:numId w:val="114"/>
        </w:numPr>
        <w:spacing w:before="200"/>
        <w:ind w:left="720" w:hanging="192"/>
        <w:jc w:val="left"/>
        <w:rPr>
          <w:rFonts w:eastAsia="Arial" w:cs="Arial"/>
          <w:sz w:val="20"/>
          <w:szCs w:val="20"/>
        </w:rPr>
      </w:pPr>
      <w:r>
        <w:rPr>
          <w:rFonts w:eastAsia="Arial" w:cs="Arial"/>
          <w:sz w:val="20"/>
          <w:szCs w:val="20"/>
        </w:rPr>
        <w:t>formulates investment advice for the client and has direct client contact; or</w:t>
      </w:r>
    </w:p>
    <w:p>
      <w:pPr>
        <w:numPr>
          <w:ilvl w:val="0"/>
          <w:numId w:val="114"/>
        </w:numPr>
        <w:spacing w:after="200"/>
        <w:ind w:left="720" w:hanging="192"/>
        <w:jc w:val="left"/>
        <w:rPr>
          <w:rFonts w:eastAsia="Arial" w:cs="Arial"/>
          <w:sz w:val="20"/>
          <w:szCs w:val="20"/>
        </w:rPr>
      </w:pPr>
      <w:r>
        <w:rPr>
          <w:rFonts w:eastAsia="Arial" w:cs="Arial"/>
          <w:sz w:val="20"/>
          <w:szCs w:val="20"/>
        </w:rPr>
        <w:t>makes discretionary investment decisions for the client's assets, even if such person does not have direct client contact.</w:t>
      </w:r>
    </w:p>
    <w:p>
      <w:pPr>
        <w:pStyle w:val="normal0"/>
        <w:spacing w:before="200" w:after="200"/>
        <w:rPr>
          <w:rFonts w:eastAsia="Arial" w:cs="Arial"/>
          <w:sz w:val="20"/>
          <w:szCs w:val="20"/>
        </w:rPr>
      </w:pPr>
      <w:r>
        <w:rPr>
          <w:rFonts w:eastAsia="Arial" w:cs="Arial"/>
          <w:sz w:val="20"/>
          <w:szCs w:val="20"/>
        </w:rPr>
        <w:t xml:space="preserve">The </w:t>
      </w:r>
      <w:r>
        <w:rPr>
          <w:rFonts w:eastAsia="Arial" w:cs="Arial"/>
          <w:sz w:val="20"/>
          <w:szCs w:val="20"/>
        </w:rPr>
        <w:t>Chief Compliance Officer</w:t>
      </w:r>
      <w:r>
        <w:rPr>
          <w:rFonts w:eastAsia="Arial" w:cs="Arial"/>
          <w:sz w:val="20"/>
          <w:szCs w:val="20"/>
        </w:rPr>
        <w:t xml:space="preserve"> will not deliver a Brochure or any Brochure Supplement to the following types of existing clients:</w:t>
      </w:r>
    </w:p>
    <w:p>
      <w:pPr>
        <w:numPr>
          <w:ilvl w:val="0"/>
          <w:numId w:val="115"/>
        </w:numPr>
        <w:spacing w:before="200"/>
        <w:ind w:left="720" w:hanging="192"/>
        <w:jc w:val="left"/>
        <w:rPr>
          <w:rFonts w:eastAsia="Arial" w:cs="Arial"/>
          <w:sz w:val="20"/>
          <w:szCs w:val="20"/>
        </w:rPr>
      </w:pPr>
      <w:r>
        <w:rPr>
          <w:rFonts w:eastAsia="Arial" w:cs="Arial"/>
          <w:sz w:val="20"/>
          <w:szCs w:val="20"/>
        </w:rPr>
        <w:t>registered investment companies and business development companies;</w:t>
      </w:r>
    </w:p>
    <w:p>
      <w:pPr>
        <w:numPr>
          <w:ilvl w:val="0"/>
          <w:numId w:val="115"/>
        </w:numPr>
        <w:ind w:left="720" w:hanging="192"/>
        <w:jc w:val="left"/>
        <w:rPr>
          <w:rFonts w:eastAsia="Arial" w:cs="Arial"/>
          <w:sz w:val="20"/>
          <w:szCs w:val="20"/>
        </w:rPr>
      </w:pPr>
      <w:r>
        <w:rPr>
          <w:rFonts w:eastAsia="Arial" w:cs="Arial"/>
          <w:sz w:val="20"/>
          <w:szCs w:val="20"/>
        </w:rPr>
        <w:t>clients who receive only impersonal investment advice; and</w:t>
      </w:r>
    </w:p>
    <w:p>
      <w:pPr>
        <w:numPr>
          <w:ilvl w:val="0"/>
          <w:numId w:val="115"/>
        </w:numPr>
        <w:spacing w:after="200"/>
        <w:ind w:left="720" w:hanging="192"/>
        <w:jc w:val="left"/>
        <w:rPr>
          <w:rFonts w:eastAsia="Arial" w:cs="Arial"/>
          <w:sz w:val="20"/>
          <w:szCs w:val="20"/>
        </w:rPr>
      </w:pPr>
      <w:r>
        <w:rPr>
          <w:rFonts w:eastAsia="Arial" w:cs="Arial"/>
          <w:sz w:val="20"/>
          <w:szCs w:val="20"/>
        </w:rPr>
        <w:t>"Qualified Clients," as defined herein.</w:t>
      </w:r>
    </w:p>
    <w:p>
      <w:pPr>
        <w:pStyle w:val="normal0"/>
        <w:spacing w:before="200" w:after="200"/>
        <w:rPr>
          <w:rFonts w:eastAsia="Arial" w:cs="Arial"/>
          <w:sz w:val="20"/>
          <w:szCs w:val="20"/>
        </w:rPr>
      </w:pPr>
      <w:r>
        <w:rPr>
          <w:rFonts w:eastAsia="Arial" w:cs="Arial"/>
          <w:sz w:val="20"/>
          <w:szCs w:val="20"/>
        </w:rPr>
        <w:t>The following persons are "Qualified Clients" for purposes of the Brochure and Brochure Supplement delivery requirements:</w:t>
      </w:r>
    </w:p>
    <w:p>
      <w:pPr>
        <w:numPr>
          <w:ilvl w:val="0"/>
          <w:numId w:val="116"/>
        </w:numPr>
        <w:spacing w:before="200"/>
        <w:ind w:left="720" w:hanging="192"/>
        <w:jc w:val="left"/>
        <w:rPr>
          <w:rFonts w:eastAsia="Arial" w:cs="Arial"/>
          <w:sz w:val="20"/>
          <w:szCs w:val="20"/>
        </w:rPr>
      </w:pPr>
      <w:r>
        <w:rPr>
          <w:rFonts w:eastAsia="Arial" w:cs="Arial"/>
          <w:sz w:val="20"/>
          <w:szCs w:val="20"/>
        </w:rPr>
        <w:t>any executive officers, directors, trustees, general partners, or persons serving in a similar capacity, of KCD; and</w:t>
      </w:r>
    </w:p>
    <w:p>
      <w:pPr>
        <w:numPr>
          <w:ilvl w:val="0"/>
          <w:numId w:val="116"/>
        </w:numPr>
        <w:spacing w:after="200"/>
        <w:ind w:left="720" w:hanging="192"/>
        <w:jc w:val="left"/>
        <w:rPr>
          <w:rFonts w:eastAsia="Arial" w:cs="Arial"/>
          <w:sz w:val="20"/>
          <w:szCs w:val="20"/>
        </w:rPr>
      </w:pPr>
      <w:r>
        <w:rPr>
          <w:rFonts w:eastAsia="Arial" w:cs="Arial"/>
          <w:sz w:val="20"/>
          <w:szCs w:val="20"/>
        </w:rPr>
        <w:t>any employees of KCD (other than employees performing solely clerical, secretarial or administrative functions) who, in connection with their regular functions or duties, participate in the investment activities of KCD and have been performing such functions or duties for at least 12 months.</w:t>
      </w:r>
    </w:p>
    <w:p>
      <w:pPr>
        <w:pStyle w:val="normal0"/>
        <w:spacing w:before="200" w:after="200"/>
        <w:rPr>
          <w:rFonts w:eastAsia="Arial" w:cs="Arial"/>
          <w:sz w:val="20"/>
          <w:szCs w:val="20"/>
        </w:rPr>
      </w:pPr>
      <w:r>
        <w:rPr>
          <w:rFonts w:eastAsia="Arial" w:cs="Arial"/>
          <w:sz w:val="20"/>
          <w:szCs w:val="20"/>
        </w:rPr>
        <w:t>If investment advice is provided by a team at KCD, an existing client shall receive:</w:t>
      </w:r>
    </w:p>
    <w:p>
      <w:pPr>
        <w:numPr>
          <w:ilvl w:val="0"/>
          <w:numId w:val="117"/>
        </w:numPr>
        <w:spacing w:before="200"/>
        <w:ind w:left="720" w:hanging="192"/>
        <w:jc w:val="left"/>
        <w:rPr>
          <w:rFonts w:eastAsia="Arial" w:cs="Arial"/>
          <w:sz w:val="20"/>
          <w:szCs w:val="20"/>
        </w:rPr>
      </w:pPr>
      <w:r>
        <w:rPr>
          <w:rFonts w:eastAsia="Arial" w:cs="Arial"/>
          <w:sz w:val="20"/>
          <w:szCs w:val="20"/>
        </w:rPr>
        <w:t>a Brochure Supplement for each team member of the team which consists of from two to five investment advisory personnel; and</w:t>
      </w:r>
    </w:p>
    <w:p>
      <w:pPr>
        <w:numPr>
          <w:ilvl w:val="0"/>
          <w:numId w:val="117"/>
        </w:numPr>
        <w:spacing w:after="200"/>
        <w:ind w:left="720" w:hanging="192"/>
        <w:jc w:val="left"/>
        <w:rPr>
          <w:rFonts w:eastAsia="Arial" w:cs="Arial"/>
          <w:sz w:val="20"/>
          <w:szCs w:val="20"/>
        </w:rPr>
      </w:pPr>
      <w:r>
        <w:rPr>
          <w:rFonts w:eastAsia="Arial" w:cs="Arial"/>
          <w:sz w:val="20"/>
          <w:szCs w:val="20"/>
        </w:rPr>
        <w:t>a Brochure Supplement of each five investment personnel who have the most significant responsibility for the day-to-day advice provided to the client if the team has more than five investment advisory personnel.</w:t>
      </w:r>
    </w:p>
    <w:p>
      <w:bookmarkEnd w:id="96"/>
      <w:bookmarkStart w:id="97" w:name="Sec_Chp_061016102248171_06101634323392"/>
    </w:p>
    <w:p>
      <w:pPr>
        <w:pStyle w:val="Heading4"/>
      </w:pPr>
      <w:r>
        <w:t>3.3.11.2 Interim Delivery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the event that a Brochure or Brochure Supplement becomes materially inaccurate, KCD shall add or otherwise correct the disclosure and deliver the amended disclosure to each client. KCD may deliver this information either in:</w:t>
      </w:r>
    </w:p>
    <w:p>
      <w:pPr>
        <w:numPr>
          <w:ilvl w:val="0"/>
          <w:numId w:val="118"/>
        </w:numPr>
        <w:spacing w:before="200"/>
        <w:ind w:left="720" w:hanging="192"/>
        <w:jc w:val="left"/>
        <w:rPr>
          <w:rFonts w:eastAsia="Arial" w:cs="Arial"/>
          <w:sz w:val="20"/>
          <w:szCs w:val="20"/>
        </w:rPr>
      </w:pPr>
      <w:r>
        <w:rPr>
          <w:rFonts w:eastAsia="Arial" w:cs="Arial"/>
          <w:sz w:val="20"/>
          <w:szCs w:val="20"/>
        </w:rPr>
        <w:t>a separate statement describing this updated information; or</w:t>
      </w:r>
    </w:p>
    <w:p>
      <w:pPr>
        <w:numPr>
          <w:ilvl w:val="0"/>
          <w:numId w:val="118"/>
        </w:numPr>
        <w:spacing w:after="200"/>
        <w:ind w:left="720" w:hanging="192"/>
        <w:jc w:val="left"/>
        <w:rPr>
          <w:rFonts w:eastAsia="Arial" w:cs="Arial"/>
          <w:sz w:val="20"/>
          <w:szCs w:val="20"/>
        </w:rPr>
      </w:pPr>
      <w:r>
        <w:rPr>
          <w:rFonts w:eastAsia="Arial" w:cs="Arial"/>
          <w:sz w:val="20"/>
          <w:szCs w:val="20"/>
        </w:rPr>
        <w:t>a reprinted Brochure and/or Brochure Supplement.</w:t>
      </w:r>
    </w:p>
    <w:p>
      <w:bookmarkEnd w:id="97"/>
      <w:bookmarkStart w:id="98" w:name="Sec_Chp_061016102248171_0610163394"/>
    </w:p>
    <w:p>
      <w:pPr>
        <w:pStyle w:val="Heading4"/>
      </w:pPr>
      <w:r>
        <w:t>3.3.11.3 Sub-Adviser Brochures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may employ sub-advisers on behalf of some or all of its clients. Under those circumstances, KCD does not have to arrange for the sub-advisers to deliver their firm brochures to clients if the following conditions are met with respect to such clients:</w:t>
      </w:r>
    </w:p>
    <w:p>
      <w:pPr>
        <w:numPr>
          <w:ilvl w:val="0"/>
          <w:numId w:val="119"/>
        </w:numPr>
        <w:spacing w:before="200"/>
        <w:ind w:left="720" w:hanging="267"/>
        <w:jc w:val="left"/>
        <w:rPr>
          <w:rFonts w:eastAsia="Arial" w:cs="Arial"/>
          <w:sz w:val="20"/>
          <w:szCs w:val="20"/>
        </w:rPr>
      </w:pPr>
      <w:r>
        <w:rPr>
          <w:rFonts w:eastAsia="Arial" w:cs="Arial"/>
          <w:sz w:val="20"/>
          <w:szCs w:val="20"/>
        </w:rPr>
        <w:t>The client must have appointed KCD to have discretionary authority with respect to selecting sub-advisers to manage the client's account;</w:t>
      </w:r>
    </w:p>
    <w:p>
      <w:pPr>
        <w:numPr>
          <w:ilvl w:val="0"/>
          <w:numId w:val="119"/>
        </w:numPr>
        <w:ind w:left="720" w:hanging="267"/>
        <w:jc w:val="left"/>
        <w:rPr>
          <w:rFonts w:eastAsia="Arial" w:cs="Arial"/>
          <w:sz w:val="20"/>
          <w:szCs w:val="20"/>
        </w:rPr>
      </w:pPr>
      <w:r>
        <w:rPr>
          <w:rFonts w:eastAsia="Arial" w:cs="Arial"/>
          <w:sz w:val="20"/>
          <w:szCs w:val="20"/>
        </w:rPr>
        <w:t>The client made an "informed choice" to delegate KCD to receive the sub-adviser's firm brochure in lieu of the client receiving the document;</w:t>
      </w:r>
    </w:p>
    <w:p>
      <w:pPr>
        <w:numPr>
          <w:ilvl w:val="0"/>
          <w:numId w:val="119"/>
        </w:numPr>
        <w:ind w:left="720" w:hanging="267"/>
        <w:jc w:val="left"/>
        <w:rPr>
          <w:rFonts w:eastAsia="Arial" w:cs="Arial"/>
          <w:sz w:val="20"/>
          <w:szCs w:val="20"/>
        </w:rPr>
      </w:pPr>
      <w:r>
        <w:rPr>
          <w:rFonts w:eastAsia="Arial" w:cs="Arial"/>
          <w:sz w:val="20"/>
          <w:szCs w:val="20"/>
        </w:rPr>
        <w:t>KCD must identify to the client the identity of each sub-adviser;</w:t>
      </w:r>
    </w:p>
    <w:p>
      <w:pPr>
        <w:numPr>
          <w:ilvl w:val="0"/>
          <w:numId w:val="119"/>
        </w:numPr>
        <w:ind w:left="720" w:hanging="267"/>
        <w:jc w:val="left"/>
        <w:rPr>
          <w:rFonts w:eastAsia="Arial" w:cs="Arial"/>
          <w:sz w:val="20"/>
          <w:szCs w:val="20"/>
        </w:rPr>
      </w:pPr>
      <w:r>
        <w:rPr>
          <w:rFonts w:eastAsia="Arial" w:cs="Arial"/>
          <w:sz w:val="20"/>
          <w:szCs w:val="20"/>
        </w:rPr>
        <w:t>KCD must keep and maintain the sub-adviser's brochure in accordance with the books and records rule under the Advisers Act;</w:t>
      </w:r>
    </w:p>
    <w:p>
      <w:pPr>
        <w:numPr>
          <w:ilvl w:val="0"/>
          <w:numId w:val="119"/>
        </w:numPr>
        <w:ind w:left="720" w:hanging="267"/>
        <w:jc w:val="left"/>
        <w:rPr>
          <w:rFonts w:eastAsia="Arial" w:cs="Arial"/>
          <w:sz w:val="20"/>
          <w:szCs w:val="20"/>
        </w:rPr>
      </w:pPr>
      <w:r>
        <w:rPr>
          <w:rFonts w:eastAsia="Arial" w:cs="Arial"/>
          <w:sz w:val="20"/>
          <w:szCs w:val="20"/>
        </w:rPr>
        <w:t>KCD must provide a copy of the sub-adviser's brochure to the client upon the request of the client;</w:t>
      </w:r>
    </w:p>
    <w:p>
      <w:pPr>
        <w:numPr>
          <w:ilvl w:val="0"/>
          <w:numId w:val="119"/>
        </w:numPr>
        <w:ind w:left="720" w:hanging="267"/>
        <w:jc w:val="left"/>
        <w:rPr>
          <w:rFonts w:eastAsia="Arial" w:cs="Arial"/>
          <w:sz w:val="20"/>
          <w:szCs w:val="20"/>
        </w:rPr>
      </w:pPr>
      <w:r>
        <w:rPr>
          <w:rFonts w:eastAsia="Arial" w:cs="Arial"/>
          <w:sz w:val="20"/>
          <w:szCs w:val="20"/>
        </w:rPr>
        <w:t>KCD must review the sub-adviser's brochure, including sections that address conflicts of interest; and</w:t>
      </w:r>
    </w:p>
    <w:p>
      <w:pPr>
        <w:numPr>
          <w:ilvl w:val="0"/>
          <w:numId w:val="119"/>
        </w:numPr>
        <w:spacing w:after="200"/>
        <w:ind w:left="720" w:hanging="267"/>
        <w:jc w:val="left"/>
        <w:rPr>
          <w:rFonts w:eastAsia="Arial" w:cs="Arial"/>
          <w:sz w:val="20"/>
          <w:szCs w:val="20"/>
        </w:rPr>
      </w:pPr>
      <w:r>
        <w:rPr>
          <w:rFonts w:eastAsia="Arial" w:cs="Arial"/>
          <w:sz w:val="20"/>
          <w:szCs w:val="20"/>
        </w:rPr>
        <w:t>The client retains the option to change his or her mind to receive the firm brochure of the sub-adviser free of charge.</w:t>
      </w:r>
    </w:p>
    <w:p>
      <w:pPr>
        <w:pStyle w:val="normal0"/>
        <w:spacing w:before="200" w:after="200"/>
        <w:rPr>
          <w:rFonts w:eastAsia="Arial" w:cs="Arial"/>
          <w:sz w:val="20"/>
          <w:szCs w:val="20"/>
        </w:rPr>
      </w:pPr>
      <w:r>
        <w:rPr>
          <w:rFonts w:eastAsia="Arial" w:cs="Arial"/>
          <w:i/>
          <w:iCs/>
          <w:sz w:val="20"/>
          <w:szCs w:val="20"/>
        </w:rPr>
        <w:t>See Goldman Sachs &amp; Co. (pub. avail. June 20, 2013).</w:t>
      </w:r>
    </w:p>
    <w:p>
      <w:bookmarkEnd w:id="98"/>
      <w:bookmarkStart w:id="99" w:name="Sec_Chp_061016102248171_061016102248578"/>
    </w:p>
    <w:p>
      <w:pPr>
        <w:pStyle w:val="Heading3"/>
      </w:pPr>
      <w:bookmarkStart w:id="100" w:name="_Toc256000036"/>
      <w:r>
        <w:t>3.3.12 Privacy Procedures</w:t>
      </w:r>
      <w:bookmarkEnd w:id="100"/>
    </w:p>
    <w:p/>
    <w:p>
      <w:pPr>
        <w:rPr>
          <w:rFonts w:eastAsia="Arial" w:cs="Arial"/>
          <w:sz w:val="16"/>
          <w:szCs w:val="16"/>
        </w:rPr>
      </w:pPr>
    </w:p>
    <w:p>
      <w:pPr>
        <w:pStyle w:val="normal0"/>
        <w:spacing w:after="200"/>
        <w:rPr>
          <w:rFonts w:eastAsia="Arial" w:cs="Arial"/>
          <w:sz w:val="20"/>
          <w:szCs w:val="20"/>
        </w:rPr>
      </w:pPr>
      <w:r>
        <w:rPr>
          <w:rFonts w:eastAsia="Arial" w:cs="Arial"/>
          <w:sz w:val="20"/>
          <w:szCs w:val="20"/>
        </w:rPr>
        <w:t>Regulation S-P requires registered investment advisers to adopt written policies and procedures for the protection of customer (client) records and information. Regulation S-P also requires the proper disposal of consumer report information.</w:t>
      </w:r>
    </w:p>
    <w:p>
      <w:bookmarkEnd w:id="99"/>
      <w:bookmarkStart w:id="101" w:name="Sec_Chp_061016102248171_061016102248593"/>
    </w:p>
    <w:p>
      <w:pPr>
        <w:pStyle w:val="Heading4"/>
      </w:pPr>
      <w:r>
        <w:t>3.3.12.1 Purpose of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These privacy procedures are designed to:</w:t>
      </w:r>
    </w:p>
    <w:p>
      <w:pPr>
        <w:numPr>
          <w:ilvl w:val="0"/>
          <w:numId w:val="120"/>
        </w:numPr>
        <w:spacing w:before="200"/>
        <w:ind w:left="720" w:hanging="192"/>
        <w:jc w:val="left"/>
        <w:rPr>
          <w:rFonts w:eastAsia="Arial" w:cs="Arial"/>
          <w:sz w:val="20"/>
          <w:szCs w:val="20"/>
        </w:rPr>
      </w:pPr>
      <w:r>
        <w:rPr>
          <w:rFonts w:eastAsia="Arial" w:cs="Arial"/>
          <w:sz w:val="20"/>
          <w:szCs w:val="20"/>
        </w:rPr>
        <w:t>Ensure the security and confidentiality of client information;</w:t>
      </w:r>
    </w:p>
    <w:p>
      <w:pPr>
        <w:numPr>
          <w:ilvl w:val="0"/>
          <w:numId w:val="120"/>
        </w:numPr>
        <w:ind w:left="720" w:hanging="192"/>
        <w:jc w:val="left"/>
        <w:rPr>
          <w:rFonts w:eastAsia="Arial" w:cs="Arial"/>
          <w:sz w:val="20"/>
          <w:szCs w:val="20"/>
        </w:rPr>
      </w:pPr>
      <w:r>
        <w:rPr>
          <w:rFonts w:eastAsia="Arial" w:cs="Arial"/>
          <w:sz w:val="20"/>
          <w:szCs w:val="20"/>
        </w:rPr>
        <w:t xml:space="preserve">Protect against any anticipated threats or hazards to the security or integrity of client records and other client information; and </w:t>
      </w:r>
    </w:p>
    <w:p>
      <w:pPr>
        <w:numPr>
          <w:ilvl w:val="0"/>
          <w:numId w:val="120"/>
        </w:numPr>
        <w:spacing w:after="200"/>
        <w:ind w:left="720" w:hanging="192"/>
        <w:jc w:val="left"/>
        <w:rPr>
          <w:rFonts w:eastAsia="Arial" w:cs="Arial"/>
          <w:sz w:val="20"/>
          <w:szCs w:val="20"/>
        </w:rPr>
      </w:pPr>
      <w:r>
        <w:rPr>
          <w:rFonts w:eastAsia="Arial" w:cs="Arial"/>
          <w:sz w:val="20"/>
          <w:szCs w:val="20"/>
        </w:rPr>
        <w:t>Protect against unauthorized access to, or use of, client information that could result in substantial harm or inconvenience to any client.</w:t>
      </w:r>
    </w:p>
    <w:p>
      <w:bookmarkEnd w:id="101"/>
      <w:bookmarkStart w:id="102" w:name="Sec_Chp_061016102248171_061016102248609"/>
    </w:p>
    <w:p>
      <w:pPr>
        <w:pStyle w:val="Heading4"/>
      </w:pPr>
      <w:r>
        <w:t xml:space="preserve">3.3.12.2 Privacy Procedures Definitions </w:t>
      </w:r>
    </w:p>
    <w:p/>
    <w:p>
      <w:pPr>
        <w:rPr>
          <w:rFonts w:eastAsia="Arial" w:cs="Arial"/>
          <w:sz w:val="16"/>
          <w:szCs w:val="16"/>
        </w:rPr>
      </w:pPr>
    </w:p>
    <w:p>
      <w:pPr>
        <w:pStyle w:val="normal0"/>
        <w:spacing w:after="200"/>
        <w:rPr>
          <w:rFonts w:eastAsia="Arial" w:cs="Arial"/>
          <w:sz w:val="20"/>
          <w:szCs w:val="20"/>
        </w:rPr>
      </w:pPr>
      <w:r>
        <w:rPr>
          <w:rFonts w:eastAsia="Arial" w:cs="Arial"/>
          <w:i/>
          <w:iCs/>
          <w:sz w:val="20"/>
          <w:szCs w:val="20"/>
        </w:rPr>
        <w:t>"Affiliate"</w:t>
      </w:r>
      <w:r>
        <w:rPr>
          <w:rFonts w:eastAsia="Arial" w:cs="Arial"/>
          <w:sz w:val="20"/>
          <w:szCs w:val="20"/>
        </w:rPr>
        <w:t xml:space="preserve"> of KCD means any company that controls, is controlled by, or is under common control with KCD.</w:t>
      </w:r>
    </w:p>
    <w:p>
      <w:pPr>
        <w:pStyle w:val="normal0"/>
        <w:spacing w:before="200" w:after="200"/>
        <w:rPr>
          <w:rFonts w:eastAsia="Arial" w:cs="Arial"/>
          <w:sz w:val="20"/>
          <w:szCs w:val="20"/>
        </w:rPr>
      </w:pPr>
      <w:r>
        <w:rPr>
          <w:rFonts w:eastAsia="Arial" w:cs="Arial"/>
          <w:i/>
          <w:iCs/>
          <w:sz w:val="20"/>
          <w:szCs w:val="20"/>
        </w:rPr>
        <w:t>"Consumer"</w:t>
      </w:r>
      <w:r>
        <w:rPr>
          <w:rFonts w:eastAsia="Arial" w:cs="Arial"/>
          <w:sz w:val="20"/>
          <w:szCs w:val="20"/>
        </w:rPr>
        <w:t xml:space="preserve"> means an individual who obtains or has obtained a financial product or service from KCD that is to be used primarily for personal, family, or household purposes. For example, an individual is a consumer of KCD if he or she provides nonpublic personal information to KCD in connection with obtaining or seeking to obtain investment advisory services, whether or not KCD provides advisory services to the individual or establish a "continuing relationship" with the individual. Investment advisory clients of KCD generally will be consumers.</w:t>
      </w:r>
    </w:p>
    <w:p>
      <w:pPr>
        <w:pStyle w:val="normal0"/>
        <w:spacing w:before="200" w:after="200"/>
        <w:rPr>
          <w:rFonts w:eastAsia="Arial" w:cs="Arial"/>
          <w:sz w:val="20"/>
          <w:szCs w:val="20"/>
        </w:rPr>
      </w:pPr>
      <w:r>
        <w:rPr>
          <w:rFonts w:eastAsia="Arial" w:cs="Arial"/>
          <w:i/>
          <w:iCs/>
          <w:sz w:val="20"/>
          <w:szCs w:val="20"/>
        </w:rPr>
        <w:t>"Continuing relationship"</w:t>
      </w:r>
      <w:r>
        <w:rPr>
          <w:rFonts w:eastAsia="Arial" w:cs="Arial"/>
          <w:sz w:val="20"/>
          <w:szCs w:val="20"/>
        </w:rPr>
        <w:t xml:space="preserve"> a consumer has a continuing relationship with KCD if the consumer has entered into an investment advisory contract with KCD (whether written or oral).</w:t>
      </w:r>
    </w:p>
    <w:p>
      <w:pPr>
        <w:pStyle w:val="normal0"/>
        <w:spacing w:before="200" w:after="200"/>
        <w:rPr>
          <w:rFonts w:eastAsia="Arial" w:cs="Arial"/>
          <w:sz w:val="20"/>
          <w:szCs w:val="20"/>
        </w:rPr>
      </w:pPr>
      <w:r>
        <w:rPr>
          <w:rFonts w:eastAsia="Arial" w:cs="Arial"/>
          <w:i/>
          <w:iCs/>
          <w:sz w:val="20"/>
          <w:szCs w:val="20"/>
        </w:rPr>
        <w:t>"Customer"</w:t>
      </w:r>
      <w:r>
        <w:rPr>
          <w:rFonts w:eastAsia="Arial" w:cs="Arial"/>
          <w:sz w:val="20"/>
          <w:szCs w:val="20"/>
        </w:rPr>
        <w:t xml:space="preserve"> means a consumer who has a "customer relationship" with KCD. Investment advisory clients of KCD generally will be customers.</w:t>
      </w:r>
    </w:p>
    <w:p>
      <w:pPr>
        <w:pStyle w:val="normal0"/>
        <w:spacing w:before="200" w:after="200"/>
        <w:rPr>
          <w:rFonts w:eastAsia="Arial" w:cs="Arial"/>
          <w:sz w:val="20"/>
          <w:szCs w:val="20"/>
        </w:rPr>
      </w:pPr>
      <w:r>
        <w:rPr>
          <w:rFonts w:eastAsia="Arial" w:cs="Arial"/>
          <w:i/>
          <w:iCs/>
          <w:sz w:val="20"/>
          <w:szCs w:val="20"/>
        </w:rPr>
        <w:t>"Customer information"</w:t>
      </w:r>
      <w:r>
        <w:rPr>
          <w:rFonts w:eastAsia="Arial" w:cs="Arial"/>
          <w:sz w:val="20"/>
          <w:szCs w:val="20"/>
        </w:rPr>
        <w:t xml:space="preserve"> means any record containing nonpublic personal information about a customer of a financial institution, whether in paper, electronic or other form, that is in the possession of KCD or that is handled or maintained by KCD or on its behalf regardless of whether such information pertains to: (1) individuals with whom KCD has a customer relationship, or (2) the customers of other financial institutions where such information has been provided to KCD.</w:t>
      </w:r>
    </w:p>
    <w:p>
      <w:pPr>
        <w:pStyle w:val="normal0"/>
        <w:spacing w:before="200" w:after="200"/>
        <w:rPr>
          <w:rFonts w:eastAsia="Arial" w:cs="Arial"/>
          <w:sz w:val="20"/>
          <w:szCs w:val="20"/>
        </w:rPr>
      </w:pPr>
      <w:r>
        <w:rPr>
          <w:rFonts w:eastAsia="Arial" w:cs="Arial"/>
          <w:i/>
          <w:iCs/>
          <w:sz w:val="20"/>
          <w:szCs w:val="20"/>
        </w:rPr>
        <w:t>"Customer relationship"</w:t>
      </w:r>
      <w:r>
        <w:rPr>
          <w:rFonts w:eastAsia="Arial" w:cs="Arial"/>
          <w:sz w:val="20"/>
          <w:szCs w:val="20"/>
        </w:rPr>
        <w:t xml:space="preserve"> means a "continuing relationship" between a consumer and KCD under which KCD provides one or more financial products or services to the consumer that are to be used primarily for personal, family, or household purposes. </w:t>
      </w:r>
    </w:p>
    <w:p>
      <w:pPr>
        <w:pStyle w:val="normal0"/>
        <w:spacing w:before="200" w:after="200"/>
        <w:rPr>
          <w:rFonts w:eastAsia="Arial" w:cs="Arial"/>
          <w:sz w:val="20"/>
          <w:szCs w:val="20"/>
        </w:rPr>
      </w:pPr>
      <w:r>
        <w:rPr>
          <w:rFonts w:eastAsia="Arial" w:cs="Arial"/>
          <w:sz w:val="20"/>
          <w:szCs w:val="20"/>
        </w:rPr>
        <w:t>"</w:t>
      </w:r>
      <w:r>
        <w:rPr>
          <w:rFonts w:eastAsia="Arial" w:cs="Arial"/>
          <w:i/>
          <w:iCs/>
          <w:sz w:val="20"/>
          <w:szCs w:val="20"/>
        </w:rPr>
        <w:t>Disposal</w:t>
      </w:r>
      <w:r>
        <w:rPr>
          <w:rFonts w:eastAsia="Arial" w:cs="Arial"/>
          <w:sz w:val="20"/>
          <w:szCs w:val="20"/>
        </w:rPr>
        <w:t>" means (1) the discarding or abandonment of customer information; or (2) the sale, donation, or transfer of any medium, including computer equipment, on which customer information is stored.</w:t>
      </w:r>
    </w:p>
    <w:p>
      <w:pPr>
        <w:pStyle w:val="normal0"/>
        <w:spacing w:before="200" w:after="200"/>
        <w:rPr>
          <w:rFonts w:eastAsia="Arial" w:cs="Arial"/>
          <w:sz w:val="20"/>
          <w:szCs w:val="20"/>
        </w:rPr>
      </w:pPr>
      <w:r>
        <w:rPr>
          <w:rFonts w:eastAsia="Arial" w:cs="Arial"/>
          <w:i/>
          <w:iCs/>
          <w:sz w:val="20"/>
          <w:szCs w:val="20"/>
        </w:rPr>
        <w:t>"Nonaffiliated third party"</w:t>
      </w:r>
      <w:r>
        <w:rPr>
          <w:rFonts w:eastAsia="Arial" w:cs="Arial"/>
          <w:sz w:val="20"/>
          <w:szCs w:val="20"/>
        </w:rPr>
        <w:t xml:space="preserve"> means any person except: </w:t>
      </w:r>
    </w:p>
    <w:p>
      <w:pPr>
        <w:numPr>
          <w:ilvl w:val="0"/>
          <w:numId w:val="121"/>
        </w:numPr>
        <w:spacing w:before="200"/>
        <w:ind w:left="720" w:hanging="192"/>
        <w:jc w:val="left"/>
        <w:rPr>
          <w:rFonts w:eastAsia="Arial" w:cs="Arial"/>
          <w:sz w:val="20"/>
          <w:szCs w:val="20"/>
        </w:rPr>
      </w:pPr>
      <w:r>
        <w:rPr>
          <w:rFonts w:eastAsia="Arial" w:cs="Arial"/>
          <w:sz w:val="20"/>
          <w:szCs w:val="20"/>
        </w:rPr>
        <w:t>KCD's affiliate; or</w:t>
      </w:r>
    </w:p>
    <w:p>
      <w:pPr>
        <w:numPr>
          <w:ilvl w:val="0"/>
          <w:numId w:val="121"/>
        </w:numPr>
        <w:spacing w:after="200"/>
        <w:ind w:left="720" w:hanging="192"/>
        <w:jc w:val="left"/>
        <w:rPr>
          <w:rFonts w:eastAsia="Arial" w:cs="Arial"/>
          <w:sz w:val="20"/>
          <w:szCs w:val="20"/>
        </w:rPr>
      </w:pPr>
      <w:r>
        <w:rPr>
          <w:rFonts w:eastAsia="Arial" w:cs="Arial"/>
          <w:sz w:val="20"/>
          <w:szCs w:val="20"/>
        </w:rPr>
        <w:t xml:space="preserve">A person employed jointly by KCD and any company that is not KCD's affiliate (but </w:t>
      </w:r>
      <w:r>
        <w:rPr>
          <w:rFonts w:eastAsia="Arial" w:cs="Arial"/>
          <w:i/>
          <w:iCs/>
          <w:sz w:val="20"/>
          <w:szCs w:val="20"/>
        </w:rPr>
        <w:t>nonaffiliated third party</w:t>
      </w:r>
      <w:r>
        <w:rPr>
          <w:rFonts w:eastAsia="Arial" w:cs="Arial"/>
          <w:sz w:val="20"/>
          <w:szCs w:val="20"/>
        </w:rPr>
        <w:t xml:space="preserve"> includes the other company that jointly employs the person). </w:t>
      </w:r>
    </w:p>
    <w:p>
      <w:pPr>
        <w:pStyle w:val="normal0"/>
        <w:spacing w:before="200" w:after="200"/>
        <w:rPr>
          <w:rFonts w:eastAsia="Arial" w:cs="Arial"/>
          <w:sz w:val="20"/>
          <w:szCs w:val="20"/>
        </w:rPr>
      </w:pPr>
      <w:r>
        <w:rPr>
          <w:rFonts w:eastAsia="Arial" w:cs="Arial"/>
          <w:i/>
          <w:iCs/>
          <w:sz w:val="20"/>
          <w:szCs w:val="20"/>
        </w:rPr>
        <w:t>"Nonpublic personal information"</w:t>
      </w:r>
      <w:r>
        <w:rPr>
          <w:rFonts w:eastAsia="Arial" w:cs="Arial"/>
          <w:sz w:val="20"/>
          <w:szCs w:val="20"/>
        </w:rPr>
        <w:t xml:space="preserve"> does not include: </w:t>
      </w:r>
    </w:p>
    <w:p>
      <w:pPr>
        <w:numPr>
          <w:ilvl w:val="0"/>
          <w:numId w:val="122"/>
        </w:numPr>
        <w:spacing w:before="200"/>
        <w:ind w:left="720" w:hanging="192"/>
        <w:jc w:val="left"/>
        <w:rPr>
          <w:rFonts w:eastAsia="Arial" w:cs="Arial"/>
          <w:sz w:val="20"/>
          <w:szCs w:val="20"/>
        </w:rPr>
      </w:pPr>
      <w:r>
        <w:rPr>
          <w:rFonts w:eastAsia="Arial" w:cs="Arial"/>
          <w:sz w:val="20"/>
          <w:szCs w:val="20"/>
        </w:rPr>
        <w:t xml:space="preserve">Publicly available information, except when the publicly available information is disclosed in a manner that indicates the individual is or has been KCD's consumer; or </w:t>
      </w:r>
    </w:p>
    <w:p>
      <w:pPr>
        <w:numPr>
          <w:ilvl w:val="0"/>
          <w:numId w:val="122"/>
        </w:numPr>
        <w:spacing w:after="200"/>
        <w:ind w:left="720" w:hanging="192"/>
        <w:jc w:val="left"/>
        <w:rPr>
          <w:rFonts w:eastAsia="Arial" w:cs="Arial"/>
          <w:sz w:val="20"/>
          <w:szCs w:val="20"/>
        </w:rPr>
      </w:pPr>
      <w:r>
        <w:rPr>
          <w:rFonts w:eastAsia="Arial" w:cs="Arial"/>
          <w:sz w:val="20"/>
          <w:szCs w:val="20"/>
        </w:rPr>
        <w:t>Any list, description, or other grouping of consumers (and publicly available information pertaining to them) that is derived without using any personally identifiable financial information that is not publicly available information.</w:t>
      </w:r>
    </w:p>
    <w:p>
      <w:pPr>
        <w:pStyle w:val="normal0"/>
        <w:spacing w:before="200" w:after="200"/>
        <w:rPr>
          <w:rFonts w:eastAsia="Arial" w:cs="Arial"/>
          <w:sz w:val="20"/>
          <w:szCs w:val="20"/>
        </w:rPr>
      </w:pPr>
      <w:r>
        <w:rPr>
          <w:rFonts w:eastAsia="Arial" w:cs="Arial"/>
          <w:i/>
          <w:iCs/>
          <w:sz w:val="20"/>
          <w:szCs w:val="20"/>
        </w:rPr>
        <w:t>"Personal information"</w:t>
      </w:r>
      <w:r>
        <w:rPr>
          <w:rFonts w:eastAsia="Arial" w:cs="Arial"/>
          <w:sz w:val="20"/>
          <w:szCs w:val="20"/>
        </w:rPr>
        <w:t xml:space="preserve"> means personally identifiable financial information and any other information that is a combination of the customer's first name (or initial) and last name with any of the following types of data:</w:t>
      </w:r>
    </w:p>
    <w:p>
      <w:pPr>
        <w:numPr>
          <w:ilvl w:val="0"/>
          <w:numId w:val="123"/>
        </w:numPr>
        <w:spacing w:before="200"/>
        <w:ind w:left="720" w:hanging="192"/>
        <w:jc w:val="left"/>
        <w:rPr>
          <w:rFonts w:eastAsia="Arial" w:cs="Arial"/>
          <w:sz w:val="20"/>
          <w:szCs w:val="20"/>
        </w:rPr>
      </w:pPr>
      <w:r>
        <w:rPr>
          <w:rFonts w:eastAsia="Arial" w:cs="Arial"/>
          <w:sz w:val="20"/>
          <w:szCs w:val="20"/>
        </w:rPr>
        <w:t>Social Security Number;</w:t>
      </w:r>
    </w:p>
    <w:p>
      <w:pPr>
        <w:numPr>
          <w:ilvl w:val="0"/>
          <w:numId w:val="123"/>
        </w:numPr>
        <w:ind w:left="720" w:hanging="192"/>
        <w:jc w:val="left"/>
        <w:rPr>
          <w:rFonts w:eastAsia="Arial" w:cs="Arial"/>
          <w:sz w:val="20"/>
          <w:szCs w:val="20"/>
        </w:rPr>
      </w:pPr>
      <w:r>
        <w:rPr>
          <w:rFonts w:eastAsia="Arial" w:cs="Arial"/>
          <w:sz w:val="20"/>
          <w:szCs w:val="20"/>
        </w:rPr>
        <w:t>Driver's license number or other state-issued ID card number; or</w:t>
      </w:r>
    </w:p>
    <w:p>
      <w:pPr>
        <w:numPr>
          <w:ilvl w:val="0"/>
          <w:numId w:val="123"/>
        </w:numPr>
        <w:spacing w:after="200"/>
        <w:ind w:left="720" w:hanging="192"/>
        <w:jc w:val="left"/>
        <w:rPr>
          <w:rFonts w:eastAsia="Arial" w:cs="Arial"/>
          <w:sz w:val="20"/>
          <w:szCs w:val="20"/>
        </w:rPr>
      </w:pPr>
      <w:r>
        <w:rPr>
          <w:rFonts w:eastAsia="Arial" w:cs="Arial"/>
          <w:sz w:val="20"/>
          <w:szCs w:val="20"/>
        </w:rPr>
        <w:t>Financial account number, credit or debit card number, access code, personal identification number or password that would permit the customer to access his or her personal information.</w:t>
      </w:r>
    </w:p>
    <w:p>
      <w:pPr>
        <w:pStyle w:val="normal0"/>
        <w:spacing w:before="200" w:after="200"/>
        <w:rPr>
          <w:rFonts w:eastAsia="Arial" w:cs="Arial"/>
          <w:sz w:val="20"/>
          <w:szCs w:val="20"/>
        </w:rPr>
      </w:pPr>
      <w:r>
        <w:rPr>
          <w:rFonts w:eastAsia="Arial" w:cs="Arial"/>
          <w:sz w:val="20"/>
          <w:szCs w:val="20"/>
        </w:rPr>
        <w:t xml:space="preserve">KCD shall not treat information that can be lawfully obtained from publicly available information or from federal, state or local data bases as "personal information." </w:t>
      </w:r>
    </w:p>
    <w:p>
      <w:pPr>
        <w:pStyle w:val="normal0"/>
        <w:spacing w:before="200" w:after="200"/>
        <w:rPr>
          <w:rFonts w:eastAsia="Arial" w:cs="Arial"/>
          <w:sz w:val="20"/>
          <w:szCs w:val="20"/>
        </w:rPr>
      </w:pPr>
      <w:r>
        <w:rPr>
          <w:rFonts w:eastAsia="Arial" w:cs="Arial"/>
          <w:i/>
          <w:iCs/>
          <w:sz w:val="20"/>
          <w:szCs w:val="20"/>
        </w:rPr>
        <w:t>"Personally identifiable financial information"</w:t>
      </w:r>
      <w:r>
        <w:rPr>
          <w:rFonts w:eastAsia="Arial" w:cs="Arial"/>
          <w:sz w:val="20"/>
          <w:szCs w:val="20"/>
        </w:rPr>
        <w:t xml:space="preserve"> means any information: </w:t>
      </w:r>
    </w:p>
    <w:p>
      <w:pPr>
        <w:numPr>
          <w:ilvl w:val="0"/>
          <w:numId w:val="124"/>
        </w:numPr>
        <w:spacing w:before="200"/>
        <w:ind w:left="720" w:hanging="192"/>
        <w:jc w:val="left"/>
        <w:rPr>
          <w:rFonts w:eastAsia="Arial" w:cs="Arial"/>
          <w:sz w:val="20"/>
          <w:szCs w:val="20"/>
        </w:rPr>
      </w:pPr>
      <w:r>
        <w:rPr>
          <w:rFonts w:eastAsia="Arial" w:cs="Arial"/>
          <w:sz w:val="20"/>
          <w:szCs w:val="20"/>
        </w:rPr>
        <w:t xml:space="preserve">A consumer provides to KCD to obtain a financial product or service from KCD; </w:t>
      </w:r>
    </w:p>
    <w:p>
      <w:pPr>
        <w:numPr>
          <w:ilvl w:val="0"/>
          <w:numId w:val="124"/>
        </w:numPr>
        <w:ind w:left="720" w:hanging="192"/>
        <w:jc w:val="left"/>
        <w:rPr>
          <w:rFonts w:eastAsia="Arial" w:cs="Arial"/>
          <w:sz w:val="20"/>
          <w:szCs w:val="20"/>
        </w:rPr>
      </w:pPr>
      <w:r>
        <w:rPr>
          <w:rFonts w:eastAsia="Arial" w:cs="Arial"/>
          <w:sz w:val="20"/>
          <w:szCs w:val="20"/>
        </w:rPr>
        <w:t xml:space="preserve">About a consumer resulting from any transaction involving a financial product or service between KCD and a consumer; or </w:t>
      </w:r>
    </w:p>
    <w:p>
      <w:pPr>
        <w:numPr>
          <w:ilvl w:val="0"/>
          <w:numId w:val="124"/>
        </w:numPr>
        <w:spacing w:after="200"/>
        <w:ind w:left="720" w:hanging="192"/>
        <w:jc w:val="left"/>
        <w:rPr>
          <w:rFonts w:eastAsia="Arial" w:cs="Arial"/>
          <w:sz w:val="20"/>
          <w:szCs w:val="20"/>
        </w:rPr>
      </w:pPr>
      <w:r>
        <w:rPr>
          <w:rFonts w:eastAsia="Arial" w:cs="Arial"/>
          <w:sz w:val="20"/>
          <w:szCs w:val="20"/>
        </w:rPr>
        <w:t xml:space="preserve">KCD otherwise obtains about a consumer in connection with providing a financial product or service to that consumer. </w:t>
      </w:r>
    </w:p>
    <w:p>
      <w:pPr>
        <w:pStyle w:val="normal0"/>
        <w:spacing w:before="200" w:after="200"/>
        <w:rPr>
          <w:rFonts w:eastAsia="Arial" w:cs="Arial"/>
          <w:sz w:val="20"/>
          <w:szCs w:val="20"/>
        </w:rPr>
      </w:pPr>
      <w:r>
        <w:rPr>
          <w:rFonts w:eastAsia="Arial" w:cs="Arial"/>
          <w:i/>
          <w:iCs/>
          <w:sz w:val="20"/>
          <w:szCs w:val="20"/>
        </w:rPr>
        <w:t>"Publicly available information"</w:t>
      </w:r>
      <w:r>
        <w:rPr>
          <w:rFonts w:eastAsia="Arial" w:cs="Arial"/>
          <w:sz w:val="20"/>
          <w:szCs w:val="20"/>
        </w:rPr>
        <w:t xml:space="preserve"> means any information that KCD reasonably believes is lawfully made available to the general public from: </w:t>
      </w:r>
    </w:p>
    <w:p>
      <w:pPr>
        <w:numPr>
          <w:ilvl w:val="0"/>
          <w:numId w:val="125"/>
        </w:numPr>
        <w:spacing w:before="200"/>
        <w:ind w:left="720" w:hanging="192"/>
        <w:jc w:val="left"/>
        <w:rPr>
          <w:rFonts w:eastAsia="Arial" w:cs="Arial"/>
          <w:sz w:val="20"/>
          <w:szCs w:val="20"/>
        </w:rPr>
      </w:pPr>
      <w:r>
        <w:rPr>
          <w:rFonts w:eastAsia="Arial" w:cs="Arial"/>
          <w:sz w:val="20"/>
          <w:szCs w:val="20"/>
        </w:rPr>
        <w:t xml:space="preserve">Federal, State, or local government records; </w:t>
      </w:r>
    </w:p>
    <w:p>
      <w:pPr>
        <w:numPr>
          <w:ilvl w:val="0"/>
          <w:numId w:val="125"/>
        </w:numPr>
        <w:ind w:left="720" w:hanging="192"/>
        <w:jc w:val="left"/>
        <w:rPr>
          <w:rFonts w:eastAsia="Arial" w:cs="Arial"/>
          <w:sz w:val="20"/>
          <w:szCs w:val="20"/>
        </w:rPr>
      </w:pPr>
      <w:r>
        <w:rPr>
          <w:rFonts w:eastAsia="Arial" w:cs="Arial"/>
          <w:sz w:val="20"/>
          <w:szCs w:val="20"/>
        </w:rPr>
        <w:t xml:space="preserve">Widely distributed media; or </w:t>
      </w:r>
    </w:p>
    <w:p>
      <w:pPr>
        <w:numPr>
          <w:ilvl w:val="0"/>
          <w:numId w:val="125"/>
        </w:numPr>
        <w:spacing w:after="200"/>
        <w:ind w:left="720" w:hanging="192"/>
        <w:jc w:val="left"/>
        <w:rPr>
          <w:rFonts w:eastAsia="Arial" w:cs="Arial"/>
          <w:sz w:val="20"/>
          <w:szCs w:val="20"/>
        </w:rPr>
      </w:pPr>
      <w:r>
        <w:rPr>
          <w:rFonts w:eastAsia="Arial" w:cs="Arial"/>
          <w:sz w:val="20"/>
          <w:szCs w:val="20"/>
        </w:rPr>
        <w:t xml:space="preserve">Disclosures to the general public that are required to be made by federal, State, or local law. </w:t>
      </w:r>
    </w:p>
    <w:p>
      <w:pPr>
        <w:pStyle w:val="normal0"/>
        <w:spacing w:before="200" w:after="200"/>
        <w:rPr>
          <w:rFonts w:eastAsia="Arial" w:cs="Arial"/>
          <w:sz w:val="20"/>
          <w:szCs w:val="20"/>
        </w:rPr>
      </w:pPr>
      <w:r>
        <w:rPr>
          <w:rFonts w:eastAsia="Arial" w:cs="Arial"/>
          <w:i/>
          <w:iCs/>
          <w:sz w:val="20"/>
          <w:szCs w:val="20"/>
        </w:rPr>
        <w:t>"Sensitive customer information"</w:t>
      </w:r>
      <w:r>
        <w:rPr>
          <w:rFonts w:eastAsia="Arial" w:cs="Arial"/>
          <w:sz w:val="20"/>
          <w:szCs w:val="20"/>
        </w:rPr>
        <w:t xml:space="preserve"> means customer information reasonably likely to be used as a means of authenticating the customer's identity. Examples include:</w:t>
      </w:r>
    </w:p>
    <w:p>
      <w:pPr>
        <w:numPr>
          <w:ilvl w:val="0"/>
          <w:numId w:val="126"/>
        </w:numPr>
        <w:spacing w:before="200"/>
        <w:ind w:left="720" w:hanging="192"/>
        <w:jc w:val="left"/>
        <w:rPr>
          <w:rFonts w:eastAsia="Arial" w:cs="Arial"/>
          <w:sz w:val="20"/>
          <w:szCs w:val="20"/>
        </w:rPr>
      </w:pPr>
      <w:r>
        <w:rPr>
          <w:rFonts w:eastAsia="Arial" w:cs="Arial"/>
          <w:sz w:val="20"/>
          <w:szCs w:val="20"/>
        </w:rPr>
        <w:t>Social security numbers</w:t>
      </w:r>
    </w:p>
    <w:p>
      <w:pPr>
        <w:numPr>
          <w:ilvl w:val="0"/>
          <w:numId w:val="126"/>
        </w:numPr>
        <w:ind w:left="720" w:hanging="192"/>
        <w:jc w:val="left"/>
        <w:rPr>
          <w:rFonts w:eastAsia="Arial" w:cs="Arial"/>
          <w:sz w:val="20"/>
          <w:szCs w:val="20"/>
        </w:rPr>
      </w:pPr>
      <w:r>
        <w:rPr>
          <w:rFonts w:eastAsia="Arial" w:cs="Arial"/>
          <w:sz w:val="20"/>
          <w:szCs w:val="20"/>
        </w:rPr>
        <w:t>State or government-issued driver's license or identification numbers</w:t>
      </w:r>
    </w:p>
    <w:p>
      <w:pPr>
        <w:numPr>
          <w:ilvl w:val="0"/>
          <w:numId w:val="126"/>
        </w:numPr>
        <w:ind w:left="720" w:hanging="192"/>
        <w:jc w:val="left"/>
        <w:rPr>
          <w:rFonts w:eastAsia="Arial" w:cs="Arial"/>
          <w:sz w:val="20"/>
          <w:szCs w:val="20"/>
        </w:rPr>
      </w:pPr>
      <w:r>
        <w:rPr>
          <w:rFonts w:eastAsia="Arial" w:cs="Arial"/>
          <w:sz w:val="20"/>
          <w:szCs w:val="20"/>
        </w:rPr>
        <w:t>Passport numbers</w:t>
      </w:r>
    </w:p>
    <w:p>
      <w:pPr>
        <w:numPr>
          <w:ilvl w:val="0"/>
          <w:numId w:val="126"/>
        </w:numPr>
        <w:ind w:left="720" w:hanging="192"/>
        <w:jc w:val="left"/>
        <w:rPr>
          <w:rFonts w:eastAsia="Arial" w:cs="Arial"/>
          <w:sz w:val="20"/>
          <w:szCs w:val="20"/>
        </w:rPr>
      </w:pPr>
      <w:r>
        <w:rPr>
          <w:rFonts w:eastAsia="Arial" w:cs="Arial"/>
          <w:sz w:val="20"/>
          <w:szCs w:val="20"/>
        </w:rPr>
        <w:t>Taxpayer ID numbers</w:t>
      </w:r>
    </w:p>
    <w:p>
      <w:pPr>
        <w:numPr>
          <w:ilvl w:val="0"/>
          <w:numId w:val="126"/>
        </w:numPr>
        <w:ind w:left="720" w:hanging="192"/>
        <w:jc w:val="left"/>
        <w:rPr>
          <w:rFonts w:eastAsia="Arial" w:cs="Arial"/>
          <w:sz w:val="20"/>
          <w:szCs w:val="20"/>
        </w:rPr>
      </w:pPr>
      <w:r>
        <w:rPr>
          <w:rFonts w:eastAsia="Arial" w:cs="Arial"/>
          <w:sz w:val="20"/>
          <w:szCs w:val="20"/>
        </w:rPr>
        <w:t>Alien registration numbers</w:t>
      </w:r>
    </w:p>
    <w:p>
      <w:pPr>
        <w:numPr>
          <w:ilvl w:val="0"/>
          <w:numId w:val="126"/>
        </w:numPr>
        <w:ind w:left="720" w:hanging="192"/>
        <w:jc w:val="left"/>
        <w:rPr>
          <w:rFonts w:eastAsia="Arial" w:cs="Arial"/>
          <w:sz w:val="20"/>
          <w:szCs w:val="20"/>
        </w:rPr>
      </w:pPr>
      <w:r>
        <w:rPr>
          <w:rFonts w:eastAsia="Arial" w:cs="Arial"/>
          <w:sz w:val="20"/>
          <w:szCs w:val="20"/>
        </w:rPr>
        <w:t>Biometric numbers</w:t>
      </w:r>
    </w:p>
    <w:p>
      <w:pPr>
        <w:numPr>
          <w:ilvl w:val="0"/>
          <w:numId w:val="126"/>
        </w:numPr>
        <w:ind w:left="720" w:hanging="192"/>
        <w:jc w:val="left"/>
        <w:rPr>
          <w:rFonts w:eastAsia="Arial" w:cs="Arial"/>
          <w:sz w:val="20"/>
          <w:szCs w:val="20"/>
        </w:rPr>
      </w:pPr>
      <w:r>
        <w:rPr>
          <w:rFonts w:eastAsia="Arial" w:cs="Arial"/>
          <w:sz w:val="20"/>
          <w:szCs w:val="20"/>
        </w:rPr>
        <w:t>Unique electronic identification number</w:t>
      </w:r>
    </w:p>
    <w:p>
      <w:pPr>
        <w:numPr>
          <w:ilvl w:val="0"/>
          <w:numId w:val="126"/>
        </w:numPr>
        <w:ind w:left="720" w:hanging="192"/>
        <w:jc w:val="left"/>
        <w:rPr>
          <w:rFonts w:eastAsia="Arial" w:cs="Arial"/>
          <w:sz w:val="20"/>
          <w:szCs w:val="20"/>
        </w:rPr>
      </w:pPr>
      <w:r>
        <w:rPr>
          <w:rFonts w:eastAsia="Arial" w:cs="Arial"/>
          <w:sz w:val="20"/>
          <w:szCs w:val="20"/>
        </w:rPr>
        <w:t>Mailing address</w:t>
      </w:r>
    </w:p>
    <w:p>
      <w:pPr>
        <w:numPr>
          <w:ilvl w:val="0"/>
          <w:numId w:val="126"/>
        </w:numPr>
        <w:ind w:left="720" w:hanging="192"/>
        <w:jc w:val="left"/>
        <w:rPr>
          <w:rFonts w:eastAsia="Arial" w:cs="Arial"/>
          <w:sz w:val="20"/>
          <w:szCs w:val="20"/>
        </w:rPr>
      </w:pPr>
      <w:r>
        <w:rPr>
          <w:rFonts w:eastAsia="Arial" w:cs="Arial"/>
          <w:sz w:val="20"/>
          <w:szCs w:val="20"/>
        </w:rPr>
        <w:t>Access device numbers used for telecommunication</w:t>
      </w:r>
    </w:p>
    <w:p>
      <w:pPr>
        <w:numPr>
          <w:ilvl w:val="0"/>
          <w:numId w:val="126"/>
        </w:numPr>
        <w:ind w:left="720" w:hanging="192"/>
        <w:jc w:val="left"/>
        <w:rPr>
          <w:rFonts w:eastAsia="Arial" w:cs="Arial"/>
          <w:sz w:val="20"/>
          <w:szCs w:val="20"/>
        </w:rPr>
      </w:pPr>
      <w:r>
        <w:rPr>
          <w:rFonts w:eastAsia="Arial" w:cs="Arial"/>
          <w:sz w:val="20"/>
          <w:szCs w:val="20"/>
        </w:rPr>
        <w:t>Account numbers</w:t>
      </w:r>
    </w:p>
    <w:p>
      <w:pPr>
        <w:numPr>
          <w:ilvl w:val="0"/>
          <w:numId w:val="126"/>
        </w:numPr>
        <w:spacing w:after="200"/>
        <w:ind w:left="720" w:hanging="192"/>
        <w:jc w:val="left"/>
        <w:rPr>
          <w:rFonts w:eastAsia="Arial" w:cs="Arial"/>
          <w:sz w:val="20"/>
          <w:szCs w:val="20"/>
        </w:rPr>
      </w:pPr>
      <w:r>
        <w:rPr>
          <w:rFonts w:eastAsia="Arial" w:cs="Arial"/>
          <w:sz w:val="20"/>
          <w:szCs w:val="20"/>
        </w:rPr>
        <w:t>Online user names</w:t>
      </w:r>
    </w:p>
    <w:p>
      <w:pPr>
        <w:pStyle w:val="normal0"/>
        <w:spacing w:before="200" w:after="200"/>
        <w:rPr>
          <w:rFonts w:eastAsia="Arial" w:cs="Arial"/>
          <w:sz w:val="20"/>
          <w:szCs w:val="20"/>
        </w:rPr>
      </w:pPr>
      <w:r>
        <w:rPr>
          <w:rFonts w:eastAsia="Arial" w:cs="Arial"/>
          <w:i/>
          <w:iCs/>
          <w:sz w:val="20"/>
          <w:szCs w:val="20"/>
        </w:rPr>
        <w:t>"Service provider"</w:t>
      </w:r>
      <w:r>
        <w:rPr>
          <w:rFonts w:eastAsia="Arial" w:cs="Arial"/>
          <w:sz w:val="20"/>
          <w:szCs w:val="20"/>
        </w:rPr>
        <w:t xml:space="preserve"> means any person or entity that receives, maintains, processes, or otherwise is permitted access to customer information through its provision of services directly to KCD.</w:t>
      </w:r>
    </w:p>
    <w:p>
      <w:bookmarkEnd w:id="102"/>
      <w:bookmarkStart w:id="103" w:name="Sec_Chp_061016102248171_061016102248625"/>
    </w:p>
    <w:p>
      <w:pPr>
        <w:pStyle w:val="Heading4"/>
      </w:pPr>
      <w:r>
        <w:t xml:space="preserve">3.3.12.3 Privacy Notice </w:t>
      </w:r>
    </w:p>
    <w:p/>
    <w:p>
      <w:pPr>
        <w:rPr>
          <w:rFonts w:eastAsia="Arial" w:cs="Arial"/>
          <w:sz w:val="16"/>
          <w:szCs w:val="16"/>
        </w:rPr>
      </w:pPr>
      <w:r>
        <w:rPr>
          <w:rFonts w:eastAsia="Arial" w:cs="Arial"/>
          <w:sz w:val="16"/>
          <w:szCs w:val="16"/>
        </w:rPr>
        <w:t>[SEC Regulation S-P Section 248.13, Section 248.14 and Section 248.15]</w:t>
      </w:r>
    </w:p>
    <w:p/>
    <w:p>
      <w:pPr>
        <w:pStyle w:val="normal0"/>
        <w:spacing w:after="200"/>
        <w:rPr>
          <w:rFonts w:eastAsia="Arial" w:cs="Arial"/>
          <w:sz w:val="20"/>
          <w:szCs w:val="20"/>
        </w:rPr>
      </w:pPr>
      <w:r>
        <w:rPr>
          <w:rFonts w:eastAsia="Arial" w:cs="Arial"/>
          <w:sz w:val="20"/>
          <w:szCs w:val="20"/>
        </w:rPr>
        <w:t xml:space="preserve">The Chief Compliance Officer on the behalf of KCD will maintain an updated privacy notice ("Privacy Notice"). The Privacy Notice will describe: </w:t>
      </w:r>
    </w:p>
    <w:p>
      <w:pPr>
        <w:numPr>
          <w:ilvl w:val="0"/>
          <w:numId w:val="127"/>
        </w:numPr>
        <w:spacing w:before="200"/>
        <w:ind w:left="720" w:hanging="192"/>
        <w:jc w:val="left"/>
        <w:rPr>
          <w:rFonts w:eastAsia="Arial" w:cs="Arial"/>
          <w:sz w:val="20"/>
          <w:szCs w:val="20"/>
        </w:rPr>
      </w:pPr>
      <w:r>
        <w:rPr>
          <w:rFonts w:eastAsia="Arial" w:cs="Arial"/>
          <w:sz w:val="20"/>
          <w:szCs w:val="20"/>
        </w:rPr>
        <w:t xml:space="preserve">The categories of nonpublic personal information that KCD collects; </w:t>
      </w:r>
    </w:p>
    <w:p>
      <w:pPr>
        <w:numPr>
          <w:ilvl w:val="0"/>
          <w:numId w:val="127"/>
        </w:numPr>
        <w:ind w:left="720" w:hanging="192"/>
        <w:jc w:val="left"/>
        <w:rPr>
          <w:rFonts w:eastAsia="Arial" w:cs="Arial"/>
          <w:sz w:val="20"/>
          <w:szCs w:val="20"/>
        </w:rPr>
      </w:pPr>
      <w:r>
        <w:rPr>
          <w:rFonts w:eastAsia="Arial" w:cs="Arial"/>
          <w:sz w:val="20"/>
          <w:szCs w:val="20"/>
        </w:rPr>
        <w:t xml:space="preserve">The categories of nonpublic personal information that KCD discloses; </w:t>
      </w:r>
    </w:p>
    <w:p>
      <w:pPr>
        <w:numPr>
          <w:ilvl w:val="0"/>
          <w:numId w:val="127"/>
        </w:numPr>
        <w:ind w:left="720" w:hanging="192"/>
        <w:jc w:val="left"/>
        <w:rPr>
          <w:rFonts w:eastAsia="Arial" w:cs="Arial"/>
          <w:sz w:val="20"/>
          <w:szCs w:val="20"/>
        </w:rPr>
      </w:pPr>
      <w:r>
        <w:rPr>
          <w:rFonts w:eastAsia="Arial" w:cs="Arial"/>
          <w:sz w:val="20"/>
          <w:szCs w:val="20"/>
        </w:rPr>
        <w:t xml:space="preserve">The categories of affiliates and nonaffiliated third parties to whom KCD discloses nonpublic personal information, other than those parties to whom KCD discloses information under exceptions in Sec. 248.14 (exceptions to notice and opt out requirements for processing and servicing transactions) and Sec. 248.15 of Regulation S-P (certain other exceptions in Regulation S-P); </w:t>
      </w:r>
    </w:p>
    <w:p>
      <w:pPr>
        <w:numPr>
          <w:ilvl w:val="0"/>
          <w:numId w:val="127"/>
        </w:numPr>
        <w:ind w:left="720" w:hanging="192"/>
        <w:jc w:val="left"/>
        <w:rPr>
          <w:rFonts w:eastAsia="Arial" w:cs="Arial"/>
          <w:sz w:val="20"/>
          <w:szCs w:val="20"/>
        </w:rPr>
      </w:pPr>
      <w:r>
        <w:rPr>
          <w:rFonts w:eastAsia="Arial" w:cs="Arial"/>
          <w:sz w:val="20"/>
          <w:szCs w:val="20"/>
        </w:rPr>
        <w:t>The categories of nonpublic personal information about KCD's former clients that it discloses and the categories of affiliates and nonaffiliated third parties to whom KCD discloses nonpublic personal information about its former clients, other than those parties to whom KCD discloses information under exceptions in Sec. 248.14 (exceptions to notice and opt out requirements for processing and servicing transactions) and Sec. 248.15 Regulation S-P (certain other exceptions in Regulation S-P);</w:t>
      </w:r>
    </w:p>
    <w:p>
      <w:pPr>
        <w:numPr>
          <w:ilvl w:val="0"/>
          <w:numId w:val="127"/>
        </w:numPr>
        <w:ind w:left="720" w:hanging="192"/>
        <w:jc w:val="left"/>
        <w:rPr>
          <w:rFonts w:eastAsia="Arial" w:cs="Arial"/>
          <w:sz w:val="20"/>
          <w:szCs w:val="20"/>
        </w:rPr>
      </w:pPr>
      <w:r>
        <w:rPr>
          <w:rFonts w:eastAsia="Arial" w:cs="Arial"/>
          <w:sz w:val="20"/>
          <w:szCs w:val="20"/>
        </w:rPr>
        <w:t>Whether KCD discloses information under exceptions in Sec. 248.14 (exceptions to notice and opt out requirements for processing and servicing transactions) and Sec. 248.15 Regulation S-P (certain other exceptions in Regulation S-P);</w:t>
      </w:r>
    </w:p>
    <w:p>
      <w:pPr>
        <w:numPr>
          <w:ilvl w:val="0"/>
          <w:numId w:val="127"/>
        </w:numPr>
        <w:ind w:left="720" w:hanging="192"/>
        <w:jc w:val="left"/>
        <w:rPr>
          <w:rFonts w:eastAsia="Arial" w:cs="Arial"/>
          <w:sz w:val="20"/>
          <w:szCs w:val="20"/>
        </w:rPr>
      </w:pPr>
      <w:r>
        <w:rPr>
          <w:rFonts w:eastAsia="Arial" w:cs="Arial"/>
          <w:sz w:val="20"/>
          <w:szCs w:val="20"/>
        </w:rPr>
        <w:t>If KCD disclose nonpublic personal information to a nonaffiliated third party under Sec. 248.13 (exception to opt out requirements for service providers and joint marketing), the notice will contain a separate statement of the categories of information it discloses and the categories of third parties with whom it has contracted;</w:t>
      </w:r>
    </w:p>
    <w:p>
      <w:pPr>
        <w:numPr>
          <w:ilvl w:val="0"/>
          <w:numId w:val="127"/>
        </w:numPr>
        <w:ind w:left="720" w:hanging="192"/>
        <w:jc w:val="left"/>
        <w:rPr>
          <w:rFonts w:eastAsia="Arial" w:cs="Arial"/>
          <w:sz w:val="20"/>
          <w:szCs w:val="20"/>
        </w:rPr>
      </w:pPr>
      <w:r>
        <w:rPr>
          <w:rFonts w:eastAsia="Arial" w:cs="Arial"/>
          <w:sz w:val="20"/>
          <w:szCs w:val="20"/>
        </w:rPr>
        <w:t xml:space="preserve">An explanation of the consumer's right under Regulation S-P to opt out of the disclosure of nonpublic personal information to nonaffiliated third parties, including the method(s) by which the consumer may exercise that right at that time; </w:t>
      </w:r>
    </w:p>
    <w:p>
      <w:pPr>
        <w:numPr>
          <w:ilvl w:val="0"/>
          <w:numId w:val="127"/>
        </w:numPr>
        <w:ind w:left="720" w:hanging="192"/>
        <w:jc w:val="left"/>
        <w:rPr>
          <w:rFonts w:eastAsia="Arial" w:cs="Arial"/>
          <w:sz w:val="20"/>
          <w:szCs w:val="20"/>
        </w:rPr>
      </w:pPr>
      <w:r>
        <w:rPr>
          <w:rFonts w:eastAsia="Arial" w:cs="Arial"/>
          <w:sz w:val="20"/>
          <w:szCs w:val="20"/>
        </w:rPr>
        <w:t>Any disclosures that KCD makes under the Fair Credit Reporting Act (that is, notices regarding the ability to opt out of disclosures of information among affiliates); and</w:t>
      </w:r>
    </w:p>
    <w:p>
      <w:pPr>
        <w:numPr>
          <w:ilvl w:val="0"/>
          <w:numId w:val="127"/>
        </w:numPr>
        <w:spacing w:after="200"/>
        <w:ind w:left="720" w:hanging="192"/>
        <w:jc w:val="left"/>
        <w:rPr>
          <w:rFonts w:eastAsia="Arial" w:cs="Arial"/>
          <w:sz w:val="20"/>
          <w:szCs w:val="20"/>
        </w:rPr>
      </w:pPr>
      <w:r>
        <w:rPr>
          <w:rFonts w:eastAsia="Arial" w:cs="Arial"/>
          <w:sz w:val="20"/>
          <w:szCs w:val="20"/>
        </w:rPr>
        <w:t>KCD's policies and practices with respect to protecting the confidentiality and security of nonpublic personal information.</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The SEC has adopted a model privacy form that advisers may rely upon to comply with the disclosure requirements of Regulation S-P. The model privacy form is a two-page disclosure form. It is designed to be succinct and comprehensible and allow consumers to easily compare the privacy practices of different financial institutions. Use of the model privacy form is voluntary. An adviser that chooses to use the model privacy form consistent with the instructions to the form will satisfy the disclosure requirements for privacy notices under Regulation S-P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will obtain a "safe harbor").</w:t>
            </w:r>
          </w:p>
        </w:tc>
      </w:tr>
    </w:tbl>
    <w:p>
      <w:bookmarkEnd w:id="103"/>
      <w:bookmarkStart w:id="104" w:name="Sec_Chp_061016102248171_061016102248640"/>
    </w:p>
    <w:p>
      <w:pPr>
        <w:pStyle w:val="Heading4"/>
      </w:pPr>
      <w:r>
        <w:t>3.3.12.4 Privacy Notice Delivery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copy of the Privacy Notice shall be provided to new and existing clients as follows.</w:t>
      </w:r>
    </w:p>
    <w:p>
      <w:pPr>
        <w:pStyle w:val="normal0"/>
        <w:spacing w:before="200" w:after="200"/>
        <w:rPr>
          <w:rFonts w:eastAsia="Arial" w:cs="Arial"/>
          <w:sz w:val="20"/>
          <w:szCs w:val="20"/>
        </w:rPr>
      </w:pPr>
      <w:r>
        <w:rPr>
          <w:rFonts w:eastAsia="Arial" w:cs="Arial"/>
          <w:b/>
          <w:bCs/>
          <w:sz w:val="20"/>
          <w:szCs w:val="20"/>
        </w:rPr>
        <w:t>New Clients</w:t>
      </w:r>
    </w:p>
    <w:p>
      <w:pPr>
        <w:pStyle w:val="normal0"/>
        <w:spacing w:before="200" w:after="200"/>
        <w:rPr>
          <w:rFonts w:eastAsia="Arial" w:cs="Arial"/>
          <w:sz w:val="20"/>
          <w:szCs w:val="20"/>
        </w:rPr>
      </w:pPr>
      <w:r>
        <w:rPr>
          <w:rFonts w:eastAsia="Arial" w:cs="Arial"/>
          <w:sz w:val="20"/>
          <w:szCs w:val="20"/>
        </w:rPr>
        <w:t>A copy of the Privacy Notice shall be provided by KCD to an individual who becomes a "customer" of KCD not later than when KCD establishes a customer relationship, or a "consumer," before KCD discloses any nonpublic personal information about the consumer to any nonaffiliated third party.</w:t>
      </w:r>
    </w:p>
    <w:p>
      <w:pPr>
        <w:pStyle w:val="normal0"/>
        <w:spacing w:before="200" w:after="200"/>
        <w:rPr>
          <w:rFonts w:eastAsia="Arial" w:cs="Arial"/>
          <w:sz w:val="20"/>
          <w:szCs w:val="20"/>
        </w:rPr>
      </w:pPr>
      <w:r>
        <w:rPr>
          <w:rFonts w:eastAsia="Arial" w:cs="Arial"/>
          <w:b/>
          <w:bCs/>
          <w:sz w:val="20"/>
          <w:szCs w:val="20"/>
        </w:rPr>
        <w:t>Existing Clients</w:t>
      </w:r>
    </w:p>
    <w:p>
      <w:pPr>
        <w:pStyle w:val="normal0"/>
        <w:spacing w:before="200" w:after="200"/>
        <w:rPr>
          <w:rFonts w:eastAsia="Arial" w:cs="Arial"/>
          <w:sz w:val="20"/>
          <w:szCs w:val="20"/>
        </w:rPr>
      </w:pPr>
      <w:r>
        <w:rPr>
          <w:rFonts w:eastAsia="Arial" w:cs="Arial"/>
          <w:sz w:val="20"/>
          <w:szCs w:val="20"/>
        </w:rPr>
        <w:t>A copy of the Privacy Notice shall be provided by KCD to each existing client at least once in any period of 12 consecutive months during which that client relationship exists unless the following conditions are met:</w:t>
      </w:r>
    </w:p>
    <w:p>
      <w:pPr>
        <w:numPr>
          <w:ilvl w:val="0"/>
          <w:numId w:val="128"/>
        </w:numPr>
        <w:spacing w:before="200"/>
        <w:ind w:left="720" w:hanging="192"/>
        <w:jc w:val="left"/>
        <w:rPr>
          <w:rFonts w:eastAsia="Arial" w:cs="Arial"/>
          <w:sz w:val="20"/>
          <w:szCs w:val="20"/>
        </w:rPr>
      </w:pPr>
      <w:r>
        <w:rPr>
          <w:rFonts w:eastAsia="Arial" w:cs="Arial"/>
          <w:sz w:val="20"/>
          <w:szCs w:val="20"/>
        </w:rPr>
        <w:t>KCD only shares non-public client information within the GLBA-listed exceptions that do not trigger the opt-out right. If the information sharing practice falls under one of these exceptions, KCD need not provide clients the right to "opt-out" of such information sharing. Key GLBA-listed exceptions are:</w:t>
      </w:r>
    </w:p>
    <w:p>
      <w:pPr>
        <w:numPr>
          <w:ilvl w:val="1"/>
          <w:numId w:val="128"/>
        </w:numPr>
        <w:ind w:left="1440" w:hanging="220"/>
        <w:jc w:val="left"/>
        <w:rPr>
          <w:rFonts w:eastAsia="Arial" w:cs="Arial"/>
          <w:sz w:val="20"/>
          <w:szCs w:val="20"/>
        </w:rPr>
      </w:pPr>
      <w:r>
        <w:rPr>
          <w:rFonts w:eastAsia="Arial" w:cs="Arial"/>
          <w:sz w:val="20"/>
          <w:szCs w:val="20"/>
        </w:rPr>
        <w:t>with non-affiliated third parties for the purposes of performing services for or functions on behalf of KCD;</w:t>
      </w:r>
    </w:p>
    <w:p>
      <w:pPr>
        <w:numPr>
          <w:ilvl w:val="1"/>
          <w:numId w:val="128"/>
        </w:numPr>
        <w:ind w:left="1440" w:hanging="220"/>
        <w:jc w:val="left"/>
        <w:rPr>
          <w:rFonts w:eastAsia="Arial" w:cs="Arial"/>
          <w:sz w:val="20"/>
          <w:szCs w:val="20"/>
        </w:rPr>
      </w:pPr>
      <w:r>
        <w:rPr>
          <w:rFonts w:eastAsia="Arial" w:cs="Arial"/>
          <w:sz w:val="20"/>
          <w:szCs w:val="20"/>
        </w:rPr>
        <w:t>as necessary to effect, administer or enforce a transaction requested or authorized by the client;</w:t>
      </w:r>
    </w:p>
    <w:p>
      <w:pPr>
        <w:numPr>
          <w:ilvl w:val="1"/>
          <w:numId w:val="128"/>
        </w:numPr>
        <w:ind w:left="1440" w:hanging="220"/>
        <w:jc w:val="left"/>
        <w:rPr>
          <w:rFonts w:eastAsia="Arial" w:cs="Arial"/>
          <w:sz w:val="20"/>
          <w:szCs w:val="20"/>
        </w:rPr>
      </w:pPr>
      <w:r>
        <w:rPr>
          <w:rFonts w:eastAsia="Arial" w:cs="Arial"/>
          <w:sz w:val="20"/>
          <w:szCs w:val="20"/>
        </w:rPr>
        <w:t>to protect the confidentiality or security of KCD's records against fraud and for institutional risk control purposes;</w:t>
      </w:r>
    </w:p>
    <w:p>
      <w:pPr>
        <w:numPr>
          <w:ilvl w:val="1"/>
          <w:numId w:val="128"/>
        </w:numPr>
        <w:ind w:left="1440" w:hanging="220"/>
        <w:jc w:val="left"/>
        <w:rPr>
          <w:rFonts w:eastAsia="Arial" w:cs="Arial"/>
          <w:sz w:val="20"/>
          <w:szCs w:val="20"/>
        </w:rPr>
      </w:pPr>
      <w:r>
        <w:rPr>
          <w:rFonts w:eastAsia="Arial" w:cs="Arial"/>
          <w:sz w:val="20"/>
          <w:szCs w:val="20"/>
        </w:rPr>
        <w:t>to provide information to insurance rate advisory organizations, ratings agencies, KCD's attorneys, accountants and auditors or others determining compliance with industry standards;</w:t>
      </w:r>
    </w:p>
    <w:p>
      <w:pPr>
        <w:numPr>
          <w:ilvl w:val="1"/>
          <w:numId w:val="128"/>
        </w:numPr>
        <w:ind w:left="1440" w:hanging="220"/>
        <w:jc w:val="left"/>
        <w:rPr>
          <w:rFonts w:eastAsia="Arial" w:cs="Arial"/>
          <w:sz w:val="20"/>
          <w:szCs w:val="20"/>
        </w:rPr>
      </w:pPr>
      <w:r>
        <w:rPr>
          <w:rFonts w:eastAsia="Arial" w:cs="Arial"/>
          <w:sz w:val="20"/>
          <w:szCs w:val="20"/>
        </w:rPr>
        <w:t>to consumer reporting agencies; and</w:t>
      </w:r>
    </w:p>
    <w:p>
      <w:pPr>
        <w:numPr>
          <w:ilvl w:val="1"/>
          <w:numId w:val="128"/>
        </w:numPr>
        <w:ind w:left="1440" w:hanging="220"/>
        <w:jc w:val="left"/>
        <w:rPr>
          <w:rFonts w:eastAsia="Arial" w:cs="Arial"/>
          <w:sz w:val="20"/>
          <w:szCs w:val="20"/>
        </w:rPr>
      </w:pPr>
      <w:r>
        <w:rPr>
          <w:rFonts w:eastAsia="Arial" w:cs="Arial"/>
          <w:sz w:val="20"/>
          <w:szCs w:val="20"/>
        </w:rPr>
        <w:t>to comply with applicable federal, state or local laws or rules.</w:t>
      </w:r>
    </w:p>
    <w:p>
      <w:pPr>
        <w:numPr>
          <w:ilvl w:val="0"/>
          <w:numId w:val="128"/>
        </w:numPr>
        <w:spacing w:after="200"/>
        <w:ind w:left="720" w:hanging="192"/>
        <w:jc w:val="left"/>
        <w:rPr>
          <w:rFonts w:eastAsia="Arial" w:cs="Arial"/>
          <w:sz w:val="20"/>
          <w:szCs w:val="20"/>
        </w:rPr>
      </w:pPr>
      <w:r>
        <w:rPr>
          <w:rFonts w:eastAsia="Arial" w:cs="Arial"/>
          <w:sz w:val="20"/>
          <w:szCs w:val="20"/>
        </w:rPr>
        <w:t>KCD must not have changed its policies or procedures with respect to the disclosure of non-public client information since the last privacy notice was provided to its clients.</w:t>
      </w:r>
    </w:p>
    <w:p>
      <w:pPr>
        <w:pStyle w:val="normal0"/>
        <w:spacing w:before="200" w:after="200"/>
        <w:rPr>
          <w:rFonts w:eastAsia="Arial" w:cs="Arial"/>
          <w:sz w:val="20"/>
          <w:szCs w:val="20"/>
        </w:rPr>
      </w:pPr>
      <w:r>
        <w:rPr>
          <w:rFonts w:eastAsia="Arial" w:cs="Arial"/>
          <w:sz w:val="20"/>
          <w:szCs w:val="20"/>
        </w:rPr>
        <w:t>Therefore, KCD must provide an Annual Notice only if it (1) discloses non-public private client information to non-affiliated third parties; and (2) has changed its policies and practices regarding how it discloses such information.</w:t>
      </w:r>
    </w:p>
    <w:p>
      <w:pPr>
        <w:pStyle w:val="normal0"/>
        <w:spacing w:before="200" w:after="200"/>
        <w:rPr>
          <w:rFonts w:eastAsia="Arial" w:cs="Arial"/>
          <w:sz w:val="20"/>
          <w:szCs w:val="20"/>
        </w:rPr>
      </w:pPr>
      <w:r>
        <w:rPr>
          <w:rFonts w:eastAsia="Arial" w:cs="Arial"/>
          <w:b/>
          <w:bCs/>
          <w:sz w:val="20"/>
          <w:szCs w:val="20"/>
        </w:rPr>
        <w:t>Delivery Method</w:t>
      </w:r>
    </w:p>
    <w:p>
      <w:pPr>
        <w:pStyle w:val="normal0"/>
        <w:spacing w:before="200" w:after="200"/>
        <w:rPr>
          <w:rFonts w:eastAsia="Arial" w:cs="Arial"/>
          <w:sz w:val="20"/>
          <w:szCs w:val="20"/>
        </w:rPr>
      </w:pPr>
      <w:r>
        <w:rPr>
          <w:rFonts w:eastAsia="Arial" w:cs="Arial"/>
          <w:sz w:val="20"/>
          <w:szCs w:val="20"/>
        </w:rPr>
        <w:t>KCD will provide privacy notices and opt out notices so that each client can reasonably be expected to receive actual notice in writing or, if the client agrees, electronically. KCD may reasonably expect that a client will receive actual notice if it:</w:t>
      </w:r>
    </w:p>
    <w:p>
      <w:pPr>
        <w:numPr>
          <w:ilvl w:val="0"/>
          <w:numId w:val="129"/>
        </w:numPr>
        <w:spacing w:before="200"/>
        <w:ind w:left="720" w:hanging="192"/>
        <w:jc w:val="left"/>
        <w:rPr>
          <w:rFonts w:eastAsia="Arial" w:cs="Arial"/>
          <w:sz w:val="20"/>
          <w:szCs w:val="20"/>
        </w:rPr>
      </w:pPr>
      <w:r>
        <w:rPr>
          <w:rFonts w:eastAsia="Arial" w:cs="Arial"/>
          <w:sz w:val="20"/>
          <w:szCs w:val="20"/>
        </w:rPr>
        <w:t>Hand-delivers a printed copy of the notice to the client;</w:t>
      </w:r>
    </w:p>
    <w:p>
      <w:pPr>
        <w:numPr>
          <w:ilvl w:val="0"/>
          <w:numId w:val="129"/>
        </w:numPr>
        <w:ind w:left="720" w:hanging="192"/>
        <w:jc w:val="left"/>
        <w:rPr>
          <w:rFonts w:eastAsia="Arial" w:cs="Arial"/>
          <w:sz w:val="20"/>
          <w:szCs w:val="20"/>
        </w:rPr>
      </w:pPr>
      <w:r>
        <w:rPr>
          <w:rFonts w:eastAsia="Arial" w:cs="Arial"/>
          <w:sz w:val="20"/>
          <w:szCs w:val="20"/>
        </w:rPr>
        <w:t>Mails a printed copy of the notice to the last known address of the client; or</w:t>
      </w:r>
    </w:p>
    <w:p>
      <w:pPr>
        <w:numPr>
          <w:ilvl w:val="0"/>
          <w:numId w:val="129"/>
        </w:numPr>
        <w:spacing w:after="200"/>
        <w:ind w:left="720" w:hanging="192"/>
        <w:jc w:val="left"/>
        <w:rPr>
          <w:rFonts w:eastAsia="Arial" w:cs="Arial"/>
          <w:sz w:val="20"/>
          <w:szCs w:val="20"/>
        </w:rPr>
      </w:pPr>
      <w:r>
        <w:rPr>
          <w:rFonts w:eastAsia="Arial" w:cs="Arial"/>
          <w:sz w:val="20"/>
          <w:szCs w:val="20"/>
        </w:rPr>
        <w:t>For the client who conducts transactions electronically, posts the notice on the electronic site and requires the client to acknowledge receipt of the notice as a necessary step to obtaining a particular financial product or service.</w:t>
      </w:r>
    </w:p>
    <w:p>
      <w:bookmarkEnd w:id="104"/>
      <w:bookmarkStart w:id="105" w:name="Sec_Chp_061016102248171_061016102248671"/>
    </w:p>
    <w:p>
      <w:pPr>
        <w:pStyle w:val="Heading4"/>
      </w:pPr>
      <w:r>
        <w:t>3.3.12.5 Clients Who Opt Out of Information Sharing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share client nonpublic personal information about a client with third parties. If so, the Chief Compliance Officer will provide each client with a notice that allows clients to opt out of such information sharing ("Opt Out Notice"). The Opt Out Notice will be clear, conspicuous and accurately:</w:t>
      </w:r>
    </w:p>
    <w:p>
      <w:pPr>
        <w:numPr>
          <w:ilvl w:val="0"/>
          <w:numId w:val="130"/>
        </w:numPr>
        <w:spacing w:before="200"/>
        <w:ind w:left="720" w:hanging="192"/>
        <w:jc w:val="left"/>
        <w:rPr>
          <w:rFonts w:eastAsia="Arial" w:cs="Arial"/>
          <w:sz w:val="20"/>
          <w:szCs w:val="20"/>
        </w:rPr>
      </w:pPr>
      <w:r>
        <w:rPr>
          <w:rFonts w:eastAsia="Arial" w:cs="Arial"/>
          <w:sz w:val="20"/>
          <w:szCs w:val="20"/>
        </w:rPr>
        <w:t xml:space="preserve">Explain that KCD discloses or reserves the right to disclose nonpublic personal information about clients to a nonaffiliated third party; </w:t>
      </w:r>
    </w:p>
    <w:p>
      <w:pPr>
        <w:numPr>
          <w:ilvl w:val="0"/>
          <w:numId w:val="130"/>
        </w:numPr>
        <w:ind w:left="720" w:hanging="192"/>
        <w:jc w:val="left"/>
        <w:rPr>
          <w:rFonts w:eastAsia="Arial" w:cs="Arial"/>
          <w:sz w:val="20"/>
          <w:szCs w:val="20"/>
        </w:rPr>
      </w:pPr>
      <w:r>
        <w:rPr>
          <w:rFonts w:eastAsia="Arial" w:cs="Arial"/>
          <w:sz w:val="20"/>
          <w:szCs w:val="20"/>
        </w:rPr>
        <w:t xml:space="preserve">Explain that the client has the right to opt out of that disclosure; and </w:t>
      </w:r>
    </w:p>
    <w:p>
      <w:pPr>
        <w:numPr>
          <w:ilvl w:val="0"/>
          <w:numId w:val="130"/>
        </w:numPr>
        <w:spacing w:after="200"/>
        <w:ind w:left="720" w:hanging="192"/>
        <w:jc w:val="left"/>
        <w:rPr>
          <w:rFonts w:eastAsia="Arial" w:cs="Arial"/>
          <w:sz w:val="20"/>
          <w:szCs w:val="20"/>
        </w:rPr>
      </w:pPr>
      <w:r>
        <w:rPr>
          <w:rFonts w:eastAsia="Arial" w:cs="Arial"/>
          <w:sz w:val="20"/>
          <w:szCs w:val="20"/>
        </w:rPr>
        <w:t xml:space="preserve">Provide the client a reasonable means by which he or she may exercise the opt out right. </w:t>
      </w:r>
    </w:p>
    <w:p>
      <w:pPr>
        <w:pStyle w:val="normal0"/>
        <w:spacing w:before="200" w:after="200"/>
        <w:rPr>
          <w:rFonts w:eastAsia="Arial" w:cs="Arial"/>
          <w:sz w:val="20"/>
          <w:szCs w:val="20"/>
        </w:rPr>
      </w:pPr>
      <w:r>
        <w:rPr>
          <w:rFonts w:eastAsia="Arial" w:cs="Arial"/>
          <w:sz w:val="20"/>
          <w:szCs w:val="20"/>
        </w:rPr>
        <w:t>The Chief Compliance Officer shall maintain a list of clients who have opted to not permit their nonpublic personal information to be shared except to the extent permitted by law.</w:t>
      </w:r>
    </w:p>
    <w:p>
      <w:bookmarkEnd w:id="105"/>
      <w:bookmarkStart w:id="106" w:name="Sec_Chp_061016102248171_061016102248687"/>
    </w:p>
    <w:p>
      <w:pPr>
        <w:pStyle w:val="Heading4"/>
      </w:pPr>
      <w:r>
        <w:t>3.3.12.6 Security Measures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securities measures will be implemented and maintained by the Chief Compliance Officer and his or her designees to protect the confidentiality of client information:</w:t>
      </w:r>
    </w:p>
    <w:p>
      <w:bookmarkEnd w:id="106"/>
      <w:bookmarkStart w:id="107" w:name="Sec_Chp_061016102248171_061016102248703"/>
    </w:p>
    <w:p>
      <w:pPr>
        <w:pStyle w:val="Heading5"/>
      </w:pPr>
      <w:r>
        <w:t>3.3.12.6.1 Employees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w:t>
      </w:r>
    </w:p>
    <w:p>
      <w:pPr>
        <w:numPr>
          <w:ilvl w:val="0"/>
          <w:numId w:val="131"/>
        </w:numPr>
        <w:spacing w:before="200"/>
        <w:ind w:left="720" w:hanging="192"/>
        <w:jc w:val="left"/>
        <w:rPr>
          <w:rFonts w:eastAsia="Arial" w:cs="Arial"/>
          <w:sz w:val="20"/>
          <w:szCs w:val="20"/>
        </w:rPr>
      </w:pPr>
      <w:r>
        <w:rPr>
          <w:rFonts w:eastAsia="Arial" w:cs="Arial"/>
          <w:sz w:val="20"/>
          <w:szCs w:val="20"/>
        </w:rPr>
        <w:t>identify and maintain a list of specific employees (including temporary and contract employees) who are authorized to have access to client information for legitimate business purposes ("Access List");</w:t>
      </w:r>
    </w:p>
    <w:p>
      <w:pPr>
        <w:numPr>
          <w:ilvl w:val="0"/>
          <w:numId w:val="131"/>
        </w:numPr>
        <w:ind w:left="720" w:hanging="192"/>
        <w:jc w:val="left"/>
        <w:rPr>
          <w:rFonts w:eastAsia="Arial" w:cs="Arial"/>
          <w:sz w:val="20"/>
          <w:szCs w:val="20"/>
        </w:rPr>
      </w:pPr>
      <w:r>
        <w:rPr>
          <w:rFonts w:eastAsia="Arial" w:cs="Arial"/>
          <w:sz w:val="20"/>
          <w:szCs w:val="20"/>
        </w:rPr>
        <w:t>Review the Access List periodically to ensure transferred or terminated personnel are removed;</w:t>
      </w:r>
    </w:p>
    <w:p>
      <w:pPr>
        <w:numPr>
          <w:ilvl w:val="0"/>
          <w:numId w:val="131"/>
        </w:numPr>
        <w:ind w:left="720" w:hanging="192"/>
        <w:jc w:val="left"/>
        <w:rPr>
          <w:rFonts w:eastAsia="Arial" w:cs="Arial"/>
          <w:sz w:val="20"/>
          <w:szCs w:val="20"/>
        </w:rPr>
      </w:pPr>
      <w:r>
        <w:rPr>
          <w:rFonts w:eastAsia="Arial" w:cs="Arial"/>
          <w:sz w:val="20"/>
          <w:szCs w:val="20"/>
        </w:rPr>
        <w:t>implement and maintain control procedures that segregate employees who are allowed access to client information from those who are not allowed such access;</w:t>
      </w:r>
    </w:p>
    <w:p>
      <w:pPr>
        <w:numPr>
          <w:ilvl w:val="0"/>
          <w:numId w:val="131"/>
        </w:numPr>
        <w:ind w:left="720" w:hanging="192"/>
        <w:jc w:val="left"/>
        <w:rPr>
          <w:rFonts w:eastAsia="Arial" w:cs="Arial"/>
          <w:sz w:val="20"/>
          <w:szCs w:val="20"/>
        </w:rPr>
      </w:pPr>
      <w:r>
        <w:rPr>
          <w:rFonts w:eastAsia="Arial" w:cs="Arial"/>
          <w:sz w:val="20"/>
          <w:szCs w:val="20"/>
        </w:rPr>
        <w:t>implement and maintain controls designed to prevent employees from providing client information to unauthorized individuals who may seek to obtain this information through fraudulent means;</w:t>
      </w:r>
    </w:p>
    <w:p>
      <w:pPr>
        <w:numPr>
          <w:ilvl w:val="0"/>
          <w:numId w:val="131"/>
        </w:numPr>
        <w:ind w:left="720" w:hanging="192"/>
        <w:jc w:val="left"/>
        <w:rPr>
          <w:rFonts w:eastAsia="Arial" w:cs="Arial"/>
          <w:sz w:val="20"/>
          <w:szCs w:val="20"/>
        </w:rPr>
      </w:pPr>
      <w:r>
        <w:rPr>
          <w:rFonts w:eastAsia="Arial" w:cs="Arial"/>
          <w:sz w:val="20"/>
          <w:szCs w:val="20"/>
        </w:rPr>
        <w:t>require employees to execute a Privacy Procedures Acknowledgement Form following review of these Privacy Procedures;</w:t>
      </w:r>
    </w:p>
    <w:p>
      <w:pPr>
        <w:numPr>
          <w:ilvl w:val="0"/>
          <w:numId w:val="131"/>
        </w:numPr>
        <w:ind w:left="720" w:hanging="192"/>
        <w:jc w:val="left"/>
        <w:rPr>
          <w:rFonts w:eastAsia="Arial" w:cs="Arial"/>
          <w:sz w:val="20"/>
          <w:szCs w:val="20"/>
        </w:rPr>
      </w:pPr>
      <w:r>
        <w:rPr>
          <w:rFonts w:eastAsia="Arial" w:cs="Arial"/>
          <w:sz w:val="20"/>
          <w:szCs w:val="20"/>
        </w:rPr>
        <w:t>conduct an annual training program designed to ensure that employees are aware of, and comply with, these Privacy Procedures; and</w:t>
      </w:r>
    </w:p>
    <w:p>
      <w:pPr>
        <w:numPr>
          <w:ilvl w:val="0"/>
          <w:numId w:val="131"/>
        </w:numPr>
        <w:spacing w:after="200"/>
        <w:ind w:left="720" w:hanging="192"/>
        <w:jc w:val="left"/>
        <w:rPr>
          <w:rFonts w:eastAsia="Arial" w:cs="Arial"/>
          <w:sz w:val="20"/>
          <w:szCs w:val="20"/>
        </w:rPr>
      </w:pPr>
      <w:r>
        <w:rPr>
          <w:rFonts w:eastAsia="Arial" w:cs="Arial"/>
          <w:sz w:val="20"/>
          <w:szCs w:val="20"/>
        </w:rPr>
        <w:t>implement procedures to prevent terminated employees, who have been removed from the Access List, from accessing records containing personal information, including immediately terminating their physical and electronic access to such records, deactivating their passwords and eliminating their user names.</w:t>
      </w:r>
    </w:p>
    <w:p>
      <w:bookmarkEnd w:id="107"/>
      <w:bookmarkStart w:id="108" w:name="Sec_Chp_061016102248171_061016102248718"/>
    </w:p>
    <w:p>
      <w:pPr>
        <w:pStyle w:val="Heading5"/>
      </w:pPr>
      <w:r>
        <w:t>3.3.12.6.2 Encryption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make sure that KCD encrypts electronic client information while in transit or in storage on networks or systems to which unauthorized individuals may have access. KCD's website (if any) and certain other electronic files will be encrypted.</w:t>
      </w:r>
    </w:p>
    <w:p>
      <w:pPr>
        <w:pStyle w:val="normal0"/>
        <w:spacing w:before="200" w:after="200"/>
        <w:rPr>
          <w:rFonts w:eastAsia="Arial" w:cs="Arial"/>
          <w:sz w:val="20"/>
          <w:szCs w:val="20"/>
        </w:rPr>
      </w:pPr>
      <w:r>
        <w:rPr>
          <w:rFonts w:eastAsia="Arial" w:cs="Arial"/>
          <w:sz w:val="20"/>
          <w:szCs w:val="20"/>
        </w:rPr>
        <w:t xml:space="preserve">KCD will take other measures to prevent insiders and outsiders from gaining access to clients' personal information, including preventing insiders and outsiders from obtaining client information under false pretenses. KCD will consider implementing platform and/or application level controls that require a user ID and password and other measures to ensure the correct identity of any person seeking information. This system will enforce minimum password lengths, ID suspension after excessive password violations and forced periodic password changing. </w:t>
      </w:r>
    </w:p>
    <w:p>
      <w:bookmarkEnd w:id="108"/>
      <w:bookmarkStart w:id="109" w:name="Sec_Chp_061016102248171_0610161022487181"/>
    </w:p>
    <w:p>
      <w:pPr>
        <w:pStyle w:val="Heading6"/>
      </w:pPr>
      <w:r>
        <w:t>3.3.12.6.2.1 Insiders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Users employed by KCD will be granted access to systems, applications and data files based on job-based authorization models that are developed in alignment with job responsibilities and segregation of duties.</w:t>
      </w:r>
    </w:p>
    <w:p>
      <w:bookmarkEnd w:id="109"/>
      <w:bookmarkStart w:id="110" w:name="Sec_Chp_061016102248171_0610161022487182"/>
    </w:p>
    <w:p>
      <w:pPr>
        <w:pStyle w:val="Heading6"/>
      </w:pPr>
      <w:r>
        <w:t>3.3.12.6.2.2 Outsiders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Outsiders (</w:t>
      </w:r>
      <w:r>
        <w:rPr>
          <w:rFonts w:eastAsia="Arial" w:cs="Arial"/>
          <w:i/>
          <w:iCs/>
          <w:sz w:val="20"/>
          <w:szCs w:val="20"/>
        </w:rPr>
        <w:t>i.e.,</w:t>
      </w:r>
      <w:r>
        <w:rPr>
          <w:rFonts w:eastAsia="Arial" w:cs="Arial"/>
          <w:sz w:val="20"/>
          <w:szCs w:val="20"/>
        </w:rPr>
        <w:t xml:space="preserve"> non-Firm personnel) will be prevented access to systems through firewalls, as provided elsewhere in these procedures.</w:t>
      </w:r>
    </w:p>
    <w:p>
      <w:bookmarkEnd w:id="110"/>
      <w:bookmarkStart w:id="111" w:name="Sec_Chp_061016102248171_061016102248734"/>
    </w:p>
    <w:p>
      <w:pPr>
        <w:pStyle w:val="Heading5"/>
      </w:pPr>
      <w:r>
        <w:t>3.3.12.6.3 Physical Records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cause KCD to implement:</w:t>
      </w:r>
    </w:p>
    <w:p>
      <w:pPr>
        <w:numPr>
          <w:ilvl w:val="0"/>
          <w:numId w:val="132"/>
        </w:numPr>
        <w:spacing w:before="200"/>
        <w:ind w:left="720" w:hanging="192"/>
        <w:jc w:val="left"/>
        <w:rPr>
          <w:rFonts w:eastAsia="Arial" w:cs="Arial"/>
          <w:sz w:val="20"/>
          <w:szCs w:val="20"/>
        </w:rPr>
      </w:pPr>
      <w:r>
        <w:rPr>
          <w:rFonts w:eastAsia="Arial" w:cs="Arial"/>
          <w:sz w:val="20"/>
          <w:szCs w:val="20"/>
        </w:rPr>
        <w:t xml:space="preserve">physical safeguards such as locked facilities, storage and containers, to protect non-public personal information that is in hard copy. Such safeguards will be designed to protect physical records against destruction, loss, or damage due to potential environmental hazards, such as fire and water damage or technological failures; and </w:t>
      </w:r>
    </w:p>
    <w:p>
      <w:pPr>
        <w:numPr>
          <w:ilvl w:val="0"/>
          <w:numId w:val="132"/>
        </w:numPr>
        <w:spacing w:after="200"/>
        <w:ind w:left="720" w:hanging="192"/>
        <w:jc w:val="left"/>
        <w:rPr>
          <w:rFonts w:eastAsia="Arial" w:cs="Arial"/>
          <w:sz w:val="20"/>
          <w:szCs w:val="20"/>
        </w:rPr>
      </w:pPr>
      <w:r>
        <w:rPr>
          <w:rFonts w:eastAsia="Arial" w:cs="Arial"/>
          <w:sz w:val="20"/>
          <w:szCs w:val="20"/>
        </w:rPr>
        <w:t>restrictions upon the physical access to such information.</w:t>
      </w:r>
    </w:p>
    <w:p>
      <w:bookmarkEnd w:id="111"/>
      <w:bookmarkStart w:id="112" w:name="Sec_Chp_061016102248171_0610161022487343"/>
    </w:p>
    <w:p>
      <w:pPr>
        <w:pStyle w:val="Heading5"/>
      </w:pPr>
      <w:r>
        <w:t>3.3.12.6.4 Information Location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identify all locations of information and identify and record which records contained therein are personal information. Potential locations of records include computer systems, storage mediums, laptops and other portable information storage devices. With respect to portable storage devices containing personal information, KCD shall limit who shall have access to such devices and when such devices may leave secured areas of KCD. Electronic files containing client information will operate under a "lock out" system whereby passwords or some other form of verification will be required to access client data.</w:t>
      </w:r>
    </w:p>
    <w:p>
      <w:bookmarkEnd w:id="112"/>
      <w:bookmarkStart w:id="113" w:name="Sec_Chp_061016102248171_061016102248750"/>
    </w:p>
    <w:p>
      <w:pPr>
        <w:pStyle w:val="Heading5"/>
      </w:pPr>
      <w:r>
        <w:t>3.3.12.6.5 Firewalls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equip its computer systems that maintain personal information and that are connected to the Internet to:</w:t>
      </w:r>
    </w:p>
    <w:p>
      <w:pPr>
        <w:numPr>
          <w:ilvl w:val="0"/>
          <w:numId w:val="133"/>
        </w:numPr>
        <w:spacing w:before="200"/>
        <w:ind w:left="720" w:hanging="192"/>
        <w:jc w:val="left"/>
        <w:rPr>
          <w:rFonts w:eastAsia="Arial" w:cs="Arial"/>
          <w:sz w:val="20"/>
          <w:szCs w:val="20"/>
        </w:rPr>
      </w:pPr>
      <w:r>
        <w:rPr>
          <w:rFonts w:eastAsia="Arial" w:cs="Arial"/>
          <w:sz w:val="20"/>
          <w:szCs w:val="20"/>
        </w:rPr>
        <w:t>provide warnings of possible attacks or intrusions into information systems, accompanied by response mechanisms that take appropriate action when unauthorized access to protected information is suspected or detected; and</w:t>
      </w:r>
    </w:p>
    <w:p>
      <w:pPr>
        <w:numPr>
          <w:ilvl w:val="0"/>
          <w:numId w:val="133"/>
        </w:numPr>
        <w:spacing w:after="200"/>
        <w:ind w:left="720" w:hanging="192"/>
        <w:jc w:val="left"/>
        <w:rPr>
          <w:rFonts w:eastAsia="Arial" w:cs="Arial"/>
          <w:sz w:val="20"/>
          <w:szCs w:val="20"/>
        </w:rPr>
      </w:pPr>
      <w:r>
        <w:rPr>
          <w:rFonts w:eastAsia="Arial" w:cs="Arial"/>
          <w:sz w:val="20"/>
          <w:szCs w:val="20"/>
        </w:rPr>
        <w:t>have an up-to-date version of system security agent software that includes malware protection and patches and virus definitions.</w:t>
      </w:r>
    </w:p>
    <w:p>
      <w:bookmarkEnd w:id="113"/>
      <w:bookmarkStart w:id="114" w:name="Sec_Chp_061016102248171_0610161022487183"/>
    </w:p>
    <w:p>
      <w:pPr>
        <w:pStyle w:val="Heading5"/>
      </w:pPr>
      <w:r>
        <w:t>3.3.12.6.6 Software Changes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time-to-time, KCD changes, updates or otherwise modifies the software it uses to access and store client information, as well as to carry out the operations of KCD. In an effort to prevent unauthorized modifications to software and applications, KCD, when changing or modifying such software, shall:</w:t>
      </w:r>
    </w:p>
    <w:p>
      <w:pPr>
        <w:numPr>
          <w:ilvl w:val="0"/>
          <w:numId w:val="134"/>
        </w:numPr>
        <w:spacing w:before="200"/>
        <w:ind w:left="720" w:hanging="192"/>
        <w:jc w:val="left"/>
        <w:rPr>
          <w:rFonts w:eastAsia="Arial" w:cs="Arial"/>
          <w:sz w:val="20"/>
          <w:szCs w:val="20"/>
        </w:rPr>
      </w:pPr>
      <w:r>
        <w:rPr>
          <w:rFonts w:eastAsia="Arial" w:cs="Arial"/>
          <w:sz w:val="20"/>
          <w:szCs w:val="20"/>
        </w:rPr>
        <w:t>Require any modification to Firm software to be approved in writing by a senior officer and the CCO of KCD;</w:t>
      </w:r>
    </w:p>
    <w:p>
      <w:pPr>
        <w:numPr>
          <w:ilvl w:val="0"/>
          <w:numId w:val="134"/>
        </w:numPr>
        <w:ind w:left="720" w:hanging="192"/>
        <w:jc w:val="left"/>
        <w:rPr>
          <w:rFonts w:eastAsia="Arial" w:cs="Arial"/>
          <w:sz w:val="20"/>
          <w:szCs w:val="20"/>
        </w:rPr>
      </w:pPr>
      <w:r>
        <w:rPr>
          <w:rFonts w:eastAsia="Arial" w:cs="Arial"/>
          <w:sz w:val="20"/>
          <w:szCs w:val="20"/>
        </w:rPr>
        <w:t>Limit the access of employees and outside contractors to only those necessary to be involved in the modification of the software;</w:t>
      </w:r>
    </w:p>
    <w:p>
      <w:pPr>
        <w:numPr>
          <w:ilvl w:val="0"/>
          <w:numId w:val="134"/>
        </w:numPr>
        <w:ind w:left="720" w:hanging="192"/>
        <w:jc w:val="left"/>
        <w:rPr>
          <w:rFonts w:eastAsia="Arial" w:cs="Arial"/>
          <w:sz w:val="20"/>
          <w:szCs w:val="20"/>
        </w:rPr>
      </w:pPr>
      <w:r>
        <w:rPr>
          <w:rFonts w:eastAsia="Arial" w:cs="Arial"/>
          <w:sz w:val="20"/>
          <w:szCs w:val="20"/>
        </w:rPr>
        <w:t>Where possible, segregate employees and outside contractors who perform the modification from those who test the software and the end-users of such software; and</w:t>
      </w:r>
    </w:p>
    <w:p>
      <w:pPr>
        <w:numPr>
          <w:ilvl w:val="0"/>
          <w:numId w:val="134"/>
        </w:numPr>
        <w:spacing w:after="200"/>
        <w:ind w:left="720" w:hanging="192"/>
        <w:jc w:val="left"/>
        <w:rPr>
          <w:rFonts w:eastAsia="Arial" w:cs="Arial"/>
          <w:sz w:val="20"/>
          <w:szCs w:val="20"/>
        </w:rPr>
      </w:pPr>
      <w:r>
        <w:rPr>
          <w:rFonts w:eastAsia="Arial" w:cs="Arial"/>
          <w:sz w:val="20"/>
          <w:szCs w:val="20"/>
        </w:rPr>
        <w:t>After the modifications, inspect and test the software in an attempt to discover any unauthorized modifications.</w:t>
      </w:r>
    </w:p>
    <w:p>
      <w:bookmarkEnd w:id="114"/>
      <w:bookmarkStart w:id="115" w:name="Sec_Chp_061016102248171_061016102248765"/>
    </w:p>
    <w:p>
      <w:pPr>
        <w:pStyle w:val="Heading4"/>
      </w:pPr>
      <w:r>
        <w:t>3.3.12.7 Sharing Client Information with Third Parties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No nonpublic personal information of a client may be provided to a nonaffiliated third party service provider until the Chief Compliance Officer has determined that there is a contractual agreement prohibiting the third party from disclosing or using the information other than to carry out the purposes for which the information is to be disclosed. </w:t>
      </w:r>
    </w:p>
    <w:p>
      <w:pPr>
        <w:pStyle w:val="normal0"/>
        <w:spacing w:before="200" w:after="200"/>
        <w:rPr>
          <w:rFonts w:eastAsia="Arial" w:cs="Arial"/>
          <w:sz w:val="20"/>
          <w:szCs w:val="20"/>
        </w:rPr>
      </w:pPr>
      <w:r>
        <w:rPr>
          <w:rFonts w:eastAsia="Arial" w:cs="Arial"/>
          <w:sz w:val="20"/>
          <w:szCs w:val="20"/>
        </w:rPr>
        <w:t>The Chief Compliance Officer shall:</w:t>
      </w:r>
    </w:p>
    <w:p>
      <w:pPr>
        <w:numPr>
          <w:ilvl w:val="0"/>
          <w:numId w:val="135"/>
        </w:numPr>
        <w:spacing w:before="200"/>
        <w:ind w:left="720" w:hanging="192"/>
        <w:jc w:val="left"/>
        <w:rPr>
          <w:rFonts w:eastAsia="Arial" w:cs="Arial"/>
          <w:sz w:val="20"/>
          <w:szCs w:val="20"/>
        </w:rPr>
      </w:pPr>
      <w:r>
        <w:rPr>
          <w:rFonts w:eastAsia="Arial" w:cs="Arial"/>
          <w:sz w:val="20"/>
          <w:szCs w:val="20"/>
        </w:rPr>
        <w:t xml:space="preserve">evaluate the privacy information procedures of service providers prior to such service provider having access to personal information; </w:t>
      </w:r>
    </w:p>
    <w:p>
      <w:pPr>
        <w:numPr>
          <w:ilvl w:val="0"/>
          <w:numId w:val="135"/>
        </w:numPr>
        <w:ind w:left="720" w:hanging="192"/>
        <w:jc w:val="left"/>
        <w:rPr>
          <w:rFonts w:eastAsia="Arial" w:cs="Arial"/>
          <w:sz w:val="20"/>
          <w:szCs w:val="20"/>
        </w:rPr>
      </w:pPr>
      <w:r>
        <w:rPr>
          <w:rFonts w:eastAsia="Arial" w:cs="Arial"/>
          <w:sz w:val="20"/>
          <w:szCs w:val="20"/>
        </w:rPr>
        <w:t xml:space="preserve">require, by contract, that each service provider implement appropriate measures designed to meet the objectives of these procedures; </w:t>
      </w:r>
    </w:p>
    <w:p>
      <w:pPr>
        <w:numPr>
          <w:ilvl w:val="0"/>
          <w:numId w:val="135"/>
        </w:numPr>
        <w:ind w:left="720" w:hanging="192"/>
        <w:jc w:val="left"/>
        <w:rPr>
          <w:rFonts w:eastAsia="Arial" w:cs="Arial"/>
          <w:sz w:val="20"/>
          <w:szCs w:val="20"/>
        </w:rPr>
      </w:pPr>
      <w:r>
        <w:rPr>
          <w:rFonts w:eastAsia="Arial" w:cs="Arial"/>
          <w:sz w:val="20"/>
          <w:szCs w:val="20"/>
        </w:rPr>
        <w:t>monitor its compliance therewith, and</w:t>
      </w:r>
    </w:p>
    <w:p>
      <w:pPr>
        <w:numPr>
          <w:ilvl w:val="0"/>
          <w:numId w:val="135"/>
        </w:numPr>
        <w:spacing w:after="200"/>
        <w:ind w:left="720" w:hanging="192"/>
        <w:jc w:val="left"/>
        <w:rPr>
          <w:rFonts w:eastAsia="Arial" w:cs="Arial"/>
          <w:sz w:val="20"/>
          <w:szCs w:val="20"/>
        </w:rPr>
      </w:pPr>
      <w:r>
        <w:rPr>
          <w:rFonts w:eastAsia="Arial" w:cs="Arial"/>
          <w:sz w:val="20"/>
          <w:szCs w:val="20"/>
        </w:rPr>
        <w:t xml:space="preserve">approve each service provider prior to that service provider having access to personal information. </w:t>
      </w:r>
    </w:p>
    <w:p>
      <w:bookmarkEnd w:id="115"/>
      <w:bookmarkStart w:id="116" w:name="Sec_Chp_061016102248171_061016102248781"/>
    </w:p>
    <w:p>
      <w:pPr>
        <w:pStyle w:val="Heading4"/>
      </w:pPr>
      <w:r>
        <w:t>3.3.12.8 Closing Client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Either KCD or the client may close a client account at any time upon reasonable notice in writing pursuant to the terms of the client's investment advisory agreement. Account closing may also occur because of other events, including the death of a client, a client becoming incapacitated or a legal action. Accounts shall be closed in accordance with the following procedures:</w:t>
      </w:r>
    </w:p>
    <w:p>
      <w:pPr>
        <w:numPr>
          <w:ilvl w:val="0"/>
          <w:numId w:val="136"/>
        </w:numPr>
        <w:spacing w:before="200"/>
        <w:ind w:left="720" w:hanging="267"/>
        <w:jc w:val="left"/>
        <w:rPr>
          <w:rFonts w:eastAsia="Arial" w:cs="Arial"/>
          <w:sz w:val="20"/>
          <w:szCs w:val="20"/>
        </w:rPr>
      </w:pPr>
      <w:r>
        <w:rPr>
          <w:rFonts w:eastAsia="Arial" w:cs="Arial"/>
          <w:sz w:val="20"/>
          <w:szCs w:val="20"/>
        </w:rPr>
        <w:t xml:space="preserve">Upon receipt of notice that a client's account is being closed, KCD will inform the applicable portfolio managers to discontinue trading in the client's account. The portfolio manager must receive approval from the client for any pending or proposed transactions prior to execution. </w:t>
      </w:r>
    </w:p>
    <w:p>
      <w:pPr>
        <w:numPr>
          <w:ilvl w:val="0"/>
          <w:numId w:val="136"/>
        </w:numPr>
        <w:ind w:left="720" w:hanging="267"/>
        <w:jc w:val="left"/>
        <w:rPr>
          <w:rFonts w:eastAsia="Arial" w:cs="Arial"/>
          <w:sz w:val="20"/>
          <w:szCs w:val="20"/>
        </w:rPr>
      </w:pPr>
      <w:r>
        <w:rPr>
          <w:rFonts w:eastAsia="Arial" w:cs="Arial"/>
          <w:sz w:val="20"/>
          <w:szCs w:val="20"/>
        </w:rPr>
        <w:t xml:space="preserve">The e-mail, letter or other communication notifying KCD of the closure of the account will be forwarded to KCD's account department and/or third-party custodian so that the processing of the account closure may commence. </w:t>
      </w:r>
    </w:p>
    <w:p>
      <w:pPr>
        <w:numPr>
          <w:ilvl w:val="0"/>
          <w:numId w:val="136"/>
        </w:numPr>
        <w:ind w:left="720" w:hanging="267"/>
        <w:jc w:val="left"/>
        <w:rPr>
          <w:rFonts w:eastAsia="Arial" w:cs="Arial"/>
          <w:sz w:val="20"/>
          <w:szCs w:val="20"/>
        </w:rPr>
      </w:pPr>
      <w:r>
        <w:rPr>
          <w:rFonts w:eastAsia="Arial" w:cs="Arial"/>
          <w:sz w:val="20"/>
          <w:szCs w:val="20"/>
        </w:rPr>
        <w:t xml:space="preserve">The department or third-party custodian responsible for advisory fee billing will verify the closing date and prepare a closing invoice. The closing invoice will be sent to the third-party custodian or client, as appropriate. </w:t>
      </w:r>
    </w:p>
    <w:p>
      <w:pPr>
        <w:numPr>
          <w:ilvl w:val="0"/>
          <w:numId w:val="136"/>
        </w:numPr>
        <w:ind w:left="720" w:hanging="267"/>
        <w:jc w:val="left"/>
        <w:rPr>
          <w:rFonts w:eastAsia="Arial" w:cs="Arial"/>
          <w:sz w:val="20"/>
          <w:szCs w:val="20"/>
        </w:rPr>
      </w:pPr>
      <w:r>
        <w:rPr>
          <w:rFonts w:eastAsia="Arial" w:cs="Arial"/>
          <w:sz w:val="20"/>
          <w:szCs w:val="20"/>
        </w:rPr>
        <w:t xml:space="preserve">The closed account shall be removed from clearing firm or third party trading systems and billing systems. </w:t>
      </w:r>
    </w:p>
    <w:p>
      <w:pPr>
        <w:numPr>
          <w:ilvl w:val="0"/>
          <w:numId w:val="136"/>
        </w:numPr>
        <w:ind w:left="720" w:hanging="267"/>
        <w:jc w:val="left"/>
        <w:rPr>
          <w:rFonts w:eastAsia="Arial" w:cs="Arial"/>
          <w:sz w:val="20"/>
          <w:szCs w:val="20"/>
        </w:rPr>
      </w:pPr>
      <w:r>
        <w:rPr>
          <w:rFonts w:eastAsia="Arial" w:cs="Arial"/>
          <w:sz w:val="20"/>
          <w:szCs w:val="20"/>
        </w:rPr>
        <w:t xml:space="preserve">An account closing notice will be circulated to all relevant KCD personnel or departments and third-party service providers. </w:t>
      </w:r>
    </w:p>
    <w:p>
      <w:pPr>
        <w:numPr>
          <w:ilvl w:val="0"/>
          <w:numId w:val="136"/>
        </w:numPr>
        <w:spacing w:after="200"/>
        <w:ind w:left="720" w:hanging="267"/>
        <w:jc w:val="left"/>
        <w:rPr>
          <w:rFonts w:eastAsia="Arial" w:cs="Arial"/>
          <w:sz w:val="20"/>
          <w:szCs w:val="20"/>
        </w:rPr>
      </w:pPr>
      <w:r>
        <w:rPr>
          <w:rFonts w:eastAsia="Arial" w:cs="Arial"/>
          <w:sz w:val="20"/>
          <w:szCs w:val="20"/>
        </w:rPr>
        <w:t>The client account file, including account closing documentation, will be maintained in the books and records of KCD in accordance with established document retention procedures.</w:t>
      </w:r>
    </w:p>
    <w:p>
      <w:bookmarkEnd w:id="116"/>
      <w:bookmarkStart w:id="117" w:name="Sec_Chp_061016102248171_061016102248796"/>
    </w:p>
    <w:p>
      <w:pPr>
        <w:pStyle w:val="Heading4"/>
      </w:pPr>
      <w:r>
        <w:t>3.3.12.9 Reports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report to the senior officers of KCD on the condition and status of the Privacy Procedures not less frequently than annually. Employees of KCD shall report any breaches or violations of these Privacy Procedures to the Chief Compliance Officer.</w:t>
      </w:r>
    </w:p>
    <w:p>
      <w:bookmarkEnd w:id="117"/>
    </w:p>
    <w:p>
      <w:pPr>
        <w:pStyle w:val="Heading4"/>
      </w:pPr>
      <w:r>
        <w:t>3.3.12.10 Passwords/Login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institute the following secure user authentication procedures (</w:t>
      </w:r>
      <w:r>
        <w:rPr>
          <w:rStyle w:val="Emphasis"/>
          <w:rFonts w:eastAsia="Arial" w:cs="Arial"/>
          <w:i/>
          <w:iCs/>
          <w:sz w:val="20"/>
          <w:szCs w:val="20"/>
        </w:rPr>
        <w:t>i.e.,</w:t>
      </w:r>
      <w:r>
        <w:rPr>
          <w:rFonts w:eastAsia="Arial" w:cs="Arial"/>
          <w:sz w:val="20"/>
          <w:szCs w:val="20"/>
        </w:rPr>
        <w:t xml:space="preserve"> procedures designed to prevent outsiders from "hacking" into or otherwise accessing personal information):</w:t>
      </w:r>
    </w:p>
    <w:p>
      <w:pPr>
        <w:numPr>
          <w:ilvl w:val="0"/>
          <w:numId w:val="137"/>
        </w:numPr>
        <w:spacing w:before="200"/>
        <w:ind w:left="720" w:hanging="192"/>
        <w:jc w:val="left"/>
        <w:rPr>
          <w:rFonts w:eastAsia="Arial" w:cs="Arial"/>
          <w:sz w:val="20"/>
          <w:szCs w:val="20"/>
        </w:rPr>
      </w:pPr>
      <w:r>
        <w:rPr>
          <w:rFonts w:eastAsia="Arial" w:cs="Arial"/>
          <w:sz w:val="20"/>
          <w:szCs w:val="20"/>
        </w:rPr>
        <w:t>Require clients to have passwords (or user IDs) before logging into their accounts issued by provider;</w:t>
      </w:r>
    </w:p>
    <w:p>
      <w:pPr>
        <w:numPr>
          <w:ilvl w:val="0"/>
          <w:numId w:val="137"/>
        </w:numPr>
        <w:ind w:left="720" w:hanging="192"/>
        <w:jc w:val="left"/>
        <w:rPr>
          <w:rFonts w:eastAsia="Arial" w:cs="Arial"/>
          <w:sz w:val="20"/>
          <w:szCs w:val="20"/>
        </w:rPr>
      </w:pPr>
      <w:r>
        <w:rPr>
          <w:rFonts w:eastAsia="Arial" w:cs="Arial"/>
          <w:sz w:val="20"/>
          <w:szCs w:val="20"/>
        </w:rPr>
        <w:t>Passwords will meet industry standards for so-called "strong" passwords, including specified length and alphanumeric/special character combinations and the use of unique identifier technologies (</w:t>
      </w:r>
      <w:r>
        <w:rPr>
          <w:rStyle w:val="Emphasis"/>
          <w:rFonts w:eastAsia="Arial" w:cs="Arial"/>
          <w:i/>
          <w:iCs/>
          <w:sz w:val="20"/>
          <w:szCs w:val="20"/>
        </w:rPr>
        <w:t>e.g.,</w:t>
      </w:r>
      <w:r>
        <w:rPr>
          <w:rFonts w:eastAsia="Arial" w:cs="Arial"/>
          <w:sz w:val="20"/>
          <w:szCs w:val="20"/>
        </w:rPr>
        <w:t xml:space="preserve"> biometrics or token devices).</w:t>
      </w:r>
    </w:p>
    <w:p>
      <w:pPr>
        <w:numPr>
          <w:ilvl w:val="0"/>
          <w:numId w:val="137"/>
        </w:numPr>
        <w:ind w:left="720" w:hanging="192"/>
        <w:jc w:val="left"/>
        <w:rPr>
          <w:rFonts w:eastAsia="Arial" w:cs="Arial"/>
          <w:sz w:val="20"/>
          <w:szCs w:val="20"/>
        </w:rPr>
      </w:pPr>
      <w:r>
        <w:rPr>
          <w:rFonts w:eastAsia="Arial" w:cs="Arial"/>
          <w:sz w:val="20"/>
          <w:szCs w:val="20"/>
        </w:rPr>
        <w:t>Firm passwords will be changed immediately upon issuance for the first-use and initial passwords will be securely transmitted to the individual only by the Chief Compliance Officer or Chief Information Officer;</w:t>
      </w:r>
    </w:p>
    <w:p>
      <w:pPr>
        <w:numPr>
          <w:ilvl w:val="0"/>
          <w:numId w:val="137"/>
        </w:numPr>
        <w:ind w:left="720" w:hanging="192"/>
        <w:jc w:val="left"/>
        <w:rPr>
          <w:rFonts w:eastAsia="Arial" w:cs="Arial"/>
          <w:sz w:val="20"/>
          <w:szCs w:val="20"/>
        </w:rPr>
      </w:pPr>
      <w:r>
        <w:rPr>
          <w:rFonts w:eastAsia="Arial" w:cs="Arial"/>
          <w:sz w:val="20"/>
          <w:szCs w:val="20"/>
        </w:rPr>
        <w:t xml:space="preserve">Passwords must be changed frequently as determined by KCD and will expire after a certain period of time designated by the Chief Compliance Officer or Chief Information Officer including, at a minimum: </w:t>
      </w:r>
    </w:p>
    <w:p>
      <w:pPr>
        <w:numPr>
          <w:ilvl w:val="1"/>
          <w:numId w:val="137"/>
        </w:numPr>
        <w:ind w:left="1440" w:hanging="220"/>
        <w:jc w:val="left"/>
        <w:rPr>
          <w:rFonts w:eastAsia="Arial" w:cs="Arial"/>
          <w:sz w:val="20"/>
          <w:szCs w:val="20"/>
        </w:rPr>
      </w:pPr>
      <w:r>
        <w:rPr>
          <w:rFonts w:eastAsia="Arial" w:cs="Arial"/>
          <w:sz w:val="20"/>
          <w:szCs w:val="20"/>
        </w:rPr>
        <w:t>passwords must be changed every six (6) months.</w:t>
      </w:r>
    </w:p>
    <w:p>
      <w:pPr>
        <w:numPr>
          <w:ilvl w:val="1"/>
          <w:numId w:val="137"/>
        </w:numPr>
        <w:ind w:left="1440" w:hanging="220"/>
        <w:jc w:val="left"/>
        <w:rPr>
          <w:rFonts w:eastAsia="Arial" w:cs="Arial"/>
          <w:sz w:val="20"/>
          <w:szCs w:val="20"/>
        </w:rPr>
      </w:pPr>
      <w:r>
        <w:rPr>
          <w:rFonts w:eastAsia="Arial" w:cs="Arial"/>
          <w:sz w:val="20"/>
          <w:szCs w:val="20"/>
        </w:rPr>
        <w:t>passwords must not be reused for at least four (4) generations.</w:t>
      </w:r>
    </w:p>
    <w:p>
      <w:pPr>
        <w:numPr>
          <w:ilvl w:val="1"/>
          <w:numId w:val="137"/>
        </w:numPr>
        <w:ind w:left="1440" w:hanging="220"/>
        <w:jc w:val="left"/>
        <w:rPr>
          <w:rFonts w:eastAsia="Arial" w:cs="Arial"/>
          <w:sz w:val="20"/>
          <w:szCs w:val="20"/>
        </w:rPr>
      </w:pPr>
      <w:r>
        <w:rPr>
          <w:rFonts w:eastAsia="Arial" w:cs="Arial"/>
          <w:sz w:val="20"/>
          <w:szCs w:val="20"/>
        </w:rPr>
        <w:t>passwords must not be changed more than one (1) time per day.</w:t>
      </w:r>
    </w:p>
    <w:p>
      <w:pPr>
        <w:numPr>
          <w:ilvl w:val="1"/>
          <w:numId w:val="137"/>
        </w:numPr>
        <w:ind w:left="1440" w:hanging="220"/>
        <w:jc w:val="left"/>
        <w:rPr>
          <w:rFonts w:eastAsia="Arial" w:cs="Arial"/>
          <w:sz w:val="20"/>
          <w:szCs w:val="20"/>
        </w:rPr>
      </w:pPr>
      <w:r>
        <w:rPr>
          <w:rFonts w:eastAsia="Arial" w:cs="Arial"/>
          <w:sz w:val="20"/>
          <w:szCs w:val="20"/>
        </w:rPr>
        <w:t>at least four (4) characters must be changed when new passwords are created.</w:t>
      </w:r>
    </w:p>
    <w:p>
      <w:pPr>
        <w:numPr>
          <w:ilvl w:val="1"/>
          <w:numId w:val="137"/>
        </w:numPr>
        <w:ind w:left="1440" w:hanging="220"/>
        <w:jc w:val="left"/>
        <w:rPr>
          <w:rFonts w:eastAsia="Arial" w:cs="Arial"/>
          <w:sz w:val="20"/>
          <w:szCs w:val="20"/>
        </w:rPr>
      </w:pPr>
      <w:r>
        <w:rPr>
          <w:rFonts w:eastAsia="Arial" w:cs="Arial"/>
          <w:sz w:val="20"/>
          <w:szCs w:val="20"/>
        </w:rPr>
        <w:t>new passwords must comply with the password requirements defined herein.</w:t>
      </w:r>
    </w:p>
    <w:p>
      <w:pPr>
        <w:numPr>
          <w:ilvl w:val="0"/>
          <w:numId w:val="137"/>
        </w:numPr>
        <w:ind w:left="720" w:hanging="192"/>
        <w:jc w:val="left"/>
        <w:rPr>
          <w:rFonts w:eastAsia="Arial" w:cs="Arial"/>
          <w:sz w:val="20"/>
          <w:szCs w:val="20"/>
        </w:rPr>
      </w:pPr>
      <w:r>
        <w:rPr>
          <w:rFonts w:eastAsia="Arial" w:cs="Arial"/>
          <w:sz w:val="20"/>
          <w:szCs w:val="20"/>
        </w:rPr>
        <w:t>Clients shall have the ability to change their own passwords;</w:t>
      </w:r>
    </w:p>
    <w:p>
      <w:pPr>
        <w:numPr>
          <w:ilvl w:val="0"/>
          <w:numId w:val="137"/>
        </w:numPr>
        <w:ind w:left="720" w:hanging="192"/>
        <w:jc w:val="left"/>
        <w:rPr>
          <w:rFonts w:eastAsia="Arial" w:cs="Arial"/>
          <w:sz w:val="20"/>
          <w:szCs w:val="20"/>
        </w:rPr>
      </w:pPr>
      <w:r>
        <w:rPr>
          <w:rFonts w:eastAsia="Arial" w:cs="Arial"/>
          <w:sz w:val="20"/>
          <w:szCs w:val="20"/>
        </w:rPr>
        <w:t>After a specified number of login attempts determined by the Chief Compliance Officer or Chief Information Officer, a person attempting such login shall be automatically locked out;</w:t>
      </w:r>
    </w:p>
    <w:p>
      <w:pPr>
        <w:numPr>
          <w:ilvl w:val="0"/>
          <w:numId w:val="137"/>
        </w:numPr>
        <w:ind w:left="720" w:hanging="192"/>
        <w:jc w:val="left"/>
        <w:rPr>
          <w:rFonts w:eastAsia="Arial" w:cs="Arial"/>
          <w:sz w:val="20"/>
          <w:szCs w:val="20"/>
        </w:rPr>
      </w:pPr>
      <w:r>
        <w:rPr>
          <w:rFonts w:eastAsia="Arial" w:cs="Arial"/>
          <w:sz w:val="20"/>
          <w:szCs w:val="20"/>
        </w:rPr>
        <w:t>Only a limited number of employees at KCD shall have access to the client passwords and will be issued unique identification plus passwords and the list of such persons shall be reviewed from time to time by the Chief Compliance Officer or Chief Investment Officer to take necessary actions, including when persons who have access to the list are no longer employees of KCD;</w:t>
      </w:r>
    </w:p>
    <w:p>
      <w:pPr>
        <w:numPr>
          <w:ilvl w:val="0"/>
          <w:numId w:val="137"/>
        </w:numPr>
        <w:ind w:left="720" w:hanging="192"/>
        <w:jc w:val="left"/>
        <w:rPr>
          <w:rFonts w:eastAsia="Arial" w:cs="Arial"/>
          <w:sz w:val="20"/>
          <w:szCs w:val="20"/>
        </w:rPr>
      </w:pPr>
      <w:r>
        <w:rPr>
          <w:rFonts w:eastAsia="Arial" w:cs="Arial"/>
          <w:sz w:val="20"/>
          <w:szCs w:val="20"/>
        </w:rPr>
        <w:t>Any session of a client after logging in shall be automatically timed out after a period of inactivity determined by the Chief Compliance Officer or Chief Information Officer;</w:t>
      </w:r>
    </w:p>
    <w:p>
      <w:pPr>
        <w:numPr>
          <w:ilvl w:val="0"/>
          <w:numId w:val="137"/>
        </w:numPr>
        <w:ind w:left="720" w:hanging="192"/>
        <w:jc w:val="left"/>
        <w:rPr>
          <w:rFonts w:eastAsia="Arial" w:cs="Arial"/>
          <w:sz w:val="20"/>
          <w:szCs w:val="20"/>
        </w:rPr>
      </w:pPr>
      <w:r>
        <w:rPr>
          <w:rFonts w:eastAsia="Arial" w:cs="Arial"/>
          <w:sz w:val="20"/>
          <w:szCs w:val="20"/>
        </w:rPr>
        <w:t>Firm passwords must never be written down and left in a location easily accessible or visible to others, including both paper and digital formats on untagged (unsupported) devices. Passwords should not be stored in a web browser's password manager on an untagged device;</w:t>
      </w:r>
    </w:p>
    <w:p>
      <w:pPr>
        <w:numPr>
          <w:ilvl w:val="0"/>
          <w:numId w:val="137"/>
        </w:numPr>
        <w:ind w:left="720" w:hanging="192"/>
        <w:jc w:val="left"/>
        <w:rPr>
          <w:rFonts w:eastAsia="Arial" w:cs="Arial"/>
          <w:sz w:val="20"/>
          <w:szCs w:val="20"/>
        </w:rPr>
      </w:pPr>
      <w:r>
        <w:rPr>
          <w:rFonts w:eastAsia="Arial" w:cs="Arial"/>
          <w:sz w:val="20"/>
          <w:szCs w:val="20"/>
        </w:rPr>
        <w:t>Firm employees must never leave themselves logged into an application or system where someone else can unknowingly use their account; and</w:t>
      </w:r>
    </w:p>
    <w:p>
      <w:pPr>
        <w:numPr>
          <w:ilvl w:val="0"/>
          <w:numId w:val="137"/>
        </w:numPr>
        <w:spacing w:after="200"/>
        <w:ind w:left="720" w:hanging="192"/>
        <w:jc w:val="left"/>
        <w:rPr>
          <w:rFonts w:eastAsia="Arial" w:cs="Arial"/>
          <w:sz w:val="20"/>
          <w:szCs w:val="20"/>
        </w:rPr>
      </w:pPr>
      <w:r>
        <w:rPr>
          <w:rFonts w:eastAsia="Arial" w:cs="Arial"/>
          <w:sz w:val="20"/>
          <w:szCs w:val="20"/>
        </w:rPr>
        <w:t>An employee will immediately report a shared or compromised Firm password to the Chief Compliance Officer or Chief Information Officer as a reportable security incident.</w:t>
      </w:r>
    </w:p>
    <w:p>
      <w:bookmarkStart w:id="118" w:name="Sec_Chp_061016102248171_06101610331011"/>
    </w:p>
    <w:p>
      <w:pPr>
        <w:pStyle w:val="Heading4"/>
      </w:pPr>
      <w:r>
        <w:t>3.3.12.11 State Data Security and Cybersecurity Law</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Since Massachusetts passed the first state privacy law applicable to investment advisers, other states and jurisdictions have passed similar laws. Many states now have combined privacy and cybersecurity laws applicable to investment advisers. The regulations of such states often follow the regulatory scheme established by the U.S. Congress, when it enacted the Gramm-Leach-Bliley Act (GLB) as well as the privacy rules the GLB mandated the SEC to implement, which it did when it adopted Regulation S-P. Since the roll out of GLB and Regulation S-P, cyber-attacks on advisers and their clients and other financial institutions have led to states expanding privacy regulation to require cybersecurity programs.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Therefore, many state governments, like the federal government, impose regulations governing the privacy of investment adviser client information (including imposing limitations on advisers selling and sharing such information) and requiring the safeguarding of such information. Common requirements of state data security and cybersecurity laws and regulations include:</w:t>
            </w:r>
          </w:p>
          <w:p>
            <w:pPr>
              <w:numPr>
                <w:ilvl w:val="0"/>
                <w:numId w:val="138"/>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Sending notices to clients that describe the investment adviser's policies and practices regarding the disclosure to third parties of personal client information;</w:t>
            </w:r>
          </w:p>
          <w:p>
            <w:pPr>
              <w:numPr>
                <w:ilvl w:val="0"/>
                <w:numId w:val="13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Providing clients with a reasonable opportunity to opt out of sharing their personal information with third parties;</w:t>
            </w:r>
          </w:p>
          <w:p>
            <w:pPr>
              <w:numPr>
                <w:ilvl w:val="0"/>
                <w:numId w:val="13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Defining what client personal information is;</w:t>
            </w:r>
          </w:p>
          <w:p>
            <w:pPr>
              <w:numPr>
                <w:ilvl w:val="0"/>
                <w:numId w:val="13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Establishing procedures and a program to protect client information from cybersecurity attacks and other threats;</w:t>
            </w:r>
          </w:p>
          <w:p>
            <w:pPr>
              <w:numPr>
                <w:ilvl w:val="0"/>
                <w:numId w:val="13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Implementing security procedures such as firewalls and passwords, designed to protect and safeguard client information;</w:t>
            </w:r>
          </w:p>
          <w:p>
            <w:pPr>
              <w:numPr>
                <w:ilvl w:val="0"/>
                <w:numId w:val="13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Creating a client record retention policy; and</w:t>
            </w:r>
          </w:p>
          <w:p>
            <w:pPr>
              <w:numPr>
                <w:ilvl w:val="0"/>
                <w:numId w:val="13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Prompt notification to regulators of security breaches.</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When implementing data protection and cybersecurity procedures, KCD shall ascertain the residence of each client and note the state(s) where it has offices, consult state privacy and cybersecurity laws, if any, and ensure that KCD's compliance procedures address these laws. Note, U.S. and SEC privacy laws addressed in this manual do not preempt any state privacy laws. While certain SEC privacy rules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Regulation S-P) may overlap with applicable state privacy laws, additional procedures addressing state privacy laws may be necessary. If necessary, counsel or other experts familiar with state privacy laws should be consulted.</w:t>
            </w:r>
          </w:p>
        </w:tc>
      </w:tr>
    </w:tbl>
    <w:p>
      <w:bookmarkEnd w:id="118"/>
    </w:p>
    <w:p>
      <w:pPr>
        <w:pStyle w:val="Heading3"/>
      </w:pPr>
      <w:bookmarkStart w:id="119" w:name="_Toc256000037"/>
      <w:r>
        <w:t>3.3.13 Former Clients</w:t>
      </w:r>
      <w:bookmarkEnd w:id="119"/>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follow these procedures when a person decides to no longer be a client of KCD:</w:t>
      </w:r>
    </w:p>
    <w:p>
      <w:pPr>
        <w:numPr>
          <w:ilvl w:val="0"/>
          <w:numId w:val="139"/>
        </w:numPr>
        <w:spacing w:before="200"/>
        <w:ind w:left="720" w:hanging="192"/>
        <w:jc w:val="left"/>
        <w:rPr>
          <w:rFonts w:eastAsia="Arial" w:cs="Arial"/>
          <w:sz w:val="20"/>
          <w:szCs w:val="20"/>
        </w:rPr>
      </w:pPr>
      <w:r>
        <w:rPr>
          <w:rFonts w:eastAsia="Arial" w:cs="Arial"/>
          <w:sz w:val="20"/>
          <w:szCs w:val="20"/>
        </w:rPr>
        <w:t xml:space="preserve">Document the reason(s) why the person was terminated as a client; </w:t>
      </w:r>
    </w:p>
    <w:p>
      <w:pPr>
        <w:numPr>
          <w:ilvl w:val="0"/>
          <w:numId w:val="139"/>
        </w:numPr>
        <w:ind w:left="720" w:hanging="192"/>
        <w:jc w:val="left"/>
        <w:rPr>
          <w:rFonts w:eastAsia="Arial" w:cs="Arial"/>
          <w:sz w:val="20"/>
          <w:szCs w:val="20"/>
        </w:rPr>
      </w:pPr>
      <w:r>
        <w:rPr>
          <w:rFonts w:eastAsia="Arial" w:cs="Arial"/>
          <w:sz w:val="20"/>
          <w:szCs w:val="20"/>
        </w:rPr>
        <w:t>Remove the former client from active client status on KCD's data system;</w:t>
      </w:r>
    </w:p>
    <w:p>
      <w:pPr>
        <w:numPr>
          <w:ilvl w:val="0"/>
          <w:numId w:val="139"/>
        </w:numPr>
        <w:ind w:left="720" w:hanging="192"/>
        <w:jc w:val="left"/>
        <w:rPr>
          <w:rFonts w:eastAsia="Arial" w:cs="Arial"/>
          <w:sz w:val="20"/>
          <w:szCs w:val="20"/>
        </w:rPr>
      </w:pPr>
      <w:r>
        <w:rPr>
          <w:rFonts w:eastAsia="Arial" w:cs="Arial"/>
          <w:sz w:val="20"/>
          <w:szCs w:val="20"/>
        </w:rPr>
        <w:t xml:space="preserve">Inform all relevant service providers, including the custodian, that the person is no longer a client; </w:t>
      </w:r>
    </w:p>
    <w:p>
      <w:pPr>
        <w:numPr>
          <w:ilvl w:val="0"/>
          <w:numId w:val="139"/>
        </w:numPr>
        <w:ind w:left="720" w:hanging="192"/>
        <w:jc w:val="left"/>
        <w:rPr>
          <w:rFonts w:eastAsia="Arial" w:cs="Arial"/>
          <w:sz w:val="20"/>
          <w:szCs w:val="20"/>
        </w:rPr>
      </w:pPr>
      <w:r>
        <w:rPr>
          <w:rFonts w:eastAsia="Arial" w:cs="Arial"/>
          <w:sz w:val="20"/>
          <w:szCs w:val="20"/>
        </w:rPr>
        <w:t>Take steps to liquidate the former client's positions and transmit the proceeds to the client; and</w:t>
      </w:r>
    </w:p>
    <w:p>
      <w:pPr>
        <w:numPr>
          <w:ilvl w:val="0"/>
          <w:numId w:val="139"/>
        </w:numPr>
        <w:spacing w:after="200"/>
        <w:ind w:left="720" w:hanging="192"/>
        <w:jc w:val="left"/>
        <w:rPr>
          <w:rFonts w:eastAsia="Arial" w:cs="Arial"/>
          <w:sz w:val="20"/>
          <w:szCs w:val="20"/>
        </w:rPr>
      </w:pPr>
      <w:r>
        <w:rPr>
          <w:rFonts w:eastAsia="Arial" w:cs="Arial"/>
          <w:sz w:val="20"/>
          <w:szCs w:val="20"/>
        </w:rPr>
        <w:t>Inform the Chief Compliance Officer if the former client terminated his or her relationship with KCD because of a complaint.</w:t>
      </w:r>
    </w:p>
    <w:p>
      <w:bookmarkStart w:id="120" w:name="Sec_Chp_061016102248171_0610161022487963"/>
    </w:p>
    <w:p>
      <w:pPr>
        <w:pStyle w:val="Heading3"/>
      </w:pPr>
      <w:bookmarkStart w:id="121" w:name="_Toc256000038"/>
      <w:r>
        <w:t>3.3.14 Breaches of Security of Client Information</w:t>
      </w:r>
      <w:bookmarkEnd w:id="121"/>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or his or her designee shall take the following steps in connection with unauthorized access or use of client information:</w:t>
      </w:r>
    </w:p>
    <w:p>
      <w:pPr>
        <w:numPr>
          <w:ilvl w:val="0"/>
          <w:numId w:val="140"/>
        </w:numPr>
        <w:spacing w:before="200"/>
        <w:ind w:left="720" w:hanging="267"/>
        <w:jc w:val="left"/>
        <w:rPr>
          <w:rFonts w:eastAsia="Arial" w:cs="Arial"/>
          <w:sz w:val="20"/>
          <w:szCs w:val="20"/>
        </w:rPr>
      </w:pPr>
      <w:r>
        <w:rPr>
          <w:rFonts w:eastAsia="Arial" w:cs="Arial"/>
          <w:sz w:val="20"/>
          <w:szCs w:val="20"/>
          <w:u w:val="single"/>
        </w:rPr>
        <w:t>Incident Response.</w:t>
      </w:r>
      <w:r>
        <w:rPr>
          <w:rFonts w:eastAsia="Arial" w:cs="Arial"/>
          <w:sz w:val="20"/>
          <w:szCs w:val="20"/>
        </w:rPr>
        <w:t xml:space="preserve"> When an incident involving unauthorized access to or use of sensitive client information is detected, KCD will: </w:t>
      </w:r>
    </w:p>
    <w:p>
      <w:pPr>
        <w:numPr>
          <w:ilvl w:val="1"/>
          <w:numId w:val="140"/>
        </w:numPr>
        <w:ind w:left="1440" w:hanging="267"/>
        <w:jc w:val="left"/>
        <w:rPr>
          <w:rFonts w:eastAsia="Arial" w:cs="Arial"/>
          <w:sz w:val="20"/>
          <w:szCs w:val="20"/>
        </w:rPr>
      </w:pPr>
      <w:r>
        <w:rPr>
          <w:rFonts w:eastAsia="Arial" w:cs="Arial"/>
          <w:sz w:val="20"/>
          <w:szCs w:val="20"/>
        </w:rPr>
        <w:t>promptly assess the nature and scope of the incident involving unauthorized access to or use of client information and identify the client information systems and types of client information that may have been accessed or used without authorization;</w:t>
      </w:r>
    </w:p>
    <w:p>
      <w:pPr>
        <w:numPr>
          <w:ilvl w:val="1"/>
          <w:numId w:val="140"/>
        </w:numPr>
        <w:ind w:left="1440" w:hanging="267"/>
        <w:jc w:val="left"/>
        <w:rPr>
          <w:rFonts w:eastAsia="Arial" w:cs="Arial"/>
          <w:sz w:val="20"/>
          <w:szCs w:val="20"/>
        </w:rPr>
      </w:pPr>
      <w:r>
        <w:rPr>
          <w:rFonts w:eastAsia="Arial" w:cs="Arial"/>
          <w:sz w:val="20"/>
          <w:szCs w:val="20"/>
        </w:rPr>
        <w:t>take appropriate steps to contain and control the incident to prevent further unauthorized access to or use of client information; and</w:t>
      </w:r>
    </w:p>
    <w:p>
      <w:pPr>
        <w:numPr>
          <w:ilvl w:val="1"/>
          <w:numId w:val="140"/>
        </w:numPr>
        <w:ind w:left="1440" w:hanging="256"/>
        <w:jc w:val="left"/>
        <w:rPr>
          <w:rFonts w:eastAsia="Arial" w:cs="Arial"/>
          <w:sz w:val="20"/>
          <w:szCs w:val="20"/>
        </w:rPr>
      </w:pPr>
      <w:r>
        <w:rPr>
          <w:rFonts w:eastAsia="Arial" w:cs="Arial"/>
          <w:sz w:val="20"/>
          <w:szCs w:val="20"/>
        </w:rPr>
        <w:t>notify, in the manner set forth below, each affected client whose sensitive client information was, or is reasonably likely to have been, accessed or used without authorization unless KCD determines, after a reasonable investigation of the facts and circumstances of the incident, that the sensitive client information has not been, and is not reasonably likely to be, used in a manner that would result in substantial harm or inconvenience.</w:t>
      </w:r>
    </w:p>
    <w:p>
      <w:pPr>
        <w:numPr>
          <w:ilvl w:val="0"/>
          <w:numId w:val="140"/>
        </w:numPr>
        <w:ind w:left="720" w:hanging="267"/>
        <w:jc w:val="left"/>
        <w:rPr>
          <w:rFonts w:eastAsia="Arial" w:cs="Arial"/>
          <w:sz w:val="20"/>
          <w:szCs w:val="20"/>
        </w:rPr>
      </w:pPr>
      <w:r>
        <w:rPr>
          <w:rFonts w:eastAsia="Arial" w:cs="Arial"/>
          <w:sz w:val="20"/>
          <w:szCs w:val="20"/>
          <w:u w:val="single"/>
        </w:rPr>
        <w:t>Notification.</w:t>
      </w:r>
      <w:r>
        <w:rPr>
          <w:rFonts w:eastAsia="Arial" w:cs="Arial"/>
          <w:sz w:val="20"/>
          <w:szCs w:val="20"/>
        </w:rPr>
        <w:t xml:space="preserve"> Unless KCD determines, after a reasonable investigation of the facts and circumstances of the incident of unauthorized access to or use of sensitive client information that occurred at KCD or one of its service providers that sensitive client information has not been, and is not reasonably likely to be, used in a manner that would result in substantial harm or inconvenience to the affected clients, KCD shall provide a clear and conspicuous notice, or ensure that such notice is provided by the applicable service provider, to each affected client whose sensitive client information was, or is reasonably likely to have been, accessed or used without authorization.</w:t>
      </w:r>
    </w:p>
    <w:p>
      <w:pPr>
        <w:numPr>
          <w:ilvl w:val="0"/>
          <w:numId w:val="140"/>
        </w:numPr>
        <w:ind w:left="720" w:hanging="267"/>
        <w:jc w:val="left"/>
        <w:rPr>
          <w:rFonts w:eastAsia="Arial" w:cs="Arial"/>
          <w:sz w:val="20"/>
          <w:szCs w:val="20"/>
        </w:rPr>
      </w:pPr>
      <w:r>
        <w:rPr>
          <w:rFonts w:eastAsia="Arial" w:cs="Arial"/>
          <w:sz w:val="20"/>
          <w:szCs w:val="20"/>
          <w:u w:val="single"/>
        </w:rPr>
        <w:t>Affected Clients.</w:t>
      </w:r>
      <w:r>
        <w:rPr>
          <w:rFonts w:eastAsia="Arial" w:cs="Arial"/>
          <w:sz w:val="20"/>
          <w:szCs w:val="20"/>
        </w:rPr>
        <w:t xml:space="preserve"> If an incident of unauthorized access to or use of client information has occurred or is reasonably likely to have occurred, but KCD is unable to identify which specific clients' sensitive client information has been accessed or used without authorization, KCD will provide notice to all clients whose sensitive client information resides in KCD's or a service provider's client information system that was, or was reasonably likely to have been, accessed or used without authorization. </w:t>
      </w:r>
      <w:r>
        <w:rPr>
          <w:rFonts w:eastAsia="Arial" w:cs="Arial"/>
          <w:sz w:val="20"/>
          <w:szCs w:val="20"/>
        </w:rPr>
        <w:br/>
      </w:r>
      <w:r>
        <w:rPr>
          <w:rFonts w:eastAsia="Arial" w:cs="Arial"/>
          <w:sz w:val="20"/>
          <w:szCs w:val="20"/>
        </w:rPr>
        <w:t>Notwithstanding the foregoing, if KCD reasonably determines that a specific client's sensitive client information that resides in the client information system was not accessed or used without authorization, KCD is not required to provide notice to that client.</w:t>
      </w:r>
    </w:p>
    <w:p>
      <w:pPr>
        <w:numPr>
          <w:ilvl w:val="0"/>
          <w:numId w:val="140"/>
        </w:numPr>
        <w:spacing w:after="200"/>
        <w:ind w:left="720" w:hanging="267"/>
        <w:jc w:val="left"/>
        <w:rPr>
          <w:rFonts w:eastAsia="Arial" w:cs="Arial"/>
          <w:sz w:val="20"/>
          <w:szCs w:val="20"/>
        </w:rPr>
      </w:pPr>
      <w:r>
        <w:rPr>
          <w:rFonts w:eastAsia="Arial" w:cs="Arial"/>
          <w:sz w:val="20"/>
          <w:szCs w:val="20"/>
          <w:u w:val="single"/>
        </w:rPr>
        <w:t>Timing of Notification.</w:t>
      </w:r>
      <w:r>
        <w:rPr>
          <w:rFonts w:eastAsia="Arial" w:cs="Arial"/>
          <w:sz w:val="20"/>
          <w:szCs w:val="20"/>
        </w:rPr>
        <w:t xml:space="preserve"> The Firm shall provide the notice of an incident as soon as practicable, but not later than 30 days, after becoming aware that unauthorized access to or use of sensitive client information has occurred or is reasonably likely to have occurred.</w:t>
      </w:r>
    </w:p>
    <w:p>
      <w:pPr>
        <w:rPr>
          <w:rFonts w:eastAsia="Arial" w:cs="Arial"/>
          <w:sz w:val="20"/>
          <w:szCs w:val="20"/>
        </w:rPr>
      </w:pPr>
      <w:r>
        <w:rPr>
          <w:rFonts w:eastAsia="Arial" w:cs="Arial"/>
          <w:sz w:val="20"/>
          <w:szCs w:val="20"/>
        </w:rPr>
        <w:br/>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SEC rules contemplate that the U.S. Attorney General may require businesses such as investment advisers to delay their notification of incidents that pose a substantial risk to national security or public safety. If so, KCD will comply with any such directives. </w:t>
            </w:r>
          </w:p>
        </w:tc>
      </w:tr>
    </w:tbl>
    <w:p>
      <w:pPr>
        <w:numPr>
          <w:ilvl w:val="0"/>
          <w:numId w:val="141"/>
        </w:numPr>
        <w:spacing w:before="200"/>
        <w:ind w:left="720" w:hanging="267"/>
        <w:jc w:val="left"/>
        <w:rPr>
          <w:rFonts w:eastAsia="Arial" w:cs="Arial"/>
          <w:sz w:val="20"/>
          <w:szCs w:val="20"/>
        </w:rPr>
      </w:pPr>
      <w:r>
        <w:rPr>
          <w:rFonts w:eastAsia="Arial" w:cs="Arial"/>
          <w:sz w:val="20"/>
          <w:szCs w:val="20"/>
          <w:u w:val="single"/>
        </w:rPr>
        <w:t>Notice Contents.</w:t>
      </w:r>
      <w:r>
        <w:rPr>
          <w:rFonts w:eastAsia="Arial" w:cs="Arial"/>
          <w:sz w:val="20"/>
          <w:szCs w:val="20"/>
        </w:rPr>
        <w:t xml:space="preserve"> Notices of breaches of security of sensitive client information shall: </w:t>
      </w:r>
    </w:p>
    <w:p>
      <w:pPr>
        <w:numPr>
          <w:ilvl w:val="1"/>
          <w:numId w:val="141"/>
        </w:numPr>
        <w:ind w:left="1440" w:hanging="267"/>
        <w:jc w:val="left"/>
        <w:rPr>
          <w:rFonts w:eastAsia="Arial" w:cs="Arial"/>
          <w:sz w:val="20"/>
          <w:szCs w:val="20"/>
        </w:rPr>
      </w:pPr>
      <w:r>
        <w:rPr>
          <w:rFonts w:eastAsia="Arial" w:cs="Arial"/>
          <w:sz w:val="20"/>
          <w:szCs w:val="20"/>
        </w:rPr>
        <w:t xml:space="preserve">describe in general terms the incident and the type of sensitive client information that was or is reasonably believed to have been accessed or used without authorization; </w:t>
      </w:r>
    </w:p>
    <w:p>
      <w:pPr>
        <w:numPr>
          <w:ilvl w:val="1"/>
          <w:numId w:val="141"/>
        </w:numPr>
        <w:ind w:left="1440" w:hanging="267"/>
        <w:jc w:val="left"/>
        <w:rPr>
          <w:rFonts w:eastAsia="Arial" w:cs="Arial"/>
          <w:sz w:val="20"/>
          <w:szCs w:val="20"/>
        </w:rPr>
      </w:pPr>
      <w:r>
        <w:rPr>
          <w:rFonts w:eastAsia="Arial" w:cs="Arial"/>
          <w:sz w:val="20"/>
          <w:szCs w:val="20"/>
        </w:rPr>
        <w:t xml:space="preserve">include, if the information is reasonably possible to determine at the time the notice is provided, the date of the incident, or the estimated date of the incident, or the date range within which the incident occurred; </w:t>
      </w:r>
    </w:p>
    <w:p>
      <w:pPr>
        <w:numPr>
          <w:ilvl w:val="1"/>
          <w:numId w:val="141"/>
        </w:numPr>
        <w:ind w:left="1440" w:hanging="256"/>
        <w:jc w:val="left"/>
        <w:rPr>
          <w:rFonts w:eastAsia="Arial" w:cs="Arial"/>
          <w:sz w:val="20"/>
          <w:szCs w:val="20"/>
        </w:rPr>
      </w:pPr>
      <w:r>
        <w:rPr>
          <w:rFonts w:eastAsia="Arial" w:cs="Arial"/>
          <w:sz w:val="20"/>
          <w:szCs w:val="20"/>
        </w:rPr>
        <w:t xml:space="preserve">include contact information sufficient to permit an affected individual to contact KCD to inquire about the incident, including the following: a telephone number (which should be a toll-free number if available), an email address or equivalent method or means, a postal address, and the name of a specific office to contact for further information and assistance; </w:t>
      </w:r>
    </w:p>
    <w:p>
      <w:pPr>
        <w:numPr>
          <w:ilvl w:val="1"/>
          <w:numId w:val="141"/>
        </w:numPr>
        <w:ind w:left="1440" w:hanging="267"/>
        <w:jc w:val="left"/>
        <w:rPr>
          <w:rFonts w:eastAsia="Arial" w:cs="Arial"/>
          <w:sz w:val="20"/>
          <w:szCs w:val="20"/>
        </w:rPr>
      </w:pPr>
      <w:r>
        <w:rPr>
          <w:rFonts w:eastAsia="Arial" w:cs="Arial"/>
          <w:sz w:val="20"/>
          <w:szCs w:val="20"/>
        </w:rPr>
        <w:t>if the client has an account with KCD, recommend that the client review account statements and immediately report any suspicious activity to KCD;</w:t>
      </w:r>
    </w:p>
    <w:p>
      <w:pPr>
        <w:numPr>
          <w:ilvl w:val="1"/>
          <w:numId w:val="141"/>
        </w:numPr>
        <w:ind w:left="1440" w:hanging="267"/>
        <w:jc w:val="left"/>
        <w:rPr>
          <w:rFonts w:eastAsia="Arial" w:cs="Arial"/>
          <w:sz w:val="20"/>
          <w:szCs w:val="20"/>
        </w:rPr>
      </w:pPr>
      <w:r>
        <w:rPr>
          <w:rFonts w:eastAsia="Arial" w:cs="Arial"/>
          <w:sz w:val="20"/>
          <w:szCs w:val="20"/>
        </w:rPr>
        <w:t>explain what a fraud alert is and how an individual may place a fraud alert in the client's credit reports to put the individual's creditors on notice that the client may be a victim of fraud, including identity theft;</w:t>
      </w:r>
    </w:p>
    <w:p>
      <w:pPr>
        <w:numPr>
          <w:ilvl w:val="1"/>
          <w:numId w:val="141"/>
        </w:numPr>
        <w:ind w:left="1440" w:hanging="211"/>
        <w:jc w:val="left"/>
        <w:rPr>
          <w:rFonts w:eastAsia="Arial" w:cs="Arial"/>
          <w:sz w:val="20"/>
          <w:szCs w:val="20"/>
        </w:rPr>
      </w:pPr>
      <w:r>
        <w:rPr>
          <w:rFonts w:eastAsia="Arial" w:cs="Arial"/>
          <w:sz w:val="20"/>
          <w:szCs w:val="20"/>
        </w:rPr>
        <w:t>recommend that the individual periodically obtain credit reports from each nationwide credit reporting company and that the individual have information relating to fraudulent transactions deleted;</w:t>
      </w:r>
    </w:p>
    <w:p>
      <w:pPr>
        <w:numPr>
          <w:ilvl w:val="1"/>
          <w:numId w:val="141"/>
        </w:numPr>
        <w:ind w:left="1440" w:hanging="267"/>
        <w:jc w:val="left"/>
        <w:rPr>
          <w:rFonts w:eastAsia="Arial" w:cs="Arial"/>
          <w:sz w:val="20"/>
          <w:szCs w:val="20"/>
        </w:rPr>
      </w:pPr>
      <w:r>
        <w:rPr>
          <w:rFonts w:eastAsia="Arial" w:cs="Arial"/>
          <w:sz w:val="20"/>
          <w:szCs w:val="20"/>
        </w:rPr>
        <w:t>explain how the client may obtain a credit report free of charge; and</w:t>
      </w:r>
    </w:p>
    <w:p>
      <w:pPr>
        <w:numPr>
          <w:ilvl w:val="1"/>
          <w:numId w:val="141"/>
        </w:numPr>
        <w:spacing w:after="200"/>
        <w:ind w:left="1440" w:hanging="267"/>
        <w:jc w:val="left"/>
        <w:rPr>
          <w:rFonts w:eastAsia="Arial" w:cs="Arial"/>
          <w:sz w:val="20"/>
          <w:szCs w:val="20"/>
        </w:rPr>
      </w:pPr>
      <w:r>
        <w:rPr>
          <w:rFonts w:eastAsia="Arial" w:cs="Arial"/>
          <w:sz w:val="20"/>
          <w:szCs w:val="20"/>
        </w:rPr>
        <w:t>include information about the availability of online guidance from the Federal Trade Commission, Consumer Protection Agency and usa.gov regarding steps an individual can take to protect against identity theft, a statement encouraging the client to report any incidents of identity theft to the Federal Trade Commission, and include the Federal Trade Commission's, Consumer Protection Agency's website address where individuals may obtain government information about identity theft and report suspected incidents of identity theft.</w:t>
      </w:r>
    </w:p>
    <w:p>
      <w:bookmarkEnd w:id="120"/>
      <w:bookmarkStart w:id="122" w:name="Sec_Chp_061016102248171_252832"/>
    </w:p>
    <w:p>
      <w:pPr>
        <w:pStyle w:val="Heading3"/>
      </w:pPr>
      <w:bookmarkStart w:id="123" w:name="_Toc256000039"/>
      <w:r>
        <w:t>3.3.15 Service Providers</w:t>
      </w:r>
      <w:bookmarkEnd w:id="123"/>
    </w:p>
    <w:p/>
    <w:p>
      <w:pPr>
        <w:rPr>
          <w:rFonts w:eastAsia="Arial" w:cs="Arial"/>
          <w:sz w:val="16"/>
          <w:szCs w:val="16"/>
        </w:rPr>
      </w:pPr>
    </w:p>
    <w:p>
      <w:pPr>
        <w:pStyle w:val="normal0"/>
        <w:spacing w:after="200"/>
        <w:rPr>
          <w:rFonts w:eastAsia="Arial" w:cs="Arial"/>
          <w:sz w:val="20"/>
          <w:szCs w:val="20"/>
        </w:rPr>
      </w:pPr>
      <w:r>
        <w:rPr>
          <w:rFonts w:eastAsia="Arial" w:cs="Arial"/>
          <w:sz w:val="20"/>
          <w:szCs w:val="20"/>
        </w:rPr>
        <w:t>Unaffiliated service providers of KCD may maintain sensitive client information. With respect to such service providers, KCD will:</w:t>
      </w:r>
    </w:p>
    <w:p>
      <w:pPr>
        <w:numPr>
          <w:ilvl w:val="0"/>
          <w:numId w:val="142"/>
        </w:numPr>
        <w:spacing w:before="200"/>
        <w:ind w:left="720" w:hanging="267"/>
        <w:jc w:val="left"/>
        <w:rPr>
          <w:rFonts w:eastAsia="Arial" w:cs="Arial"/>
          <w:sz w:val="20"/>
          <w:szCs w:val="20"/>
        </w:rPr>
      </w:pPr>
      <w:r>
        <w:rPr>
          <w:rFonts w:eastAsia="Arial" w:cs="Arial"/>
          <w:sz w:val="20"/>
          <w:szCs w:val="20"/>
        </w:rPr>
        <w:t>identify and maintain a list of such service providers;</w:t>
      </w:r>
    </w:p>
    <w:p>
      <w:pPr>
        <w:numPr>
          <w:ilvl w:val="0"/>
          <w:numId w:val="142"/>
        </w:numPr>
        <w:ind w:left="720" w:hanging="267"/>
        <w:jc w:val="left"/>
        <w:rPr>
          <w:rFonts w:eastAsia="Arial" w:cs="Arial"/>
          <w:sz w:val="20"/>
          <w:szCs w:val="20"/>
        </w:rPr>
      </w:pPr>
      <w:r>
        <w:rPr>
          <w:rFonts w:eastAsia="Arial" w:cs="Arial"/>
          <w:sz w:val="20"/>
          <w:szCs w:val="20"/>
        </w:rPr>
        <w:t>exercise oversight through due diligence and monitoring of such service providers designed to ensure that such service providers have and maintain policies and procedures reasonably designed to:</w:t>
      </w:r>
    </w:p>
    <w:p>
      <w:pPr>
        <w:numPr>
          <w:ilvl w:val="1"/>
          <w:numId w:val="142"/>
        </w:numPr>
        <w:ind w:left="1440" w:hanging="267"/>
        <w:jc w:val="left"/>
        <w:rPr>
          <w:rFonts w:eastAsia="Arial" w:cs="Arial"/>
          <w:sz w:val="20"/>
          <w:szCs w:val="20"/>
        </w:rPr>
      </w:pPr>
      <w:r>
        <w:rPr>
          <w:rFonts w:eastAsia="Arial" w:cs="Arial"/>
          <w:sz w:val="20"/>
          <w:szCs w:val="20"/>
        </w:rPr>
        <w:t>protect against unauthorized access to or use of client information;</w:t>
      </w:r>
    </w:p>
    <w:p>
      <w:pPr>
        <w:numPr>
          <w:ilvl w:val="1"/>
          <w:numId w:val="142"/>
        </w:numPr>
        <w:ind w:left="1440" w:hanging="267"/>
        <w:jc w:val="left"/>
        <w:rPr>
          <w:rFonts w:eastAsia="Arial" w:cs="Arial"/>
          <w:sz w:val="20"/>
          <w:szCs w:val="20"/>
        </w:rPr>
      </w:pPr>
      <w:r>
        <w:rPr>
          <w:rFonts w:eastAsia="Arial" w:cs="Arial"/>
          <w:sz w:val="20"/>
          <w:szCs w:val="20"/>
        </w:rPr>
        <w:t>provide notification to KCD as soon as possible, but no later than 72 hours after becoming aware that a breach in security has occurred resulting in unauthorized access to a client information system maintained by the service provider;</w:t>
      </w:r>
    </w:p>
    <w:p>
      <w:pPr>
        <w:numPr>
          <w:ilvl w:val="0"/>
          <w:numId w:val="142"/>
        </w:numPr>
        <w:ind w:left="720" w:hanging="267"/>
        <w:jc w:val="left"/>
        <w:rPr>
          <w:rFonts w:eastAsia="Arial" w:cs="Arial"/>
          <w:sz w:val="20"/>
          <w:szCs w:val="20"/>
        </w:rPr>
      </w:pPr>
      <w:r>
        <w:rPr>
          <w:rFonts w:eastAsia="Arial" w:cs="Arial"/>
          <w:sz w:val="20"/>
          <w:szCs w:val="20"/>
        </w:rPr>
        <w:t>enter into a written agreement with each such service provider requiring such service provider to notify affected clients on KCD's behalf;</w:t>
      </w:r>
    </w:p>
    <w:p>
      <w:pPr>
        <w:numPr>
          <w:ilvl w:val="0"/>
          <w:numId w:val="142"/>
        </w:numPr>
        <w:ind w:left="720" w:hanging="267"/>
        <w:jc w:val="left"/>
        <w:rPr>
          <w:rFonts w:eastAsia="Arial" w:cs="Arial"/>
          <w:sz w:val="20"/>
          <w:szCs w:val="20"/>
        </w:rPr>
      </w:pPr>
      <w:r>
        <w:rPr>
          <w:rFonts w:eastAsia="Arial" w:cs="Arial"/>
          <w:sz w:val="20"/>
          <w:szCs w:val="20"/>
        </w:rPr>
        <w:t>ensure that the service provider after a breach in security has notified affected Firm clients and, if not, KCD will take steps to so notify its affected clients; and</w:t>
      </w:r>
    </w:p>
    <w:p>
      <w:pPr>
        <w:numPr>
          <w:ilvl w:val="0"/>
          <w:numId w:val="142"/>
        </w:numPr>
        <w:spacing w:after="200"/>
        <w:ind w:left="720" w:hanging="267"/>
        <w:jc w:val="left"/>
        <w:rPr>
          <w:rFonts w:eastAsia="Arial" w:cs="Arial"/>
          <w:sz w:val="20"/>
          <w:szCs w:val="20"/>
        </w:rPr>
      </w:pPr>
      <w:r>
        <w:rPr>
          <w:rFonts w:eastAsia="Arial" w:cs="Arial"/>
          <w:sz w:val="20"/>
          <w:szCs w:val="20"/>
        </w:rPr>
        <w:t>in addition to actions taken by the service provider, take any other necessary actions pursuant to its incident response procedures.</w:t>
      </w:r>
    </w:p>
    <w:p>
      <w:bookmarkEnd w:id="122"/>
      <w:bookmarkStart w:id="124" w:name="Sec_Chp_061016102248171_252835"/>
    </w:p>
    <w:p>
      <w:pPr>
        <w:pStyle w:val="Heading3"/>
      </w:pPr>
      <w:bookmarkStart w:id="125" w:name="_Toc256000040"/>
      <w:r>
        <w:t>3.3.16 Disposal of Client Information</w:t>
      </w:r>
      <w:bookmarkEnd w:id="125"/>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properly dispose of sensitive client information by taking reasonable measures to protect against unauthorized access to or use of the information in connection with its disposal. Disposal may include, among other things, the discarding or abandonment of client information; or the sale, donation, or transfer of any medium, including computer equipment, on which client information is stored. Depending upon the type of client information and other circumstances, reasonable disposal measures (which are illustrative and are not exclusive or exhaustive) may include:</w:t>
      </w:r>
    </w:p>
    <w:p>
      <w:pPr>
        <w:numPr>
          <w:ilvl w:val="0"/>
          <w:numId w:val="143"/>
        </w:numPr>
        <w:spacing w:before="200"/>
        <w:ind w:left="720" w:hanging="192"/>
        <w:jc w:val="left"/>
        <w:rPr>
          <w:rFonts w:eastAsia="Arial" w:cs="Arial"/>
          <w:sz w:val="20"/>
          <w:szCs w:val="20"/>
        </w:rPr>
      </w:pPr>
      <w:r>
        <w:rPr>
          <w:rFonts w:eastAsia="Arial" w:cs="Arial"/>
          <w:sz w:val="20"/>
          <w:szCs w:val="20"/>
        </w:rPr>
        <w:t>burning, pulverizing, or shredding of papers containing sensitive client information so that the information cannot practicably be read or reconstructed;</w:t>
      </w:r>
    </w:p>
    <w:p>
      <w:pPr>
        <w:numPr>
          <w:ilvl w:val="0"/>
          <w:numId w:val="143"/>
        </w:numPr>
        <w:ind w:left="720" w:hanging="192"/>
        <w:jc w:val="left"/>
        <w:rPr>
          <w:rFonts w:eastAsia="Arial" w:cs="Arial"/>
          <w:sz w:val="20"/>
          <w:szCs w:val="20"/>
        </w:rPr>
      </w:pPr>
      <w:r>
        <w:rPr>
          <w:rFonts w:eastAsia="Arial" w:cs="Arial"/>
          <w:sz w:val="20"/>
          <w:szCs w:val="20"/>
        </w:rPr>
        <w:t>destruction or erasure of electronic media containing sensitive client information (including such information contained on hard drives and other hardware slated for destruction) so that the information cannot practicably be read or reconstructed;</w:t>
      </w:r>
    </w:p>
    <w:p>
      <w:pPr>
        <w:numPr>
          <w:ilvl w:val="0"/>
          <w:numId w:val="143"/>
        </w:numPr>
        <w:ind w:left="720" w:hanging="192"/>
        <w:jc w:val="left"/>
        <w:rPr>
          <w:rFonts w:eastAsia="Arial" w:cs="Arial"/>
          <w:sz w:val="20"/>
          <w:szCs w:val="20"/>
        </w:rPr>
      </w:pPr>
      <w:r>
        <w:rPr>
          <w:rFonts w:eastAsia="Arial" w:cs="Arial"/>
          <w:sz w:val="20"/>
          <w:szCs w:val="20"/>
        </w:rPr>
        <w:t>entering into and monitoring compliance with a contract with another party engaged in the business of record destruction to dispose of material, specifically identified as sensitive client information. Initially, and from time to time, KCD shall perform due diligence on the disposal company, which may include:</w:t>
      </w:r>
    </w:p>
    <w:p>
      <w:pPr>
        <w:numPr>
          <w:ilvl w:val="1"/>
          <w:numId w:val="143"/>
        </w:numPr>
        <w:ind w:left="1440" w:hanging="220"/>
        <w:jc w:val="left"/>
        <w:rPr>
          <w:rFonts w:eastAsia="Arial" w:cs="Arial"/>
          <w:sz w:val="20"/>
          <w:szCs w:val="20"/>
        </w:rPr>
      </w:pPr>
      <w:r>
        <w:rPr>
          <w:rFonts w:eastAsia="Arial" w:cs="Arial"/>
          <w:sz w:val="20"/>
          <w:szCs w:val="20"/>
        </w:rPr>
        <w:t>reviewing an independent audit of the disposal company's operations;</w:t>
      </w:r>
    </w:p>
    <w:p>
      <w:pPr>
        <w:numPr>
          <w:ilvl w:val="1"/>
          <w:numId w:val="143"/>
        </w:numPr>
        <w:ind w:left="1440" w:hanging="220"/>
        <w:jc w:val="left"/>
        <w:rPr>
          <w:rFonts w:eastAsia="Arial" w:cs="Arial"/>
          <w:sz w:val="20"/>
          <w:szCs w:val="20"/>
        </w:rPr>
      </w:pPr>
      <w:r>
        <w:rPr>
          <w:rFonts w:eastAsia="Arial" w:cs="Arial"/>
          <w:sz w:val="20"/>
          <w:szCs w:val="20"/>
        </w:rPr>
        <w:t>obtaining information about the disposal company from several references or other reliable sources;</w:t>
      </w:r>
    </w:p>
    <w:p>
      <w:pPr>
        <w:numPr>
          <w:ilvl w:val="1"/>
          <w:numId w:val="143"/>
        </w:numPr>
        <w:ind w:left="1440" w:hanging="220"/>
        <w:jc w:val="left"/>
        <w:rPr>
          <w:rFonts w:eastAsia="Arial" w:cs="Arial"/>
          <w:sz w:val="20"/>
          <w:szCs w:val="20"/>
        </w:rPr>
      </w:pPr>
      <w:r>
        <w:rPr>
          <w:rFonts w:eastAsia="Arial" w:cs="Arial"/>
          <w:sz w:val="20"/>
          <w:szCs w:val="20"/>
        </w:rPr>
        <w:t>requiring that the disposal company be certified by a recognized trade association or similar third party, reviewing and evaluating the disposal company's information security policies or procedures; and/or</w:t>
      </w:r>
    </w:p>
    <w:p>
      <w:pPr>
        <w:numPr>
          <w:ilvl w:val="1"/>
          <w:numId w:val="143"/>
        </w:numPr>
        <w:spacing w:after="200"/>
        <w:ind w:left="1440" w:hanging="220"/>
        <w:jc w:val="left"/>
        <w:rPr>
          <w:rFonts w:eastAsia="Arial" w:cs="Arial"/>
          <w:sz w:val="20"/>
          <w:szCs w:val="20"/>
        </w:rPr>
      </w:pPr>
      <w:r>
        <w:rPr>
          <w:rFonts w:eastAsia="Arial" w:cs="Arial"/>
          <w:sz w:val="20"/>
          <w:szCs w:val="20"/>
        </w:rPr>
        <w:t>taking other appropriate measures to determine the competency and integrity of the potential or existing disposal company.</w:t>
      </w:r>
    </w:p>
    <w:p>
      <w:pPr>
        <w:pStyle w:val="normal0"/>
        <w:spacing w:before="200" w:after="200"/>
        <w:rPr>
          <w:rFonts w:eastAsia="Arial" w:cs="Arial"/>
          <w:sz w:val="20"/>
          <w:szCs w:val="20"/>
        </w:rPr>
      </w:pPr>
      <w:r>
        <w:rPr>
          <w:rFonts w:eastAsia="Arial" w:cs="Arial"/>
          <w:sz w:val="20"/>
          <w:szCs w:val="20"/>
        </w:rPr>
        <w:t>KCD will not dispose, or cause any of its service providers to dispose, of any record or document related to a client or otherwise that potentially might be subject to production to the SEC or any other regulatory agency in an exam or investigation of KCD.</w:t>
      </w:r>
    </w:p>
    <w:p>
      <w:bookmarkEnd w:id="124"/>
      <w:bookmarkStart w:id="126" w:name="Sec_Chp_061016102248171_061016102243313"/>
    </w:p>
    <w:p>
      <w:pPr>
        <w:pStyle w:val="Heading3"/>
      </w:pPr>
      <w:bookmarkStart w:id="127" w:name="_Toc256000041"/>
      <w:r>
        <w:t>3.3.17 Affiliate Marketing</w:t>
      </w:r>
      <w:bookmarkEnd w:id="127"/>
    </w:p>
    <w:p/>
    <w:p>
      <w:pPr>
        <w:rPr>
          <w:rFonts w:eastAsia="Arial" w:cs="Arial"/>
          <w:sz w:val="16"/>
          <w:szCs w:val="16"/>
        </w:rPr>
      </w:pPr>
      <w:r>
        <w:rPr>
          <w:rFonts w:eastAsia="Arial" w:cs="Arial"/>
          <w:sz w:val="16"/>
          <w:szCs w:val="16"/>
        </w:rPr>
        <w:t>[SEC Regulation S-AM]</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Regulation S-AM places limitations on an investment adviser's use of information received from an affiliate to solicit an investor (called a "consumer" in the Regulation) for marketing purposes, unless the investor has been given notice and a reasonable opportunity and a reasonable and simple method to opt out of such solicitations.</w:t>
            </w:r>
          </w:p>
        </w:tc>
      </w:tr>
    </w:tbl>
    <w:p>
      <w:bookmarkEnd w:id="126"/>
      <w:bookmarkStart w:id="128" w:name="Sec_Chp_061016102248171_0610161022433131"/>
    </w:p>
    <w:p>
      <w:pPr>
        <w:pStyle w:val="Heading4"/>
      </w:pPr>
      <w:r>
        <w:t>3.3.17.1 Eligibility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not use eligibility information about a consumer, that it receives from an affiliate, to make a marketing solicitation to the consumer, unless: </w:t>
      </w:r>
    </w:p>
    <w:p>
      <w:pPr>
        <w:numPr>
          <w:ilvl w:val="0"/>
          <w:numId w:val="144"/>
        </w:numPr>
        <w:spacing w:before="200"/>
        <w:ind w:left="720" w:hanging="192"/>
        <w:jc w:val="left"/>
        <w:rPr>
          <w:rFonts w:eastAsia="Arial" w:cs="Arial"/>
          <w:sz w:val="20"/>
          <w:szCs w:val="20"/>
        </w:rPr>
      </w:pPr>
      <w:r>
        <w:rPr>
          <w:rFonts w:eastAsia="Arial" w:cs="Arial"/>
          <w:sz w:val="20"/>
          <w:szCs w:val="20"/>
        </w:rPr>
        <w:t xml:space="preserve">It is clearly and conspicuously disclosed to the consumer in writing or, if the consumer agrees, electronically, in a concise notice that KCD may use eligibility information about that consumer received from an affiliate to make marketing solicitations to the consumer; </w:t>
      </w:r>
    </w:p>
    <w:p>
      <w:pPr>
        <w:numPr>
          <w:ilvl w:val="0"/>
          <w:numId w:val="144"/>
        </w:numPr>
        <w:ind w:left="720" w:hanging="192"/>
        <w:jc w:val="left"/>
        <w:rPr>
          <w:rFonts w:eastAsia="Arial" w:cs="Arial"/>
          <w:sz w:val="20"/>
          <w:szCs w:val="20"/>
        </w:rPr>
      </w:pPr>
      <w:r>
        <w:rPr>
          <w:rFonts w:eastAsia="Arial" w:cs="Arial"/>
          <w:sz w:val="20"/>
          <w:szCs w:val="20"/>
        </w:rPr>
        <w:t>The consumer has been provided a reasonable opportunity and a reasonable and simple method to "opt out;" and</w:t>
      </w:r>
    </w:p>
    <w:p>
      <w:pPr>
        <w:numPr>
          <w:ilvl w:val="0"/>
          <w:numId w:val="144"/>
        </w:numPr>
        <w:spacing w:after="200"/>
        <w:ind w:left="720" w:hanging="192"/>
        <w:jc w:val="left"/>
        <w:rPr>
          <w:rFonts w:eastAsia="Arial" w:cs="Arial"/>
          <w:sz w:val="20"/>
          <w:szCs w:val="20"/>
        </w:rPr>
      </w:pPr>
      <w:r>
        <w:rPr>
          <w:rFonts w:eastAsia="Arial" w:cs="Arial"/>
          <w:sz w:val="20"/>
          <w:szCs w:val="20"/>
        </w:rPr>
        <w:t xml:space="preserve">The consumer has not opted out. </w:t>
      </w:r>
    </w:p>
    <w:p>
      <w:pPr>
        <w:pStyle w:val="normal0"/>
        <w:spacing w:before="200" w:after="200"/>
        <w:rPr>
          <w:rFonts w:eastAsia="Arial" w:cs="Arial"/>
          <w:sz w:val="20"/>
          <w:szCs w:val="20"/>
        </w:rPr>
      </w:pPr>
      <w:r>
        <w:rPr>
          <w:rFonts w:eastAsia="Arial" w:cs="Arial"/>
          <w:sz w:val="20"/>
          <w:szCs w:val="20"/>
        </w:rPr>
        <w:t>For purposes of this procedure:</w:t>
      </w:r>
    </w:p>
    <w:p>
      <w:pPr>
        <w:numPr>
          <w:ilvl w:val="0"/>
          <w:numId w:val="145"/>
        </w:numPr>
        <w:spacing w:before="200"/>
        <w:ind w:left="720" w:hanging="192"/>
        <w:jc w:val="left"/>
        <w:rPr>
          <w:rFonts w:eastAsia="Arial" w:cs="Arial"/>
          <w:sz w:val="20"/>
          <w:szCs w:val="20"/>
        </w:rPr>
      </w:pPr>
      <w:r>
        <w:rPr>
          <w:rFonts w:eastAsia="Arial" w:cs="Arial"/>
          <w:sz w:val="20"/>
          <w:szCs w:val="20"/>
        </w:rPr>
        <w:t>"eligibility information" means: any communication of bearing on a consumer's credit worthiness, credit standing, credit capacity, character, general reputation, personal characteristics, or mode of living that is used or expected to be used or collected in whole or in part for the purpose of serving as a factor in establishing the consumer's eligibility for credit or insurance to be used primarily for personal, family or household purposes or employment purposes.</w:t>
      </w:r>
    </w:p>
    <w:p>
      <w:pPr>
        <w:numPr>
          <w:ilvl w:val="0"/>
          <w:numId w:val="145"/>
        </w:numPr>
        <w:spacing w:after="200"/>
        <w:ind w:left="720" w:hanging="192"/>
        <w:jc w:val="left"/>
        <w:rPr>
          <w:rFonts w:eastAsia="Arial" w:cs="Arial"/>
          <w:sz w:val="20"/>
          <w:szCs w:val="20"/>
        </w:rPr>
      </w:pPr>
      <w:r>
        <w:rPr>
          <w:rFonts w:eastAsia="Arial" w:cs="Arial"/>
          <w:sz w:val="20"/>
          <w:szCs w:val="20"/>
        </w:rPr>
        <w:t xml:space="preserve">"marketing solicitation" means: the marketing of a product or service initiated by KCD to a particular consumer that is: (i) based on eligibility information communicated to KCD by its affiliate; and (ii) intended to encourage the consumer to purchase or obtain such product or service. </w:t>
      </w:r>
    </w:p>
    <w:p>
      <w:bookmarkEnd w:id="128"/>
      <w:bookmarkStart w:id="129" w:name="Sec_Chp_061016102248171_0610161022433132"/>
    </w:p>
    <w:p>
      <w:pPr>
        <w:pStyle w:val="Heading4"/>
      </w:pPr>
      <w:r>
        <w:t>3.3.17.2 Making a Marketing Solicitation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be deemed to be "making a marketing solicitation" if the following three conditions are met:</w:t>
      </w:r>
    </w:p>
    <w:p>
      <w:pPr>
        <w:numPr>
          <w:ilvl w:val="0"/>
          <w:numId w:val="146"/>
        </w:numPr>
        <w:spacing w:before="200"/>
        <w:ind w:left="720" w:hanging="192"/>
        <w:jc w:val="left"/>
        <w:rPr>
          <w:rFonts w:eastAsia="Arial" w:cs="Arial"/>
          <w:sz w:val="20"/>
          <w:szCs w:val="20"/>
        </w:rPr>
      </w:pPr>
      <w:r>
        <w:rPr>
          <w:rFonts w:eastAsia="Arial" w:cs="Arial"/>
          <w:sz w:val="20"/>
          <w:szCs w:val="20"/>
        </w:rPr>
        <w:t>KCD receives eligibility information from an affiliate;</w:t>
      </w:r>
    </w:p>
    <w:p>
      <w:pPr>
        <w:numPr>
          <w:ilvl w:val="0"/>
          <w:numId w:val="146"/>
        </w:numPr>
        <w:ind w:left="720" w:hanging="192"/>
        <w:jc w:val="left"/>
        <w:rPr>
          <w:rFonts w:eastAsia="Arial" w:cs="Arial"/>
          <w:sz w:val="20"/>
          <w:szCs w:val="20"/>
        </w:rPr>
      </w:pPr>
      <w:r>
        <w:rPr>
          <w:rFonts w:eastAsia="Arial" w:cs="Arial"/>
          <w:sz w:val="20"/>
          <w:szCs w:val="20"/>
        </w:rPr>
        <w:t>KCD uses eligibility information to: (i) identify the consumer or type of consumer to receive a marketing solicitation; (ii) establish criteria used to select the consumer to receive a marketing solicitation; or (iii) decide which of KCD's products or services to market to the consumer or tailor KCD's marketing solicitation to that consumer; and</w:t>
      </w:r>
    </w:p>
    <w:p>
      <w:pPr>
        <w:numPr>
          <w:ilvl w:val="0"/>
          <w:numId w:val="146"/>
        </w:numPr>
        <w:spacing w:after="200"/>
        <w:ind w:left="720" w:hanging="192"/>
        <w:jc w:val="left"/>
        <w:rPr>
          <w:rFonts w:eastAsia="Arial" w:cs="Arial"/>
          <w:sz w:val="20"/>
          <w:szCs w:val="20"/>
        </w:rPr>
      </w:pPr>
      <w:r>
        <w:rPr>
          <w:rFonts w:eastAsia="Arial" w:cs="Arial"/>
          <w:sz w:val="20"/>
          <w:szCs w:val="20"/>
        </w:rPr>
        <w:t>The consumer is provided marketing solicitation.</w:t>
      </w:r>
    </w:p>
    <w:p>
      <w:bookmarkEnd w:id="129"/>
      <w:bookmarkStart w:id="130" w:name="Sec_Chp_061016102248171_0610161022433133"/>
    </w:p>
    <w:p>
      <w:pPr>
        <w:pStyle w:val="Heading4"/>
      </w:pPr>
      <w:r>
        <w:t>3.3.17.3 Service Provider Exceptions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prohibitions and conditions of this section shall not apply to arrangements when KCD receives or uses an affiliate's eligibility information if a service provider acting on KCD's behalf receives or uses that information, as set forth below: </w:t>
      </w:r>
    </w:p>
    <w:p>
      <w:pPr>
        <w:pStyle w:val="normal0"/>
        <w:spacing w:before="200" w:after="200"/>
        <w:rPr>
          <w:rFonts w:eastAsia="Arial" w:cs="Arial"/>
          <w:sz w:val="20"/>
          <w:szCs w:val="20"/>
        </w:rPr>
      </w:pPr>
      <w:r>
        <w:rPr>
          <w:rFonts w:eastAsia="Arial" w:cs="Arial"/>
          <w:b/>
          <w:bCs/>
          <w:sz w:val="20"/>
          <w:szCs w:val="20"/>
        </w:rPr>
        <w:t>Affiliate's Own Eligibility Information with No Direct Communication from KCD</w:t>
      </w:r>
    </w:p>
    <w:p>
      <w:pPr>
        <w:pStyle w:val="normal0"/>
        <w:spacing w:before="200" w:after="200"/>
        <w:rPr>
          <w:rFonts w:eastAsia="Arial" w:cs="Arial"/>
          <w:sz w:val="20"/>
          <w:szCs w:val="20"/>
        </w:rPr>
      </w:pPr>
      <w:r>
        <w:rPr>
          <w:rFonts w:eastAsia="Arial" w:cs="Arial"/>
          <w:sz w:val="20"/>
          <w:szCs w:val="20"/>
        </w:rPr>
        <w:t xml:space="preserve">(i) An affiliate uses its own eligibility information that it obtained in connection with a pre-existing business relationship it has or had with the consumer to market KCD's products or services to the affiliate's consumer; or </w:t>
      </w:r>
    </w:p>
    <w:p>
      <w:pPr>
        <w:pStyle w:val="normal0"/>
        <w:spacing w:before="200" w:after="200"/>
        <w:rPr>
          <w:rFonts w:eastAsia="Arial" w:cs="Arial"/>
          <w:sz w:val="20"/>
          <w:szCs w:val="20"/>
        </w:rPr>
      </w:pPr>
      <w:r>
        <w:rPr>
          <w:rFonts w:eastAsia="Arial" w:cs="Arial"/>
          <w:sz w:val="20"/>
          <w:szCs w:val="20"/>
        </w:rPr>
        <w:t xml:space="preserve">(ii) An affiliate directs its service provider to use the affiliate's own eligibility information that it obtained in connection with a pre-existing business relationship it has or had with the consumer to market KCD's products or services to the consumer, and KCD does not communicate directly with the service provider regarding that use. </w:t>
      </w:r>
    </w:p>
    <w:p>
      <w:pPr>
        <w:pStyle w:val="normal0"/>
        <w:spacing w:before="200" w:after="200"/>
        <w:rPr>
          <w:rFonts w:eastAsia="Arial" w:cs="Arial"/>
          <w:sz w:val="20"/>
          <w:szCs w:val="20"/>
        </w:rPr>
      </w:pPr>
      <w:r>
        <w:rPr>
          <w:rFonts w:eastAsia="Arial" w:cs="Arial"/>
          <w:b/>
          <w:bCs/>
          <w:sz w:val="20"/>
          <w:szCs w:val="20"/>
        </w:rPr>
        <w:t>Affiliate's Own Eligibility Information with Direct Communication from KCD</w:t>
      </w:r>
    </w:p>
    <w:p>
      <w:pPr>
        <w:pStyle w:val="normal0"/>
        <w:spacing w:before="200" w:after="200"/>
        <w:rPr>
          <w:rFonts w:eastAsia="Arial" w:cs="Arial"/>
          <w:sz w:val="20"/>
          <w:szCs w:val="20"/>
        </w:rPr>
      </w:pPr>
      <w:r>
        <w:rPr>
          <w:rFonts w:eastAsia="Arial" w:cs="Arial"/>
          <w:sz w:val="20"/>
          <w:szCs w:val="20"/>
        </w:rPr>
        <w:t>KCD will not be deemed to be making a marketing solicitation prohibited by this section if a service provider uses eligibility information from a Firm's affiliate to market KCD's products or services to a consumer provided the following four conditions are met:</w:t>
      </w:r>
    </w:p>
    <w:p>
      <w:pPr>
        <w:numPr>
          <w:ilvl w:val="0"/>
          <w:numId w:val="147"/>
        </w:numPr>
        <w:spacing w:before="200"/>
        <w:ind w:left="720" w:hanging="192"/>
        <w:jc w:val="left"/>
        <w:rPr>
          <w:rFonts w:eastAsia="Arial" w:cs="Arial"/>
          <w:sz w:val="20"/>
          <w:szCs w:val="20"/>
        </w:rPr>
      </w:pPr>
      <w:r>
        <w:rPr>
          <w:rFonts w:eastAsia="Arial" w:cs="Arial"/>
          <w:sz w:val="20"/>
          <w:szCs w:val="20"/>
        </w:rPr>
        <w:t xml:space="preserve">The affiliate controls access to and use of its eligibility information by the service provider (including the right to establish the specific terms and conditions under which the service provider may use such information to market KCD's products or services); </w:t>
      </w:r>
    </w:p>
    <w:p>
      <w:pPr>
        <w:numPr>
          <w:ilvl w:val="0"/>
          <w:numId w:val="147"/>
        </w:numPr>
        <w:ind w:left="720" w:hanging="192"/>
        <w:jc w:val="left"/>
        <w:rPr>
          <w:rFonts w:eastAsia="Arial" w:cs="Arial"/>
          <w:sz w:val="20"/>
          <w:szCs w:val="20"/>
        </w:rPr>
      </w:pPr>
      <w:r>
        <w:rPr>
          <w:rFonts w:eastAsia="Arial" w:cs="Arial"/>
          <w:sz w:val="20"/>
          <w:szCs w:val="20"/>
        </w:rPr>
        <w:t>The affiliate establishes specific terms and conditions under which the service provider may access and use KCD's affiliate's eligibility information to market KCD's products and services (or those of affiliates generally) to KCD's affiliate's consumers, such as the identity of the affiliated companies whose products or services may be marketed to the affiliate's consumers by the service provider, the types of products or services of affiliated companies that may be marketed, and the number of times the affiliate's consumers may receive marketing materials, and periodically evaluates the service provider's compliance with those terms and conditions;</w:t>
      </w:r>
    </w:p>
    <w:p>
      <w:pPr>
        <w:numPr>
          <w:ilvl w:val="0"/>
          <w:numId w:val="147"/>
        </w:numPr>
        <w:ind w:left="720" w:hanging="192"/>
        <w:jc w:val="left"/>
        <w:rPr>
          <w:rFonts w:eastAsia="Arial" w:cs="Arial"/>
          <w:sz w:val="20"/>
          <w:szCs w:val="20"/>
        </w:rPr>
      </w:pPr>
      <w:r>
        <w:rPr>
          <w:rFonts w:eastAsia="Arial" w:cs="Arial"/>
          <w:sz w:val="20"/>
          <w:szCs w:val="20"/>
        </w:rPr>
        <w:t>The affiliate requires the service provider to implement reasonable policies and procedures designed to ensure that the service provider uses the affiliate's eligibility information in accordance with the terms and conditions established by the affiliate relating to the marketing of KCD's products or services; and</w:t>
      </w:r>
    </w:p>
    <w:p>
      <w:pPr>
        <w:numPr>
          <w:ilvl w:val="0"/>
          <w:numId w:val="147"/>
        </w:numPr>
        <w:spacing w:after="200"/>
        <w:ind w:left="720" w:hanging="192"/>
        <w:jc w:val="left"/>
        <w:rPr>
          <w:rFonts w:eastAsia="Arial" w:cs="Arial"/>
          <w:sz w:val="20"/>
          <w:szCs w:val="20"/>
        </w:rPr>
      </w:pPr>
      <w:r>
        <w:rPr>
          <w:rFonts w:eastAsia="Arial" w:cs="Arial"/>
          <w:sz w:val="20"/>
          <w:szCs w:val="20"/>
        </w:rPr>
        <w:t xml:space="preserve">KCD's affiliate is identified on or with the marketing materials provided to the consumer. </w:t>
      </w:r>
    </w:p>
    <w:p>
      <w:pPr>
        <w:pStyle w:val="normal0"/>
        <w:spacing w:before="200" w:after="200"/>
        <w:rPr>
          <w:rFonts w:eastAsia="Arial" w:cs="Arial"/>
          <w:sz w:val="20"/>
          <w:szCs w:val="20"/>
        </w:rPr>
      </w:pPr>
      <w:r>
        <w:rPr>
          <w:rFonts w:eastAsia="Arial" w:cs="Arial"/>
          <w:sz w:val="20"/>
          <w:szCs w:val="20"/>
        </w:rPr>
        <w:t>The exception will only apply if the requirements of this section are set forth in a written agreement between KCD's affiliate and the service provider.</w:t>
      </w:r>
    </w:p>
    <w:p>
      <w:bookmarkEnd w:id="130"/>
      <w:bookmarkStart w:id="131" w:name="Sec_Chp_061016102248171_0610161022433134"/>
    </w:p>
    <w:p>
      <w:pPr>
        <w:pStyle w:val="Heading4"/>
      </w:pPr>
      <w:r>
        <w:t>3.3.17.4 Other Exceptions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provisions of this section do not apply to KCD if KCD uses eligibility information that it receives from an affiliate: </w:t>
      </w:r>
    </w:p>
    <w:p>
      <w:pPr>
        <w:numPr>
          <w:ilvl w:val="0"/>
          <w:numId w:val="148"/>
        </w:numPr>
        <w:spacing w:before="200"/>
        <w:ind w:left="720" w:hanging="192"/>
        <w:jc w:val="left"/>
        <w:rPr>
          <w:rFonts w:eastAsia="Arial" w:cs="Arial"/>
          <w:sz w:val="20"/>
          <w:szCs w:val="20"/>
        </w:rPr>
      </w:pPr>
      <w:r>
        <w:rPr>
          <w:rFonts w:eastAsia="Arial" w:cs="Arial"/>
          <w:sz w:val="20"/>
          <w:szCs w:val="20"/>
        </w:rPr>
        <w:t xml:space="preserve">To make a marketing solicitation to a consumer with whom KCD has a pre-existing business relationship; </w:t>
      </w:r>
    </w:p>
    <w:p>
      <w:pPr>
        <w:numPr>
          <w:ilvl w:val="0"/>
          <w:numId w:val="148"/>
        </w:numPr>
        <w:ind w:left="720" w:hanging="192"/>
        <w:jc w:val="left"/>
        <w:rPr>
          <w:rFonts w:eastAsia="Arial" w:cs="Arial"/>
          <w:sz w:val="20"/>
          <w:szCs w:val="20"/>
        </w:rPr>
      </w:pPr>
      <w:r>
        <w:rPr>
          <w:rFonts w:eastAsia="Arial" w:cs="Arial"/>
          <w:sz w:val="20"/>
          <w:szCs w:val="20"/>
        </w:rPr>
        <w:t xml:space="preserve">To facilitate communications to an individual for whose benefit KCD provides employee benefits or other services pursuant to a contract with an employer related to and arising out of the current employment relationship or status of the individual as a participant or beneficiary of an employee benefit plan; </w:t>
      </w:r>
    </w:p>
    <w:p>
      <w:pPr>
        <w:numPr>
          <w:ilvl w:val="0"/>
          <w:numId w:val="148"/>
        </w:numPr>
        <w:ind w:left="720" w:hanging="192"/>
        <w:jc w:val="left"/>
        <w:rPr>
          <w:rFonts w:eastAsia="Arial" w:cs="Arial"/>
          <w:sz w:val="20"/>
          <w:szCs w:val="20"/>
        </w:rPr>
      </w:pPr>
      <w:r>
        <w:rPr>
          <w:rFonts w:eastAsia="Arial" w:cs="Arial"/>
          <w:sz w:val="20"/>
          <w:szCs w:val="20"/>
        </w:rPr>
        <w:t>To perform services on behalf of an affiliate, except that this paragraph shall not be construed as permitting KCD to send marketing solicitations on behalf of an affiliate if the affiliate would not be permitted to send the marketing solicitation as a result of the election of the consumer to opt out under this subpart;</w:t>
      </w:r>
    </w:p>
    <w:p>
      <w:pPr>
        <w:numPr>
          <w:ilvl w:val="0"/>
          <w:numId w:val="148"/>
        </w:numPr>
        <w:ind w:left="720" w:hanging="192"/>
        <w:jc w:val="left"/>
        <w:rPr>
          <w:rFonts w:eastAsia="Arial" w:cs="Arial"/>
          <w:sz w:val="20"/>
          <w:szCs w:val="20"/>
        </w:rPr>
      </w:pPr>
      <w:r>
        <w:rPr>
          <w:rFonts w:eastAsia="Arial" w:cs="Arial"/>
          <w:sz w:val="20"/>
          <w:szCs w:val="20"/>
        </w:rPr>
        <w:t>In response to a communication about KCD's products or services initiated by the consumer;</w:t>
      </w:r>
    </w:p>
    <w:p>
      <w:pPr>
        <w:numPr>
          <w:ilvl w:val="0"/>
          <w:numId w:val="148"/>
        </w:numPr>
        <w:ind w:left="720" w:hanging="192"/>
        <w:jc w:val="left"/>
        <w:rPr>
          <w:rFonts w:eastAsia="Arial" w:cs="Arial"/>
          <w:sz w:val="20"/>
          <w:szCs w:val="20"/>
        </w:rPr>
      </w:pPr>
      <w:r>
        <w:rPr>
          <w:rFonts w:eastAsia="Arial" w:cs="Arial"/>
          <w:sz w:val="20"/>
          <w:szCs w:val="20"/>
        </w:rPr>
        <w:t xml:space="preserve">In response to an authorization or request by the consumer to receive solicitations; or </w:t>
      </w:r>
    </w:p>
    <w:p>
      <w:pPr>
        <w:numPr>
          <w:ilvl w:val="0"/>
          <w:numId w:val="148"/>
        </w:numPr>
        <w:spacing w:after="200"/>
        <w:ind w:left="720" w:hanging="192"/>
        <w:jc w:val="left"/>
        <w:rPr>
          <w:rFonts w:eastAsia="Arial" w:cs="Arial"/>
          <w:sz w:val="20"/>
          <w:szCs w:val="20"/>
        </w:rPr>
      </w:pPr>
      <w:r>
        <w:rPr>
          <w:rFonts w:eastAsia="Arial" w:cs="Arial"/>
          <w:sz w:val="20"/>
          <w:szCs w:val="20"/>
        </w:rPr>
        <w:t xml:space="preserve">If KCD's compliance with this subpart would prevent KCD from complying with any provision of State insurance laws pertaining to unfair discrimination in any State in which KCD is lawfully doing business. </w:t>
      </w:r>
    </w:p>
    <w:p>
      <w:bookmarkEnd w:id="131"/>
      <w:bookmarkStart w:id="132" w:name="Sec_Chp_061016102248171_0610161022433135"/>
    </w:p>
    <w:p>
      <w:pPr>
        <w:pStyle w:val="Heading4"/>
      </w:pPr>
      <w:r>
        <w:t>3.3.17.5 Opting Out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Acceptable Methods</w:t>
      </w:r>
    </w:p>
    <w:p>
      <w:pPr>
        <w:numPr>
          <w:ilvl w:val="0"/>
          <w:numId w:val="149"/>
        </w:numPr>
        <w:spacing w:before="200"/>
        <w:ind w:left="720" w:hanging="192"/>
        <w:jc w:val="left"/>
        <w:rPr>
          <w:rFonts w:eastAsia="Arial" w:cs="Arial"/>
          <w:sz w:val="20"/>
          <w:szCs w:val="20"/>
        </w:rPr>
      </w:pPr>
      <w:r>
        <w:rPr>
          <w:rFonts w:eastAsia="Arial" w:cs="Arial"/>
          <w:sz w:val="20"/>
          <w:szCs w:val="20"/>
        </w:rPr>
        <w:t xml:space="preserve">Designating a check-off box in a prominent position on the opt out form; </w:t>
      </w:r>
    </w:p>
    <w:p>
      <w:pPr>
        <w:numPr>
          <w:ilvl w:val="0"/>
          <w:numId w:val="149"/>
        </w:numPr>
        <w:ind w:left="720" w:hanging="192"/>
        <w:jc w:val="left"/>
        <w:rPr>
          <w:rFonts w:eastAsia="Arial" w:cs="Arial"/>
          <w:sz w:val="20"/>
          <w:szCs w:val="20"/>
        </w:rPr>
      </w:pPr>
      <w:r>
        <w:rPr>
          <w:rFonts w:eastAsia="Arial" w:cs="Arial"/>
          <w:sz w:val="20"/>
          <w:szCs w:val="20"/>
        </w:rPr>
        <w:t>Including a reply form and a self-addressed envelope together with the opt out notice;</w:t>
      </w:r>
    </w:p>
    <w:p>
      <w:pPr>
        <w:numPr>
          <w:ilvl w:val="0"/>
          <w:numId w:val="149"/>
        </w:numPr>
        <w:ind w:left="720" w:hanging="192"/>
        <w:jc w:val="left"/>
        <w:rPr>
          <w:rFonts w:eastAsia="Arial" w:cs="Arial"/>
          <w:sz w:val="20"/>
          <w:szCs w:val="20"/>
        </w:rPr>
      </w:pPr>
      <w:r>
        <w:rPr>
          <w:rFonts w:eastAsia="Arial" w:cs="Arial"/>
          <w:sz w:val="20"/>
          <w:szCs w:val="20"/>
        </w:rPr>
        <w:t>Providing an electronic means to opt out, such as a form that can be electronically mailed or processed at an Internet Web site, if the consumer agrees to the electronic delivery of information;</w:t>
      </w:r>
    </w:p>
    <w:p>
      <w:pPr>
        <w:numPr>
          <w:ilvl w:val="0"/>
          <w:numId w:val="149"/>
        </w:numPr>
        <w:ind w:left="720" w:hanging="192"/>
        <w:jc w:val="left"/>
        <w:rPr>
          <w:rFonts w:eastAsia="Arial" w:cs="Arial"/>
          <w:sz w:val="20"/>
          <w:szCs w:val="20"/>
        </w:rPr>
      </w:pPr>
      <w:r>
        <w:rPr>
          <w:rFonts w:eastAsia="Arial" w:cs="Arial"/>
          <w:sz w:val="20"/>
          <w:szCs w:val="20"/>
        </w:rPr>
        <w:t xml:space="preserve">Providing a toll-free telephone number that consumers may call to opt out; or </w:t>
      </w:r>
    </w:p>
    <w:p>
      <w:pPr>
        <w:numPr>
          <w:ilvl w:val="0"/>
          <w:numId w:val="149"/>
        </w:numPr>
        <w:spacing w:after="200"/>
        <w:ind w:left="720" w:hanging="192"/>
        <w:jc w:val="left"/>
        <w:rPr>
          <w:rFonts w:eastAsia="Arial" w:cs="Arial"/>
          <w:sz w:val="20"/>
          <w:szCs w:val="20"/>
        </w:rPr>
      </w:pPr>
      <w:r>
        <w:rPr>
          <w:rFonts w:eastAsia="Arial" w:cs="Arial"/>
          <w:sz w:val="20"/>
          <w:szCs w:val="20"/>
        </w:rPr>
        <w:t xml:space="preserve">Allowing consumers to exercise all of their opt out rights described in a consolidated opt out notice that includes the GLBA privacy, FCRA affiliate sharing, and FCRA affiliate marketing opt outs, by a single method, such as by calling a single toll-free telephone number. </w:t>
      </w:r>
    </w:p>
    <w:p>
      <w:pPr>
        <w:pStyle w:val="normal0"/>
        <w:spacing w:before="200" w:after="200"/>
        <w:rPr>
          <w:rFonts w:eastAsia="Arial" w:cs="Arial"/>
          <w:sz w:val="20"/>
          <w:szCs w:val="20"/>
        </w:rPr>
      </w:pPr>
      <w:r>
        <w:rPr>
          <w:rFonts w:eastAsia="Arial" w:cs="Arial"/>
          <w:sz w:val="20"/>
          <w:szCs w:val="20"/>
        </w:rPr>
        <w:t xml:space="preserve">b. Unacceptable Methods </w:t>
      </w:r>
    </w:p>
    <w:p>
      <w:pPr>
        <w:numPr>
          <w:ilvl w:val="0"/>
          <w:numId w:val="150"/>
        </w:numPr>
        <w:spacing w:before="200"/>
        <w:ind w:left="720" w:hanging="192"/>
        <w:jc w:val="left"/>
        <w:rPr>
          <w:rFonts w:eastAsia="Arial" w:cs="Arial"/>
          <w:sz w:val="20"/>
          <w:szCs w:val="20"/>
        </w:rPr>
      </w:pPr>
      <w:r>
        <w:rPr>
          <w:rFonts w:eastAsia="Arial" w:cs="Arial"/>
          <w:sz w:val="20"/>
          <w:szCs w:val="20"/>
        </w:rPr>
        <w:t xml:space="preserve">Requiring the consumer to write his or her own letter; </w:t>
      </w:r>
    </w:p>
    <w:p>
      <w:pPr>
        <w:numPr>
          <w:ilvl w:val="0"/>
          <w:numId w:val="150"/>
        </w:numPr>
        <w:ind w:left="720" w:hanging="192"/>
        <w:jc w:val="left"/>
        <w:rPr>
          <w:rFonts w:eastAsia="Arial" w:cs="Arial"/>
          <w:sz w:val="20"/>
          <w:szCs w:val="20"/>
        </w:rPr>
      </w:pPr>
      <w:r>
        <w:rPr>
          <w:rFonts w:eastAsia="Arial" w:cs="Arial"/>
          <w:sz w:val="20"/>
          <w:szCs w:val="20"/>
        </w:rPr>
        <w:t>Requiring the consumer to call or write to obtain a form for opting out, rather than including the form with the opt out notice; or</w:t>
      </w:r>
    </w:p>
    <w:p>
      <w:pPr>
        <w:numPr>
          <w:ilvl w:val="0"/>
          <w:numId w:val="150"/>
        </w:numPr>
        <w:spacing w:after="200"/>
        <w:ind w:left="720" w:hanging="192"/>
        <w:jc w:val="left"/>
        <w:rPr>
          <w:rFonts w:eastAsia="Arial" w:cs="Arial"/>
          <w:sz w:val="20"/>
          <w:szCs w:val="20"/>
        </w:rPr>
      </w:pPr>
      <w:r>
        <w:rPr>
          <w:rFonts w:eastAsia="Arial" w:cs="Arial"/>
          <w:sz w:val="20"/>
          <w:szCs w:val="20"/>
        </w:rPr>
        <w:t xml:space="preserve">Requiring the consumer who receives the opt out notice in electronic form only, such as through posting at an Internet Web site, to opt out solely by paper mail or by visiting a different Web site without providing a link to that site. </w:t>
      </w:r>
    </w:p>
    <w:p>
      <w:bookmarkEnd w:id="132"/>
      <w:bookmarkStart w:id="133" w:name="Sec_Chp_061016102248171_0610161022433136"/>
    </w:p>
    <w:p>
      <w:pPr>
        <w:pStyle w:val="Heading4"/>
      </w:pPr>
      <w:r>
        <w:t>3.3.17.6 Contents of Opt Out Notice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opt out notice must disclose:</w:t>
      </w:r>
    </w:p>
    <w:p>
      <w:pPr>
        <w:numPr>
          <w:ilvl w:val="0"/>
          <w:numId w:val="151"/>
        </w:numPr>
        <w:spacing w:before="200"/>
        <w:ind w:left="720" w:hanging="192"/>
        <w:jc w:val="left"/>
        <w:rPr>
          <w:rFonts w:eastAsia="Arial" w:cs="Arial"/>
          <w:sz w:val="20"/>
          <w:szCs w:val="20"/>
        </w:rPr>
      </w:pPr>
      <w:r>
        <w:rPr>
          <w:rFonts w:eastAsia="Arial" w:cs="Arial"/>
          <w:sz w:val="20"/>
          <w:szCs w:val="20"/>
        </w:rPr>
        <w:t>The name of the affiliate(s) providing the notice. If the notice is provided jointly by multiple affiliates and each affiliate shares a common name, such as "ABC," then the notice may indicate it is being provided by multiple companies with the ABC name or multiple companies in the ABC group or family of companies, for example, by stating that the notice is provided by "all of the ABC companies," "the ABC banking, credit card, insurance, and securities companies," or by listing the name of each affiliate providing the notice. But if the affiliates providing the joint notice do not all share a common name, then the notice must either separately identify each affiliate by name or identify each of the common names used by those affiliates, for example, by stating that the notice is provided by "all of the ABC and XYZ companies" or by "the ABC banking and securities companies and the XYZ insurance companies;"</w:t>
      </w:r>
    </w:p>
    <w:p>
      <w:pPr>
        <w:numPr>
          <w:ilvl w:val="0"/>
          <w:numId w:val="151"/>
        </w:numPr>
        <w:ind w:left="720" w:hanging="192"/>
        <w:jc w:val="left"/>
        <w:rPr>
          <w:rFonts w:eastAsia="Arial" w:cs="Arial"/>
          <w:sz w:val="20"/>
          <w:szCs w:val="20"/>
        </w:rPr>
      </w:pPr>
      <w:r>
        <w:rPr>
          <w:rFonts w:eastAsia="Arial" w:cs="Arial"/>
          <w:sz w:val="20"/>
          <w:szCs w:val="20"/>
        </w:rPr>
        <w:t xml:space="preserve">A list of the affiliates or types of affiliates whose use of eligibility information is covered by the notice, which may include companies that become affiliates after the notice is provided to the consumer. If each affiliate covered by the notice shares a common name, such as "ABC," then the notice may indicate that it applies to multiple companies with the ABC name or multiple companies in the ABC group or family of companies, for example, by stating that the notice is provided by "all of the ABC companies," "the ABC banking, credit card, insurance, and securities companies," or by listing the name of each affiliate providing the notice. But if the affiliates covered by the notice do not all share a common name, then the notice must either separately identify each covered affiliate by name or identify each of the common names used by those affiliates, for example, by stating that the notice applies to "all of the ABC and XYZ companies" or to "the ABC banking and securities companies and the XYZ insurance companies;" </w:t>
      </w:r>
    </w:p>
    <w:p>
      <w:pPr>
        <w:numPr>
          <w:ilvl w:val="0"/>
          <w:numId w:val="151"/>
        </w:numPr>
        <w:ind w:left="720" w:hanging="192"/>
        <w:jc w:val="left"/>
        <w:rPr>
          <w:rFonts w:eastAsia="Arial" w:cs="Arial"/>
          <w:sz w:val="20"/>
          <w:szCs w:val="20"/>
        </w:rPr>
      </w:pPr>
      <w:r>
        <w:rPr>
          <w:rFonts w:eastAsia="Arial" w:cs="Arial"/>
          <w:sz w:val="20"/>
          <w:szCs w:val="20"/>
        </w:rPr>
        <w:t>A general description of the types of eligibility information that may be used to make marketing solicitations to the consumer;</w:t>
      </w:r>
    </w:p>
    <w:p>
      <w:pPr>
        <w:numPr>
          <w:ilvl w:val="0"/>
          <w:numId w:val="151"/>
        </w:numPr>
        <w:ind w:left="720" w:hanging="192"/>
        <w:jc w:val="left"/>
        <w:rPr>
          <w:rFonts w:eastAsia="Arial" w:cs="Arial"/>
          <w:sz w:val="20"/>
          <w:szCs w:val="20"/>
        </w:rPr>
      </w:pPr>
      <w:r>
        <w:rPr>
          <w:rFonts w:eastAsia="Arial" w:cs="Arial"/>
          <w:sz w:val="20"/>
          <w:szCs w:val="20"/>
        </w:rPr>
        <w:t>That the consumer previously elected to limit the use of certain information to make marketing solicitations to the consumer;</w:t>
      </w:r>
    </w:p>
    <w:p>
      <w:pPr>
        <w:numPr>
          <w:ilvl w:val="0"/>
          <w:numId w:val="151"/>
        </w:numPr>
        <w:ind w:left="720" w:hanging="192"/>
        <w:jc w:val="left"/>
        <w:rPr>
          <w:rFonts w:eastAsia="Arial" w:cs="Arial"/>
          <w:sz w:val="20"/>
          <w:szCs w:val="20"/>
        </w:rPr>
      </w:pPr>
      <w:r>
        <w:rPr>
          <w:rFonts w:eastAsia="Arial" w:cs="Arial"/>
          <w:sz w:val="20"/>
          <w:szCs w:val="20"/>
        </w:rPr>
        <w:t xml:space="preserve">That the consumer's election has expired or is about to expire; </w:t>
      </w:r>
    </w:p>
    <w:p>
      <w:pPr>
        <w:numPr>
          <w:ilvl w:val="0"/>
          <w:numId w:val="151"/>
        </w:numPr>
        <w:ind w:left="720" w:hanging="192"/>
        <w:jc w:val="left"/>
        <w:rPr>
          <w:rFonts w:eastAsia="Arial" w:cs="Arial"/>
          <w:sz w:val="20"/>
          <w:szCs w:val="20"/>
        </w:rPr>
      </w:pPr>
      <w:r>
        <w:rPr>
          <w:rFonts w:eastAsia="Arial" w:cs="Arial"/>
          <w:sz w:val="20"/>
          <w:szCs w:val="20"/>
        </w:rPr>
        <w:t>That the consumer may elect to renew the consumer's previous election;</w:t>
      </w:r>
    </w:p>
    <w:p>
      <w:pPr>
        <w:numPr>
          <w:ilvl w:val="0"/>
          <w:numId w:val="151"/>
        </w:numPr>
        <w:ind w:left="720" w:hanging="192"/>
        <w:jc w:val="left"/>
        <w:rPr>
          <w:rFonts w:eastAsia="Arial" w:cs="Arial"/>
          <w:sz w:val="20"/>
          <w:szCs w:val="20"/>
        </w:rPr>
      </w:pPr>
      <w:r>
        <w:rPr>
          <w:rFonts w:eastAsia="Arial" w:cs="Arial"/>
          <w:sz w:val="20"/>
          <w:szCs w:val="20"/>
        </w:rPr>
        <w:t>If applicable, that the consumer's election to renew will apply for the specified period of time stated in the notice and that the consumer will be allowed to renew the election once that period expires; and</w:t>
      </w:r>
    </w:p>
    <w:p>
      <w:pPr>
        <w:numPr>
          <w:ilvl w:val="0"/>
          <w:numId w:val="151"/>
        </w:numPr>
        <w:spacing w:after="200"/>
        <w:ind w:left="720" w:hanging="192"/>
        <w:jc w:val="left"/>
        <w:rPr>
          <w:rFonts w:eastAsia="Arial" w:cs="Arial"/>
          <w:sz w:val="20"/>
          <w:szCs w:val="20"/>
        </w:rPr>
      </w:pPr>
      <w:r>
        <w:rPr>
          <w:rFonts w:eastAsia="Arial" w:cs="Arial"/>
          <w:sz w:val="20"/>
          <w:szCs w:val="20"/>
        </w:rPr>
        <w:t xml:space="preserve">A reasonable and simple method for the consumer to opt out. </w:t>
      </w:r>
    </w:p>
    <w:p>
      <w:bookmarkEnd w:id="133"/>
      <w:bookmarkStart w:id="134" w:name="Sec_Chp_061016102248171_0610161022433137"/>
    </w:p>
    <w:p>
      <w:pPr>
        <w:pStyle w:val="Heading4"/>
      </w:pPr>
      <w:r>
        <w:t>3.3.17.7 Length of Opt Out Period</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opt out period shall last 5 years.</w:t>
      </w:r>
    </w:p>
    <w:p>
      <w:bookmarkEnd w:id="134"/>
      <w:bookmarkStart w:id="135" w:name="Sec_Chp_061016102248171_0610161022433138"/>
    </w:p>
    <w:p>
      <w:pPr>
        <w:pStyle w:val="Heading4"/>
      </w:pPr>
      <w:r>
        <w:t>3.3.17.8 Renewal of Opt Out Notice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provide the renewal notice to the consumer either:</w:t>
      </w:r>
    </w:p>
    <w:p>
      <w:pPr>
        <w:numPr>
          <w:ilvl w:val="0"/>
          <w:numId w:val="152"/>
        </w:numPr>
        <w:spacing w:before="200"/>
        <w:ind w:left="720" w:hanging="192"/>
        <w:jc w:val="left"/>
        <w:rPr>
          <w:rFonts w:eastAsia="Arial" w:cs="Arial"/>
          <w:sz w:val="20"/>
          <w:szCs w:val="20"/>
        </w:rPr>
      </w:pPr>
      <w:r>
        <w:rPr>
          <w:rFonts w:eastAsia="Arial" w:cs="Arial"/>
          <w:sz w:val="20"/>
          <w:szCs w:val="20"/>
        </w:rPr>
        <w:t xml:space="preserve">Within a reasonable period of time before the expiration of the opt out period; or </w:t>
      </w:r>
    </w:p>
    <w:p>
      <w:pPr>
        <w:numPr>
          <w:ilvl w:val="0"/>
          <w:numId w:val="152"/>
        </w:numPr>
        <w:spacing w:after="200"/>
        <w:ind w:left="720" w:hanging="192"/>
        <w:jc w:val="left"/>
        <w:rPr>
          <w:rFonts w:eastAsia="Arial" w:cs="Arial"/>
          <w:sz w:val="20"/>
          <w:szCs w:val="20"/>
        </w:rPr>
      </w:pPr>
      <w:r>
        <w:rPr>
          <w:rFonts w:eastAsia="Arial" w:cs="Arial"/>
          <w:sz w:val="20"/>
          <w:szCs w:val="20"/>
        </w:rPr>
        <w:t xml:space="preserve">At any time after the expiration of the opt out period but before marketing solicitations that would have been prohibited by the expired opt out are made to the consumer. </w:t>
      </w:r>
    </w:p>
    <w:p>
      <w:bookmarkEnd w:id="135"/>
      <w:bookmarkStart w:id="136" w:name="Sec_Chp_061016102248171_061016102243314"/>
    </w:p>
    <w:p>
      <w:pPr>
        <w:pStyle w:val="Heading3"/>
      </w:pPr>
      <w:bookmarkStart w:id="137" w:name="_Toc256000042"/>
      <w:r>
        <w:t>3.3.18 Lost Clients</w:t>
      </w:r>
      <w:bookmarkEnd w:id="137"/>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Advisers may lose contact with clients for various reasons including: (1) failure of a client to notify the adviser of his/her correct address, especially after relocating to a new address, or (2) failure of the estate of a deceased client to notify the adviser of the death of the client and the name and address of the trustee for the estate.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p>
        </w:tc>
      </w:tr>
    </w:tbl>
    <w:p>
      <w:pPr>
        <w:pStyle w:val="normal0"/>
        <w:spacing w:before="200" w:after="200"/>
        <w:rPr>
          <w:rFonts w:eastAsia="Arial" w:cs="Arial"/>
          <w:sz w:val="20"/>
          <w:szCs w:val="20"/>
        </w:rPr>
      </w:pPr>
      <w:r>
        <w:rPr>
          <w:rFonts w:eastAsia="Arial" w:cs="Arial"/>
          <w:sz w:val="20"/>
          <w:szCs w:val="20"/>
        </w:rPr>
        <w:t>KCD will make reasonable efforts to locate missing clients. A missing client would be a client to whom KCD has sent correspondence at the address contained in KCD's account records only to have it returned twice as undeliverable after sending it twice in the course of a month.</w:t>
      </w:r>
    </w:p>
    <w:p>
      <w:bookmarkEnd w:id="136"/>
      <w:bookmarkStart w:id="138" w:name="Sec_Chp_061016102248171_061016102243315"/>
    </w:p>
    <w:p>
      <w:pPr>
        <w:pStyle w:val="Heading3"/>
      </w:pPr>
      <w:bookmarkStart w:id="139" w:name="_Toc256000043"/>
      <w:r>
        <w:t>3.3.19 Selective Disclosure of Portfolio Information</w:t>
      </w:r>
      <w:bookmarkEnd w:id="139"/>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may disclose confidential portfolio information to certain persons, including other clients and third party service providers. When making such selective disclosures, KCD shall take steps to protect the confidentiality of the information selectively disclosed. At a minimum, such steps shall include:</w:t>
      </w:r>
    </w:p>
    <w:p>
      <w:pPr>
        <w:numPr>
          <w:ilvl w:val="0"/>
          <w:numId w:val="153"/>
        </w:numPr>
        <w:spacing w:before="200"/>
        <w:ind w:left="720" w:hanging="192"/>
        <w:jc w:val="left"/>
        <w:rPr>
          <w:rFonts w:eastAsia="Arial" w:cs="Arial"/>
          <w:sz w:val="20"/>
          <w:szCs w:val="20"/>
        </w:rPr>
      </w:pPr>
      <w:r>
        <w:rPr>
          <w:rFonts w:eastAsia="Arial" w:cs="Arial"/>
          <w:sz w:val="20"/>
          <w:szCs w:val="20"/>
        </w:rPr>
        <w:t>Entering in a confidentiality agreement with the recipient of the selectively disclosed information, which shall, among other things, prohibit such recipient from disclosing the information to other persons;</w:t>
      </w:r>
    </w:p>
    <w:p>
      <w:pPr>
        <w:numPr>
          <w:ilvl w:val="0"/>
          <w:numId w:val="153"/>
        </w:numPr>
        <w:ind w:left="720" w:hanging="192"/>
        <w:jc w:val="left"/>
        <w:rPr>
          <w:rFonts w:eastAsia="Arial" w:cs="Arial"/>
          <w:sz w:val="20"/>
          <w:szCs w:val="20"/>
        </w:rPr>
      </w:pPr>
      <w:r>
        <w:rPr>
          <w:rFonts w:eastAsia="Arial" w:cs="Arial"/>
          <w:sz w:val="20"/>
          <w:szCs w:val="20"/>
        </w:rPr>
        <w:t>Protecting the information during its transmission, including for example, protective files if the information is transmitted electronically and verifying the recipient in advance of the transmission; and</w:t>
      </w:r>
    </w:p>
    <w:p>
      <w:pPr>
        <w:numPr>
          <w:ilvl w:val="0"/>
          <w:numId w:val="153"/>
        </w:numPr>
        <w:spacing w:after="200"/>
        <w:ind w:left="720" w:hanging="192"/>
        <w:jc w:val="left"/>
        <w:rPr>
          <w:rFonts w:eastAsia="Arial" w:cs="Arial"/>
          <w:sz w:val="20"/>
          <w:szCs w:val="20"/>
        </w:rPr>
      </w:pPr>
      <w:r>
        <w:rPr>
          <w:rFonts w:eastAsia="Arial" w:cs="Arial"/>
          <w:sz w:val="20"/>
          <w:szCs w:val="20"/>
        </w:rPr>
        <w:t>Electing to not transmit portfolio information if any client will be harmed by the selective disclosure of the information.</w:t>
      </w:r>
    </w:p>
    <w:p>
      <w:pPr>
        <w:pStyle w:val="normal0"/>
        <w:spacing w:before="200" w:after="200"/>
        <w:rPr>
          <w:rFonts w:eastAsia="Arial" w:cs="Arial"/>
          <w:sz w:val="20"/>
          <w:szCs w:val="20"/>
        </w:rPr>
      </w:pPr>
      <w:r>
        <w:rPr>
          <w:rFonts w:eastAsia="Arial" w:cs="Arial"/>
          <w:sz w:val="20"/>
          <w:szCs w:val="20"/>
        </w:rPr>
        <w:t>KCD may not:</w:t>
      </w:r>
    </w:p>
    <w:p>
      <w:pPr>
        <w:numPr>
          <w:ilvl w:val="0"/>
          <w:numId w:val="154"/>
        </w:numPr>
        <w:spacing w:before="200"/>
        <w:ind w:left="720" w:hanging="192"/>
        <w:jc w:val="left"/>
        <w:rPr>
          <w:rFonts w:eastAsia="Arial" w:cs="Arial"/>
          <w:sz w:val="20"/>
          <w:szCs w:val="20"/>
        </w:rPr>
      </w:pPr>
      <w:r>
        <w:rPr>
          <w:rFonts w:eastAsia="Arial" w:cs="Arial"/>
          <w:sz w:val="20"/>
          <w:szCs w:val="20"/>
        </w:rPr>
        <w:t>receive compensation or other consideration in connection with the release to any person of information regarding client portfolio holdings; and</w:t>
      </w:r>
    </w:p>
    <w:p>
      <w:pPr>
        <w:numPr>
          <w:ilvl w:val="0"/>
          <w:numId w:val="154"/>
        </w:numPr>
        <w:spacing w:after="200"/>
        <w:ind w:left="720" w:hanging="192"/>
        <w:jc w:val="left"/>
        <w:rPr>
          <w:rFonts w:eastAsia="Arial" w:cs="Arial"/>
          <w:sz w:val="20"/>
          <w:szCs w:val="20"/>
        </w:rPr>
      </w:pPr>
      <w:r>
        <w:rPr>
          <w:rFonts w:eastAsia="Arial" w:cs="Arial"/>
          <w:sz w:val="20"/>
          <w:szCs w:val="20"/>
        </w:rPr>
        <w:t>release information regarding client portfolio holdings to any person if KCD has knowledge that the recipient of such information has received, is receiving or will receive compensation or other consideration in connection with the release of the information.</w:t>
      </w:r>
    </w:p>
    <w:p>
      <w:bookmarkEnd w:id="138"/>
      <w:bookmarkStart w:id="140" w:name="Sec_Chp_061016102248171_061016102243316"/>
    </w:p>
    <w:p>
      <w:pPr>
        <w:pStyle w:val="Heading3"/>
      </w:pPr>
      <w:bookmarkStart w:id="141" w:name="_Toc256000044"/>
      <w:r>
        <w:t>3.3.20 Identity Theft Prevention Program</w:t>
      </w:r>
      <w:bookmarkEnd w:id="141"/>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determined that it meets the definition of financial institution for purposes of Regulation S-ID and therefore has adopted this Identity Theft Prevention Program. It is designed to identify, detect and respond to patterns, practices and specific activities (called "red flags") that could indicate identity theft.</w:t>
      </w:r>
    </w:p>
    <w:p>
      <w:pPr>
        <w:pStyle w:val="normal0"/>
        <w:spacing w:before="200" w:after="200"/>
        <w:rPr>
          <w:rFonts w:eastAsia="Arial" w:cs="Arial"/>
          <w:sz w:val="20"/>
          <w:szCs w:val="20"/>
        </w:rPr>
      </w:pPr>
      <w:r>
        <w:rPr>
          <w:rFonts w:eastAsia="Arial" w:cs="Arial"/>
          <w:sz w:val="20"/>
          <w:szCs w:val="20"/>
        </w:rPr>
        <w:t>This Identity Theft Prevention Program addresses:</w:t>
      </w:r>
    </w:p>
    <w:p>
      <w:pPr>
        <w:numPr>
          <w:ilvl w:val="0"/>
          <w:numId w:val="155"/>
        </w:numPr>
        <w:spacing w:before="200"/>
        <w:ind w:left="720" w:hanging="192"/>
        <w:jc w:val="left"/>
        <w:rPr>
          <w:rFonts w:eastAsia="Arial" w:cs="Arial"/>
          <w:sz w:val="20"/>
          <w:szCs w:val="20"/>
        </w:rPr>
      </w:pPr>
      <w:r>
        <w:rPr>
          <w:rFonts w:eastAsia="Arial" w:cs="Arial"/>
          <w:sz w:val="20"/>
          <w:szCs w:val="20"/>
        </w:rPr>
        <w:t>identifying relevant identity theft red flags for KCD,</w:t>
      </w:r>
    </w:p>
    <w:p>
      <w:pPr>
        <w:numPr>
          <w:ilvl w:val="0"/>
          <w:numId w:val="155"/>
        </w:numPr>
        <w:ind w:left="720" w:hanging="192"/>
        <w:jc w:val="left"/>
        <w:rPr>
          <w:rFonts w:eastAsia="Arial" w:cs="Arial"/>
          <w:sz w:val="20"/>
          <w:szCs w:val="20"/>
        </w:rPr>
      </w:pPr>
      <w:r>
        <w:rPr>
          <w:rFonts w:eastAsia="Arial" w:cs="Arial"/>
          <w:sz w:val="20"/>
          <w:szCs w:val="20"/>
        </w:rPr>
        <w:t>detecting those red flags,</w:t>
      </w:r>
    </w:p>
    <w:p>
      <w:pPr>
        <w:numPr>
          <w:ilvl w:val="0"/>
          <w:numId w:val="155"/>
        </w:numPr>
        <w:ind w:left="720" w:hanging="192"/>
        <w:jc w:val="left"/>
        <w:rPr>
          <w:rFonts w:eastAsia="Arial" w:cs="Arial"/>
          <w:sz w:val="20"/>
          <w:szCs w:val="20"/>
        </w:rPr>
      </w:pPr>
      <w:r>
        <w:rPr>
          <w:rFonts w:eastAsia="Arial" w:cs="Arial"/>
          <w:sz w:val="20"/>
          <w:szCs w:val="20"/>
        </w:rPr>
        <w:t>responding appropriately to any that are detected to prevent and mitigate identity theft, and</w:t>
      </w:r>
    </w:p>
    <w:p>
      <w:pPr>
        <w:numPr>
          <w:ilvl w:val="0"/>
          <w:numId w:val="155"/>
        </w:numPr>
        <w:spacing w:after="200"/>
        <w:ind w:left="720" w:hanging="192"/>
        <w:jc w:val="left"/>
        <w:rPr>
          <w:rFonts w:eastAsia="Arial" w:cs="Arial"/>
          <w:sz w:val="20"/>
          <w:szCs w:val="20"/>
        </w:rPr>
      </w:pPr>
      <w:r>
        <w:rPr>
          <w:rFonts w:eastAsia="Arial" w:cs="Arial"/>
          <w:sz w:val="20"/>
          <w:szCs w:val="20"/>
        </w:rPr>
        <w:t>updating its Identity Theft Prevention Program periodically to reflect changes in risks.</w:t>
      </w:r>
    </w:p>
    <w:p>
      <w:bookmarkEnd w:id="140"/>
    </w:p>
    <w:p>
      <w:pPr>
        <w:pStyle w:val="Heading4"/>
      </w:pPr>
      <w:r>
        <w:t>3.3.20.1 Identity Theft Prevention Policy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protect its clients and their accounts from identity theft and to comply with applicable regulations including the SEC's Regulation S-ID. KCD does this by developing and implementing this written Identity Theft Prevention Program, which is appropriate to KCD's size and complexity, as well as the nature and scope of firm activities.</w:t>
      </w:r>
    </w:p>
    <w:p>
      <w:pPr>
        <w:pStyle w:val="normal0"/>
        <w:spacing w:before="200" w:after="200"/>
        <w:rPr>
          <w:rFonts w:eastAsia="Arial" w:cs="Arial"/>
          <w:sz w:val="20"/>
          <w:szCs w:val="20"/>
        </w:rPr>
      </w:pPr>
      <w:r>
        <w:rPr>
          <w:rFonts w:eastAsia="Arial" w:cs="Arial"/>
          <w:sz w:val="20"/>
          <w:szCs w:val="20"/>
        </w:rPr>
        <w:t>The Identity Theft Prevention Program, including the procedures and internal controls, will be reviewed and updated periodically to ensure they account for changes both in regulations and in firm business.</w:t>
      </w:r>
    </w:p>
    <w:p>
      <w:bookmarkStart w:id="142" w:name="Sec_Chp_061016102248171_0610161022433162"/>
    </w:p>
    <w:p>
      <w:pPr>
        <w:pStyle w:val="Heading4"/>
      </w:pPr>
      <w:r>
        <w:t>3.3.20.2 Identity Theft Prevention Policy and Procedures Requirement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will determine whether it is a "financial institution" or "creditor" that maintains "covered accounts" for purposes of Regulation S-ID, potentially requiring it to adopt and maintain identity theft policy and procedures.</w:t>
      </w:r>
    </w:p>
    <w:p>
      <w:pPr>
        <w:pStyle w:val="normal0"/>
        <w:spacing w:before="200" w:after="200"/>
        <w:rPr>
          <w:rFonts w:eastAsia="Arial" w:cs="Arial"/>
          <w:sz w:val="20"/>
          <w:szCs w:val="20"/>
        </w:rPr>
      </w:pPr>
      <w:r>
        <w:rPr>
          <w:rFonts w:eastAsia="Arial" w:cs="Arial"/>
          <w:i/>
          <w:iCs/>
          <w:sz w:val="20"/>
          <w:szCs w:val="20"/>
        </w:rPr>
        <w:t>Financial Institution</w:t>
      </w:r>
    </w:p>
    <w:p>
      <w:pPr>
        <w:pStyle w:val="normal0"/>
        <w:spacing w:before="200" w:after="200"/>
        <w:rPr>
          <w:rFonts w:eastAsia="Arial" w:cs="Arial"/>
          <w:sz w:val="20"/>
          <w:szCs w:val="20"/>
        </w:rPr>
      </w:pPr>
      <w:r>
        <w:rPr>
          <w:rFonts w:eastAsia="Arial" w:cs="Arial"/>
          <w:sz w:val="20"/>
          <w:szCs w:val="20"/>
        </w:rPr>
        <w:t>KCD will be a "financial institution" if it provides, either directly or indirectly through a clearing firm, "consumer" "transaction accounts." KCD will not be a Financial Institution if it has only non-individuals (i.e., entities, institutions, etc.) as clients. If KCD is not a financial institution because, for example, it has only institutional clients, it can still be a "creditor."</w:t>
      </w:r>
    </w:p>
    <w:p>
      <w:pPr>
        <w:pStyle w:val="normal0"/>
        <w:spacing w:before="200" w:after="200"/>
        <w:rPr>
          <w:rFonts w:eastAsia="Arial" w:cs="Arial"/>
          <w:sz w:val="20"/>
          <w:szCs w:val="20"/>
        </w:rPr>
      </w:pPr>
      <w:r>
        <w:rPr>
          <w:rFonts w:eastAsia="Arial" w:cs="Arial"/>
          <w:i/>
          <w:iCs/>
          <w:sz w:val="20"/>
          <w:szCs w:val="20"/>
        </w:rPr>
        <w:t>Transaction Account</w:t>
      </w:r>
    </w:p>
    <w:p>
      <w:pPr>
        <w:pStyle w:val="normal0"/>
        <w:spacing w:before="200" w:after="200"/>
        <w:rPr>
          <w:rFonts w:eastAsia="Arial" w:cs="Arial"/>
          <w:sz w:val="20"/>
          <w:szCs w:val="20"/>
        </w:rPr>
      </w:pPr>
      <w:r>
        <w:rPr>
          <w:rFonts w:eastAsia="Arial" w:cs="Arial"/>
          <w:sz w:val="20"/>
          <w:szCs w:val="20"/>
        </w:rPr>
        <w:t>KCD will maintain a "transaction account" if it has accounts that allow account holders to make withdrawals for payment or transfer of funds to third parties by telephone transfers, checks, debit cards or similar means.</w:t>
      </w:r>
    </w:p>
    <w:p>
      <w:pPr>
        <w:pStyle w:val="normal0"/>
        <w:spacing w:before="200" w:after="200"/>
        <w:rPr>
          <w:rFonts w:eastAsia="Arial" w:cs="Arial"/>
          <w:sz w:val="20"/>
          <w:szCs w:val="20"/>
        </w:rPr>
      </w:pPr>
      <w:r>
        <w:rPr>
          <w:rFonts w:eastAsia="Arial" w:cs="Arial"/>
          <w:i/>
          <w:iCs/>
          <w:sz w:val="20"/>
          <w:szCs w:val="20"/>
        </w:rPr>
        <w:t>Consumer</w:t>
      </w:r>
    </w:p>
    <w:p>
      <w:pPr>
        <w:pStyle w:val="normal0"/>
        <w:spacing w:before="200" w:after="200"/>
        <w:rPr>
          <w:rFonts w:eastAsia="Arial" w:cs="Arial"/>
          <w:sz w:val="20"/>
          <w:szCs w:val="20"/>
        </w:rPr>
      </w:pPr>
      <w:r>
        <w:rPr>
          <w:rFonts w:eastAsia="Arial" w:cs="Arial"/>
          <w:sz w:val="20"/>
          <w:szCs w:val="20"/>
        </w:rPr>
        <w:t>KCD's non-entity clients generally are deemed to be "consumers" since "consumer" is defined as an individual.</w:t>
      </w:r>
    </w:p>
    <w:p>
      <w:pPr>
        <w:pStyle w:val="normal0"/>
        <w:spacing w:before="200" w:after="200"/>
        <w:rPr>
          <w:rFonts w:eastAsia="Arial" w:cs="Arial"/>
          <w:sz w:val="20"/>
          <w:szCs w:val="20"/>
        </w:rPr>
      </w:pPr>
      <w:r>
        <w:rPr>
          <w:rFonts w:eastAsia="Arial" w:cs="Arial"/>
          <w:i/>
          <w:iCs/>
          <w:sz w:val="20"/>
          <w:szCs w:val="20"/>
        </w:rPr>
        <w:t>Creditor</w:t>
      </w:r>
    </w:p>
    <w:p>
      <w:pPr>
        <w:pStyle w:val="normal0"/>
        <w:spacing w:before="200" w:after="200"/>
        <w:rPr>
          <w:rFonts w:eastAsia="Arial" w:cs="Arial"/>
          <w:sz w:val="20"/>
          <w:szCs w:val="20"/>
        </w:rPr>
      </w:pPr>
      <w:r>
        <w:rPr>
          <w:rFonts w:eastAsia="Arial" w:cs="Arial"/>
          <w:sz w:val="20"/>
          <w:szCs w:val="20"/>
        </w:rPr>
        <w:t>KCD will be a "creditor" if it regularly extends, renews or continues credit (such as margin) or arranges for its extension, renewal or continuation (such as through a clearing firm).</w:t>
      </w:r>
    </w:p>
    <w:p>
      <w:pPr>
        <w:pStyle w:val="normal0"/>
        <w:spacing w:before="200" w:after="200"/>
        <w:rPr>
          <w:rFonts w:eastAsia="Arial" w:cs="Arial"/>
          <w:sz w:val="20"/>
          <w:szCs w:val="20"/>
        </w:rPr>
      </w:pPr>
      <w:r>
        <w:rPr>
          <w:rFonts w:eastAsia="Arial" w:cs="Arial"/>
          <w:i/>
          <w:iCs/>
          <w:sz w:val="20"/>
          <w:szCs w:val="20"/>
        </w:rPr>
        <w:t>Covered Account</w:t>
      </w:r>
    </w:p>
    <w:p>
      <w:pPr>
        <w:pStyle w:val="normal0"/>
        <w:spacing w:before="200" w:after="200"/>
        <w:rPr>
          <w:rFonts w:eastAsia="Arial" w:cs="Arial"/>
          <w:sz w:val="20"/>
          <w:szCs w:val="20"/>
        </w:rPr>
      </w:pPr>
      <w:r>
        <w:rPr>
          <w:rFonts w:eastAsia="Arial" w:cs="Arial"/>
          <w:sz w:val="20"/>
          <w:szCs w:val="20"/>
        </w:rPr>
        <w:t>If KCD is either a financial institution or a creditor, conduct periodic assessments then analyze whether it offers "covered accounts," reviewing all accounts including online accounts, retirement accounts and special purpose accounts and document such analysis. Covered accounts are any accounts that either:</w:t>
      </w:r>
    </w:p>
    <w:p>
      <w:pPr>
        <w:numPr>
          <w:ilvl w:val="0"/>
          <w:numId w:val="156"/>
        </w:numPr>
        <w:spacing w:before="200"/>
        <w:ind w:left="720" w:hanging="267"/>
        <w:jc w:val="left"/>
        <w:rPr>
          <w:rFonts w:eastAsia="Arial" w:cs="Arial"/>
          <w:sz w:val="20"/>
          <w:szCs w:val="20"/>
        </w:rPr>
      </w:pPr>
      <w:r>
        <w:rPr>
          <w:rFonts w:eastAsia="Arial" w:cs="Arial"/>
          <w:sz w:val="20"/>
          <w:szCs w:val="20"/>
        </w:rPr>
        <w:t>KCD offers primarily for personal, family or household purposes and involve multiple payments (such as credit card, margin, checking or savings accounts), or</w:t>
      </w:r>
    </w:p>
    <w:p>
      <w:pPr>
        <w:numPr>
          <w:ilvl w:val="0"/>
          <w:numId w:val="156"/>
        </w:numPr>
        <w:spacing w:after="200"/>
        <w:ind w:left="720" w:hanging="267"/>
        <w:jc w:val="left"/>
        <w:rPr>
          <w:rFonts w:eastAsia="Arial" w:cs="Arial"/>
          <w:sz w:val="20"/>
          <w:szCs w:val="20"/>
        </w:rPr>
      </w:pPr>
      <w:r>
        <w:rPr>
          <w:rFonts w:eastAsia="Arial" w:cs="Arial"/>
          <w:sz w:val="20"/>
          <w:szCs w:val="20"/>
        </w:rPr>
        <w:t>Involve a reasonably foreseeable risk from identity theft to clients or the safety and soundness of KCD.</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when it adopted Regulation S-ID gave the following examples of investment advisers that may fall within the definition of "financial institution" with respect to separate account and fund relationships:</w:t>
            </w:r>
          </w:p>
          <w:p>
            <w:pPr>
              <w:numPr>
                <w:ilvl w:val="0"/>
                <w:numId w:val="157"/>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 investment adviser that directly or indirectly holds transaction accounts and that is permitted to direct payments or transfers out of those accounts to third parties could fall within the meaning of the term "financial institution" because it holds transaction accounts belonging to individuals.</w:t>
            </w:r>
          </w:p>
          <w:p>
            <w:pPr>
              <w:numPr>
                <w:ilvl w:val="0"/>
                <w:numId w:val="157"/>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Even if an investor's assets are physically held with a qualified custodian, an adviser that has authority, by power of attorney or otherwise, to withdraw money from the investor's account and direct payments to third parties according to the investor's instructions would hold a transaction account.</w:t>
            </w:r>
          </w:p>
          <w:p>
            <w:pPr>
              <w:numPr>
                <w:ilvl w:val="0"/>
                <w:numId w:val="157"/>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Registered investment advisers to private funds may directly or indirectly hold transaction accounts. If an individual invests money in a private fund, and the adviser to the fund has the authority, pursuant to an arrangement with the private fund or the individual, to direct such individual's investment proceeds (e.g., redemptions, distributions, dividends, interest, or other proceeds related to the individual's account) to third parties, then that adviser would indirectly hold a transaction account. For example, a private fund adviser would hold a transaction account if it has the authority to direct an investor's redemption proceeds to other persons upon instructions received from the investor.</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t>The SEC when adopting Regulation S-ID gave the following example of circumstances in the private fund context under which an investment adviser could be acting as a "creditor:"</w:t>
            </w:r>
            <w:r>
              <w:rPr>
                <w:rFonts w:eastAsia="Arial" w:cs="Arial"/>
                <w:b w:val="0"/>
                <w:bCs w:val="0"/>
                <w:i w:val="0"/>
                <w:iCs w:val="0"/>
                <w:smallCaps w:val="0"/>
                <w:color w:val="000000"/>
                <w:sz w:val="20"/>
              </w:rPr>
              <w:br/>
            </w:r>
            <w:r>
              <w:rPr>
                <w:rFonts w:eastAsia="Arial" w:cs="Arial"/>
                <w:b w:val="0"/>
                <w:bCs w:val="0"/>
                <w:i w:val="0"/>
                <w:iCs w:val="0"/>
                <w:smallCaps w:val="0"/>
                <w:color w:val="000000"/>
                <w:sz w:val="20"/>
              </w:rPr>
              <w:t>An investment adviser could potentially qualify as a creditor if it "advances funds" to an investor that are not for expenses incidental to services provided by that adviser. For example, a private fund adviser that regularly and in the ordinary course of business lends money, short-term or otherwise, to permit investors to make an investment in the fund, pending the receipt or clearance of an investor's check or wire transfer, could qualify as a creditor.</w:t>
            </w:r>
          </w:p>
        </w:tc>
      </w:tr>
    </w:tbl>
    <w:p>
      <w:pPr>
        <w:spacing w:after="200"/>
        <w:rPr>
          <w:rFonts w:eastAsia="Arial" w:cs="Arial"/>
          <w:sz w:val="20"/>
          <w:szCs w:val="20"/>
        </w:rPr>
      </w:pPr>
    </w:p>
    <w:p>
      <w:bookmarkEnd w:id="142"/>
      <w:bookmarkStart w:id="143" w:name="Sec_Chp_061016102248171_0610161022433163"/>
    </w:p>
    <w:p>
      <w:pPr>
        <w:pStyle w:val="Heading4"/>
      </w:pPr>
      <w:r>
        <w:t>3.3.20.3 Identity Theft Officer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KCD's Chief Compliance Officer has approved this Identity Theft Prevention Program. The Chief Compliance Officer is the designated identity theft officer and is responsible for the oversight, development, implementation and administration (including staff training and oversight of third party service providers) of this Identity Theft Prevention Program.</w:t>
      </w:r>
    </w:p>
    <w:p>
      <w:bookmarkEnd w:id="143"/>
      <w:bookmarkStart w:id="144" w:name="Sec_Chp_061016102248171_0610161022433164"/>
    </w:p>
    <w:p>
      <w:pPr>
        <w:pStyle w:val="Heading4"/>
      </w:pPr>
      <w:r>
        <w:t>3.3.20.4 Consistency with Other Privacy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reviews other policies and procedures of KCD that are required by regulations regarding the protection of client information, including KCD's policies and procedures under Regulation S-P, and its client identification procedures under its AML Compliance Program in the formulation of this Identity Theft Prevention Program, and modifies either them or this Identity Theft Prevention Program to minimize inconsistencies and duplicative efforts.</w:t>
      </w:r>
    </w:p>
    <w:p>
      <w:bookmarkEnd w:id="144"/>
      <w:bookmarkStart w:id="145" w:name="Sec_Chp_061016102248171_0610161022433165"/>
    </w:p>
    <w:p>
      <w:pPr>
        <w:pStyle w:val="Heading4"/>
      </w:pPr>
      <w:r>
        <w:t>3.3.20.5 Identifying Relevant Red Flags</w:t>
      </w:r>
    </w:p>
    <w:p/>
    <w:p>
      <w:pPr>
        <w:rPr>
          <w:rFonts w:eastAsia="Arial" w:cs="Arial"/>
          <w:sz w:val="16"/>
          <w:szCs w:val="16"/>
        </w:rPr>
      </w:pPr>
      <w:r>
        <w:rPr>
          <w:rFonts w:eastAsia="Arial" w:cs="Arial"/>
          <w:sz w:val="16"/>
          <w:szCs w:val="16"/>
        </w:rPr>
        <w:t>[Exchange Act Regulation S-ID Rule 248.201]</w:t>
      </w:r>
    </w:p>
    <w:p/>
    <w:p>
      <w:pPr>
        <w:pStyle w:val="normal0"/>
        <w:spacing w:after="200"/>
        <w:rPr>
          <w:rFonts w:eastAsia="Arial" w:cs="Arial"/>
          <w:sz w:val="20"/>
          <w:szCs w:val="20"/>
        </w:rPr>
      </w:pPr>
      <w:r>
        <w:rPr>
          <w:rFonts w:eastAsia="Arial" w:cs="Arial"/>
          <w:sz w:val="20"/>
          <w:szCs w:val="20"/>
        </w:rPr>
        <w:t>To identify relevant red flags, KCD assesses the following risk factors:</w:t>
      </w:r>
    </w:p>
    <w:p>
      <w:pPr>
        <w:numPr>
          <w:ilvl w:val="0"/>
          <w:numId w:val="158"/>
        </w:numPr>
        <w:spacing w:before="200"/>
        <w:ind w:left="720" w:hanging="192"/>
        <w:jc w:val="left"/>
        <w:rPr>
          <w:rFonts w:eastAsia="Arial" w:cs="Arial"/>
          <w:sz w:val="20"/>
          <w:szCs w:val="20"/>
        </w:rPr>
      </w:pPr>
      <w:r>
        <w:rPr>
          <w:rFonts w:eastAsia="Arial" w:cs="Arial"/>
          <w:sz w:val="20"/>
          <w:szCs w:val="20"/>
        </w:rPr>
        <w:t>the types of client accounts it offers,</w:t>
      </w:r>
    </w:p>
    <w:p>
      <w:pPr>
        <w:numPr>
          <w:ilvl w:val="0"/>
          <w:numId w:val="158"/>
        </w:numPr>
        <w:ind w:left="720" w:hanging="192"/>
        <w:jc w:val="left"/>
        <w:rPr>
          <w:rFonts w:eastAsia="Arial" w:cs="Arial"/>
          <w:sz w:val="20"/>
          <w:szCs w:val="20"/>
        </w:rPr>
      </w:pPr>
      <w:r>
        <w:rPr>
          <w:rFonts w:eastAsia="Arial" w:cs="Arial"/>
          <w:sz w:val="20"/>
          <w:szCs w:val="20"/>
        </w:rPr>
        <w:t>the methods it provides to open or access these accounts, and</w:t>
      </w:r>
    </w:p>
    <w:p>
      <w:pPr>
        <w:numPr>
          <w:ilvl w:val="0"/>
          <w:numId w:val="158"/>
        </w:numPr>
        <w:spacing w:after="200"/>
        <w:ind w:left="720" w:hanging="192"/>
        <w:jc w:val="left"/>
        <w:rPr>
          <w:rFonts w:eastAsia="Arial" w:cs="Arial"/>
          <w:sz w:val="20"/>
          <w:szCs w:val="20"/>
        </w:rPr>
      </w:pPr>
      <w:r>
        <w:rPr>
          <w:rFonts w:eastAsia="Arial" w:cs="Arial"/>
          <w:sz w:val="20"/>
          <w:szCs w:val="20"/>
        </w:rPr>
        <w:t>previous experience with identity theft.</w:t>
      </w:r>
    </w:p>
    <w:p>
      <w:pPr>
        <w:pStyle w:val="normal0"/>
        <w:spacing w:before="200" w:after="200"/>
        <w:rPr>
          <w:rFonts w:eastAsia="Arial" w:cs="Arial"/>
          <w:sz w:val="20"/>
          <w:szCs w:val="20"/>
        </w:rPr>
      </w:pPr>
      <w:r>
        <w:rPr>
          <w:rFonts w:eastAsia="Arial" w:cs="Arial"/>
          <w:sz w:val="20"/>
          <w:szCs w:val="20"/>
        </w:rPr>
        <w:t>KCD considers the sources of Red Flags, including identity theft incidents KCD has experienced, changing identity theft techniques KCD thinks likely, and applicable supervisory guidance.</w:t>
      </w:r>
    </w:p>
    <w:p>
      <w:pPr>
        <w:pStyle w:val="normal0"/>
        <w:spacing w:before="200" w:after="200"/>
        <w:rPr>
          <w:rFonts w:eastAsia="Arial" w:cs="Arial"/>
          <w:sz w:val="20"/>
          <w:szCs w:val="20"/>
        </w:rPr>
      </w:pPr>
      <w:r>
        <w:rPr>
          <w:rFonts w:eastAsia="Arial" w:cs="Arial"/>
          <w:sz w:val="20"/>
          <w:szCs w:val="20"/>
        </w:rPr>
        <w:t>KCD considers red flags from the following categories, as they fit KCD's situation:</w:t>
      </w:r>
    </w:p>
    <w:p>
      <w:pPr>
        <w:numPr>
          <w:ilvl w:val="0"/>
          <w:numId w:val="159"/>
        </w:numPr>
        <w:spacing w:before="200"/>
        <w:ind w:left="720" w:hanging="192"/>
        <w:jc w:val="left"/>
        <w:rPr>
          <w:rFonts w:eastAsia="Arial" w:cs="Arial"/>
          <w:sz w:val="20"/>
          <w:szCs w:val="20"/>
        </w:rPr>
      </w:pPr>
      <w:r>
        <w:rPr>
          <w:rFonts w:eastAsia="Arial" w:cs="Arial"/>
          <w:sz w:val="20"/>
          <w:szCs w:val="20"/>
        </w:rPr>
        <w:t>alerts, notifications or warnings from a credit reporting agency;</w:t>
      </w:r>
    </w:p>
    <w:p>
      <w:pPr>
        <w:numPr>
          <w:ilvl w:val="0"/>
          <w:numId w:val="159"/>
        </w:numPr>
        <w:ind w:left="720" w:hanging="192"/>
        <w:jc w:val="left"/>
        <w:rPr>
          <w:rFonts w:eastAsia="Arial" w:cs="Arial"/>
          <w:sz w:val="20"/>
          <w:szCs w:val="20"/>
        </w:rPr>
      </w:pPr>
      <w:r>
        <w:rPr>
          <w:rFonts w:eastAsia="Arial" w:cs="Arial"/>
          <w:sz w:val="20"/>
          <w:szCs w:val="20"/>
        </w:rPr>
        <w:t>suspicious documents;</w:t>
      </w:r>
    </w:p>
    <w:p>
      <w:pPr>
        <w:numPr>
          <w:ilvl w:val="0"/>
          <w:numId w:val="159"/>
        </w:numPr>
        <w:ind w:left="720" w:hanging="192"/>
        <w:jc w:val="left"/>
        <w:rPr>
          <w:rFonts w:eastAsia="Arial" w:cs="Arial"/>
          <w:sz w:val="20"/>
          <w:szCs w:val="20"/>
        </w:rPr>
      </w:pPr>
      <w:r>
        <w:rPr>
          <w:rFonts w:eastAsia="Arial" w:cs="Arial"/>
          <w:sz w:val="20"/>
          <w:szCs w:val="20"/>
        </w:rPr>
        <w:t>suspicious personal identifying information;</w:t>
      </w:r>
    </w:p>
    <w:p>
      <w:pPr>
        <w:numPr>
          <w:ilvl w:val="0"/>
          <w:numId w:val="159"/>
        </w:numPr>
        <w:ind w:left="720" w:hanging="192"/>
        <w:jc w:val="left"/>
        <w:rPr>
          <w:rFonts w:eastAsia="Arial" w:cs="Arial"/>
          <w:sz w:val="20"/>
          <w:szCs w:val="20"/>
        </w:rPr>
      </w:pPr>
      <w:r>
        <w:rPr>
          <w:rFonts w:eastAsia="Arial" w:cs="Arial"/>
          <w:sz w:val="20"/>
          <w:szCs w:val="20"/>
        </w:rPr>
        <w:t>the unusual use of, or other suspicious account activity; and</w:t>
      </w:r>
    </w:p>
    <w:p>
      <w:pPr>
        <w:numPr>
          <w:ilvl w:val="0"/>
          <w:numId w:val="159"/>
        </w:numPr>
        <w:spacing w:after="200"/>
        <w:ind w:left="720" w:hanging="192"/>
        <w:jc w:val="left"/>
        <w:rPr>
          <w:rFonts w:eastAsia="Arial" w:cs="Arial"/>
          <w:sz w:val="20"/>
          <w:szCs w:val="20"/>
        </w:rPr>
      </w:pPr>
      <w:r>
        <w:rPr>
          <w:rFonts w:eastAsia="Arial" w:cs="Arial"/>
          <w:sz w:val="20"/>
          <w:szCs w:val="20"/>
        </w:rPr>
        <w:t xml:space="preserve">notice from the client, victim of identity theft, law enforcement authorities or other sources. </w:t>
      </w:r>
    </w:p>
    <w:p>
      <w:pPr>
        <w:pStyle w:val="normal0"/>
        <w:spacing w:before="200" w:after="200"/>
        <w:rPr>
          <w:rFonts w:eastAsia="Arial" w:cs="Arial"/>
          <w:sz w:val="20"/>
          <w:szCs w:val="20"/>
        </w:rPr>
      </w:pPr>
      <w:r>
        <w:rPr>
          <w:rFonts w:eastAsia="Arial" w:cs="Arial"/>
          <w:sz w:val="20"/>
          <w:szCs w:val="20"/>
        </w:rPr>
        <w:t>These categories are from Supplement A to Appendix A of the FTC's Red Flags Rule. That Supplement also contains 26 numbered examples under them. KCD reviews these categories and examples to determine their relevance to KCD. Based on this review of the risk factors, sources, and FTC examples of red flags, KCD has identified the following red flags:</w:t>
      </w:r>
    </w:p>
    <w:p>
      <w:pPr>
        <w:pStyle w:val="normal0"/>
        <w:spacing w:before="200" w:after="200"/>
        <w:rPr>
          <w:rFonts w:eastAsia="Arial" w:cs="Arial"/>
          <w:sz w:val="20"/>
          <w:szCs w:val="20"/>
        </w:rPr>
      </w:pPr>
      <w:r>
        <w:rPr>
          <w:rFonts w:eastAsia="Arial" w:cs="Arial"/>
          <w:i/>
          <w:iCs/>
          <w:sz w:val="20"/>
          <w:szCs w:val="20"/>
        </w:rPr>
        <w:t>[LIST OF RED FLAGS]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While KCD will consider the examples in Supplement A to Appendix A of the FTC's Red Flags Rule, it will identify red flags specific to KCD's covered accounts and only those relevant to KCD's client accounts.</w:t>
            </w:r>
          </w:p>
        </w:tc>
      </w:tr>
    </w:tbl>
    <w:p>
      <w:bookmarkEnd w:id="145"/>
      <w:bookmarkStart w:id="146" w:name="Sec_Chp_061016102248171_0610161022433167"/>
    </w:p>
    <w:p>
      <w:pPr>
        <w:pStyle w:val="Heading4"/>
      </w:pPr>
      <w:r>
        <w:t>3.3.20.6 Preventing and Mitigating Identity Theft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reviews its client accounts, how it opens and allows access to them, and its previous experience with identity theft, as well as new methods of identity theft KCD has seen or foresee as likely. Based on this review, the following procedures have been developed to respond to detected identity theft red flags.</w:t>
      </w:r>
    </w:p>
    <w:p>
      <w:pPr>
        <w:pStyle w:val="normal0"/>
        <w:spacing w:before="200" w:after="200"/>
        <w:rPr>
          <w:rFonts w:eastAsia="Arial" w:cs="Arial"/>
          <w:sz w:val="20"/>
          <w:szCs w:val="20"/>
        </w:rPr>
      </w:pPr>
      <w:r>
        <w:rPr>
          <w:rFonts w:eastAsia="Arial" w:cs="Arial"/>
          <w:i/>
          <w:iCs/>
          <w:sz w:val="20"/>
          <w:szCs w:val="20"/>
        </w:rPr>
        <w:t>Procedures to Prevent and Mitigate Identity Theft</w:t>
      </w:r>
    </w:p>
    <w:p>
      <w:pPr>
        <w:pStyle w:val="normal0"/>
        <w:spacing w:before="200" w:after="200"/>
        <w:rPr>
          <w:rFonts w:eastAsia="Arial" w:cs="Arial"/>
          <w:sz w:val="20"/>
          <w:szCs w:val="20"/>
        </w:rPr>
      </w:pPr>
      <w:r>
        <w:rPr>
          <w:rFonts w:eastAsia="Arial" w:cs="Arial"/>
          <w:sz w:val="20"/>
          <w:szCs w:val="20"/>
        </w:rPr>
        <w:t>When KCD has been notified of a red flag or its detection procedures show evidence of a red flag, the following steps, as appropriate to the type and seriousness of the threat, will be taken. In taking these steps, KCD will refer to its Red Flag Identification and Detection Grid.</w:t>
      </w:r>
    </w:p>
    <w:p>
      <w:pPr>
        <w:pStyle w:val="normal0"/>
        <w:spacing w:before="200" w:after="200"/>
        <w:rPr>
          <w:rFonts w:eastAsia="Arial" w:cs="Arial"/>
          <w:sz w:val="20"/>
          <w:szCs w:val="20"/>
        </w:rPr>
      </w:pPr>
      <w:r>
        <w:rPr>
          <w:rFonts w:eastAsia="Arial" w:cs="Arial"/>
          <w:i/>
          <w:iCs/>
          <w:sz w:val="20"/>
          <w:szCs w:val="20"/>
        </w:rPr>
        <w:t>Prospective Clients.</w:t>
      </w:r>
      <w:r>
        <w:rPr>
          <w:rFonts w:eastAsia="Arial" w:cs="Arial"/>
          <w:sz w:val="20"/>
          <w:szCs w:val="20"/>
        </w:rPr>
        <w:t xml:space="preserve"> For Red Flags raised a prospective client applying to open an account:</w:t>
      </w:r>
    </w:p>
    <w:p>
      <w:pPr>
        <w:numPr>
          <w:ilvl w:val="0"/>
          <w:numId w:val="160"/>
        </w:numPr>
        <w:spacing w:before="200"/>
        <w:ind w:left="720" w:hanging="267"/>
        <w:jc w:val="left"/>
        <w:rPr>
          <w:rFonts w:eastAsia="Arial" w:cs="Arial"/>
          <w:sz w:val="20"/>
          <w:szCs w:val="20"/>
        </w:rPr>
      </w:pPr>
      <w:r>
        <w:rPr>
          <w:rFonts w:eastAsia="Arial" w:cs="Arial"/>
          <w:i/>
          <w:iCs/>
          <w:sz w:val="20"/>
          <w:szCs w:val="20"/>
        </w:rPr>
        <w:t>Review the application.</w:t>
      </w:r>
      <w:r>
        <w:rPr>
          <w:rFonts w:eastAsia="Arial" w:cs="Arial"/>
          <w:sz w:val="20"/>
          <w:szCs w:val="20"/>
        </w:rPr>
        <w:t xml:space="preserve"> The Firm reviews the prospective client's information collected for its client identification procedures ("CIP") under its AML Compliance Program (e.g., name, date of birth, address, and an identification number such as a Social Security Number or Taxpayer Identification Number).</w:t>
      </w:r>
    </w:p>
    <w:p>
      <w:pPr>
        <w:numPr>
          <w:ilvl w:val="0"/>
          <w:numId w:val="160"/>
        </w:numPr>
        <w:ind w:left="720" w:hanging="267"/>
        <w:jc w:val="left"/>
        <w:rPr>
          <w:rFonts w:eastAsia="Arial" w:cs="Arial"/>
          <w:sz w:val="20"/>
          <w:szCs w:val="20"/>
        </w:rPr>
      </w:pPr>
      <w:r>
        <w:rPr>
          <w:rFonts w:eastAsia="Arial" w:cs="Arial"/>
          <w:i/>
          <w:iCs/>
          <w:sz w:val="20"/>
          <w:szCs w:val="20"/>
        </w:rPr>
        <w:t>Get government identification.</w:t>
      </w:r>
      <w:r>
        <w:rPr>
          <w:rFonts w:eastAsia="Arial" w:cs="Arial"/>
          <w:sz w:val="20"/>
          <w:szCs w:val="20"/>
        </w:rPr>
        <w:t xml:space="preserve"> If the prospective client is applying in person, KCD will check a current government-issued identification card, such as a driver's license or passport. If the prospective client is submitting an electronic application via its Web site, KCD will use </w:t>
      </w:r>
      <w:r>
        <w:rPr>
          <w:rFonts w:eastAsia="Arial" w:cs="Arial"/>
          <w:i/>
          <w:iCs/>
          <w:sz w:val="20"/>
          <w:szCs w:val="20"/>
        </w:rPr>
        <w:t>[description of Firm's Internet authentication methods]</w:t>
      </w:r>
      <w:r>
        <w:rPr>
          <w:rFonts w:eastAsia="Arial" w:cs="Arial"/>
          <w:sz w:val="20"/>
          <w:szCs w:val="20"/>
        </w:rPr>
        <w:t>.</w:t>
      </w:r>
    </w:p>
    <w:p>
      <w:pPr>
        <w:numPr>
          <w:ilvl w:val="0"/>
          <w:numId w:val="160"/>
        </w:numPr>
        <w:ind w:left="720" w:hanging="267"/>
        <w:jc w:val="left"/>
        <w:rPr>
          <w:rFonts w:eastAsia="Arial" w:cs="Arial"/>
          <w:sz w:val="20"/>
          <w:szCs w:val="20"/>
        </w:rPr>
      </w:pPr>
      <w:r>
        <w:rPr>
          <w:rFonts w:eastAsia="Arial" w:cs="Arial"/>
          <w:i/>
          <w:iCs/>
          <w:sz w:val="20"/>
          <w:szCs w:val="20"/>
        </w:rPr>
        <w:t>Seek additional verification.</w:t>
      </w:r>
      <w:r>
        <w:rPr>
          <w:rFonts w:eastAsia="Arial" w:cs="Arial"/>
          <w:sz w:val="20"/>
          <w:szCs w:val="20"/>
        </w:rPr>
        <w:t xml:space="preserve"> If the potential risk of identity theft indicated by the Red Flag is probable or large in impact, KCD may also verify the person's identity through non-documentary CIP methods, including:</w:t>
      </w:r>
    </w:p>
    <w:p>
      <w:pPr>
        <w:numPr>
          <w:ilvl w:val="1"/>
          <w:numId w:val="160"/>
        </w:numPr>
        <w:ind w:left="1440" w:hanging="220"/>
        <w:jc w:val="left"/>
        <w:rPr>
          <w:rFonts w:eastAsia="Arial" w:cs="Arial"/>
          <w:sz w:val="20"/>
          <w:szCs w:val="20"/>
        </w:rPr>
      </w:pPr>
      <w:r>
        <w:rPr>
          <w:rFonts w:eastAsia="Arial" w:cs="Arial"/>
          <w:sz w:val="20"/>
          <w:szCs w:val="20"/>
        </w:rPr>
        <w:t>Contacting the prospective client;</w:t>
      </w:r>
    </w:p>
    <w:p>
      <w:pPr>
        <w:numPr>
          <w:ilvl w:val="1"/>
          <w:numId w:val="160"/>
        </w:numPr>
        <w:ind w:left="1440" w:hanging="220"/>
        <w:jc w:val="left"/>
        <w:rPr>
          <w:rFonts w:eastAsia="Arial" w:cs="Arial"/>
          <w:sz w:val="20"/>
          <w:szCs w:val="20"/>
        </w:rPr>
      </w:pPr>
      <w:r>
        <w:rPr>
          <w:rFonts w:eastAsia="Arial" w:cs="Arial"/>
          <w:sz w:val="20"/>
          <w:szCs w:val="20"/>
        </w:rPr>
        <w:t xml:space="preserve">Independently verifying the client's information by comparing it with information from a credit reporting agency, public database or other source such as a data broker [or] the Social Security Number Death Master File [or </w:t>
      </w:r>
      <w:r>
        <w:rPr>
          <w:rFonts w:eastAsia="Arial" w:cs="Arial"/>
          <w:i/>
          <w:iCs/>
          <w:sz w:val="20"/>
          <w:szCs w:val="20"/>
        </w:rPr>
        <w:t>list other sources</w:t>
      </w:r>
      <w:r>
        <w:rPr>
          <w:rFonts w:eastAsia="Arial" w:cs="Arial"/>
          <w:sz w:val="20"/>
          <w:szCs w:val="20"/>
        </w:rPr>
        <w:t>];</w:t>
      </w:r>
    </w:p>
    <w:p>
      <w:pPr>
        <w:numPr>
          <w:ilvl w:val="1"/>
          <w:numId w:val="160"/>
        </w:numPr>
        <w:ind w:left="1440" w:hanging="220"/>
        <w:jc w:val="left"/>
        <w:rPr>
          <w:rFonts w:eastAsia="Arial" w:cs="Arial"/>
          <w:sz w:val="20"/>
          <w:szCs w:val="20"/>
        </w:rPr>
      </w:pPr>
      <w:r>
        <w:rPr>
          <w:rFonts w:eastAsia="Arial" w:cs="Arial"/>
          <w:sz w:val="20"/>
          <w:szCs w:val="20"/>
        </w:rPr>
        <w:t>Checking references with other affiliated financial institutions; or</w:t>
      </w:r>
    </w:p>
    <w:p>
      <w:pPr>
        <w:numPr>
          <w:ilvl w:val="1"/>
          <w:numId w:val="160"/>
        </w:numPr>
        <w:ind w:left="1440" w:hanging="220"/>
        <w:jc w:val="left"/>
        <w:rPr>
          <w:rFonts w:eastAsia="Arial" w:cs="Arial"/>
          <w:sz w:val="20"/>
          <w:szCs w:val="20"/>
        </w:rPr>
      </w:pPr>
      <w:r>
        <w:rPr>
          <w:rFonts w:eastAsia="Arial" w:cs="Arial"/>
          <w:sz w:val="20"/>
          <w:szCs w:val="20"/>
        </w:rPr>
        <w:t>Obtaining a financial statement.</w:t>
      </w:r>
    </w:p>
    <w:p>
      <w:pPr>
        <w:numPr>
          <w:ilvl w:val="0"/>
          <w:numId w:val="160"/>
        </w:numPr>
        <w:ind w:left="720" w:hanging="267"/>
        <w:jc w:val="left"/>
        <w:rPr>
          <w:rFonts w:eastAsia="Arial" w:cs="Arial"/>
          <w:sz w:val="20"/>
          <w:szCs w:val="20"/>
        </w:rPr>
      </w:pPr>
      <w:r>
        <w:rPr>
          <w:rFonts w:eastAsia="Arial" w:cs="Arial"/>
          <w:i/>
          <w:iCs/>
          <w:sz w:val="20"/>
          <w:szCs w:val="20"/>
        </w:rPr>
        <w:t>Deny the application.</w:t>
      </w:r>
      <w:r>
        <w:rPr>
          <w:rFonts w:eastAsia="Arial" w:cs="Arial"/>
          <w:sz w:val="20"/>
          <w:szCs w:val="20"/>
        </w:rPr>
        <w:t xml:space="preserve"> If KCD finds that the prospective client is using an identity other than his or her own, it will deny the account.</w:t>
      </w:r>
    </w:p>
    <w:p>
      <w:pPr>
        <w:numPr>
          <w:ilvl w:val="0"/>
          <w:numId w:val="160"/>
        </w:numPr>
        <w:ind w:left="720" w:hanging="267"/>
        <w:jc w:val="left"/>
        <w:rPr>
          <w:rFonts w:eastAsia="Arial" w:cs="Arial"/>
          <w:sz w:val="20"/>
          <w:szCs w:val="20"/>
        </w:rPr>
      </w:pPr>
      <w:r>
        <w:rPr>
          <w:rFonts w:eastAsia="Arial" w:cs="Arial"/>
          <w:i/>
          <w:iCs/>
          <w:sz w:val="20"/>
          <w:szCs w:val="20"/>
        </w:rPr>
        <w:t>Report.</w:t>
      </w:r>
      <w:r>
        <w:rPr>
          <w:rFonts w:eastAsia="Arial" w:cs="Arial"/>
          <w:sz w:val="20"/>
          <w:szCs w:val="20"/>
        </w:rPr>
        <w:t xml:space="preserve"> If KCD finds that the prospective client is using an identity other than his or her own, it will report it to appropriate local and state law enforcement; where organized or wide spread crime is suspected, the FBI or Secret Service; and if mail is involved, the US Postal Inspector. KCD may also report to the SEC; State regulatory authorities, such as the state securities commission; and its custodian.</w:t>
      </w:r>
    </w:p>
    <w:p>
      <w:pPr>
        <w:numPr>
          <w:ilvl w:val="0"/>
          <w:numId w:val="160"/>
        </w:numPr>
        <w:spacing w:after="200"/>
        <w:ind w:left="720" w:hanging="267"/>
        <w:jc w:val="left"/>
        <w:rPr>
          <w:rFonts w:eastAsia="Arial" w:cs="Arial"/>
          <w:sz w:val="20"/>
          <w:szCs w:val="20"/>
        </w:rPr>
      </w:pPr>
      <w:r>
        <w:rPr>
          <w:rFonts w:eastAsia="Arial" w:cs="Arial"/>
          <w:i/>
          <w:iCs/>
          <w:sz w:val="20"/>
          <w:szCs w:val="20"/>
        </w:rPr>
        <w:t>Notification.</w:t>
      </w:r>
      <w:r>
        <w:rPr>
          <w:rFonts w:eastAsia="Arial" w:cs="Arial"/>
          <w:sz w:val="20"/>
          <w:szCs w:val="20"/>
        </w:rPr>
        <w:t xml:space="preserve"> If KCD determines personally identifiable information has been accessed, it will prepare any specific notice to the prospective client or other required notice under state law.</w:t>
      </w:r>
    </w:p>
    <w:p>
      <w:pPr>
        <w:pStyle w:val="normal0"/>
        <w:spacing w:before="200" w:after="200"/>
        <w:rPr>
          <w:rFonts w:eastAsia="Arial" w:cs="Arial"/>
          <w:sz w:val="20"/>
          <w:szCs w:val="20"/>
        </w:rPr>
      </w:pPr>
      <w:r>
        <w:rPr>
          <w:rFonts w:eastAsia="Arial" w:cs="Arial"/>
          <w:i/>
          <w:iCs/>
          <w:sz w:val="20"/>
          <w:szCs w:val="20"/>
        </w:rPr>
        <w:t>Access seekers.</w:t>
      </w:r>
      <w:r>
        <w:rPr>
          <w:rFonts w:eastAsia="Arial" w:cs="Arial"/>
          <w:sz w:val="20"/>
          <w:szCs w:val="20"/>
        </w:rPr>
        <w:t xml:space="preserve"> For Red Flags raised by someone seeking to access an existing client's account:</w:t>
      </w:r>
    </w:p>
    <w:p>
      <w:pPr>
        <w:numPr>
          <w:ilvl w:val="0"/>
          <w:numId w:val="161"/>
        </w:numPr>
        <w:spacing w:before="200"/>
        <w:ind w:left="720" w:hanging="267"/>
        <w:jc w:val="left"/>
        <w:rPr>
          <w:rFonts w:eastAsia="Arial" w:cs="Arial"/>
          <w:sz w:val="20"/>
          <w:szCs w:val="20"/>
        </w:rPr>
      </w:pPr>
      <w:r>
        <w:rPr>
          <w:rFonts w:eastAsia="Arial" w:cs="Arial"/>
          <w:i/>
          <w:iCs/>
          <w:sz w:val="20"/>
          <w:szCs w:val="20"/>
        </w:rPr>
        <w:t>Watch.</w:t>
      </w:r>
      <w:r>
        <w:rPr>
          <w:rFonts w:eastAsia="Arial" w:cs="Arial"/>
          <w:sz w:val="20"/>
          <w:szCs w:val="20"/>
        </w:rPr>
        <w:t xml:space="preserve"> The Firm will monitor, limit, or temporarily suspend activity in the account until the situation is resolved.</w:t>
      </w:r>
    </w:p>
    <w:p>
      <w:pPr>
        <w:numPr>
          <w:ilvl w:val="0"/>
          <w:numId w:val="161"/>
        </w:numPr>
        <w:ind w:left="720" w:hanging="267"/>
        <w:jc w:val="left"/>
        <w:rPr>
          <w:rFonts w:eastAsia="Arial" w:cs="Arial"/>
          <w:sz w:val="20"/>
          <w:szCs w:val="20"/>
        </w:rPr>
      </w:pPr>
      <w:r>
        <w:rPr>
          <w:rFonts w:eastAsia="Arial" w:cs="Arial"/>
          <w:i/>
          <w:iCs/>
          <w:sz w:val="20"/>
          <w:szCs w:val="20"/>
        </w:rPr>
        <w:t>Check with the client.</w:t>
      </w:r>
      <w:r>
        <w:rPr>
          <w:rFonts w:eastAsia="Arial" w:cs="Arial"/>
          <w:sz w:val="20"/>
          <w:szCs w:val="20"/>
        </w:rPr>
        <w:t xml:space="preserve"> The Firm will contact the client using its CIP information for them, describe what it has found and verify with them that there has been an attempt at identify theft.</w:t>
      </w:r>
    </w:p>
    <w:p>
      <w:pPr>
        <w:numPr>
          <w:ilvl w:val="0"/>
          <w:numId w:val="161"/>
        </w:numPr>
        <w:ind w:left="720" w:hanging="267"/>
        <w:jc w:val="left"/>
        <w:rPr>
          <w:rFonts w:eastAsia="Arial" w:cs="Arial"/>
          <w:sz w:val="20"/>
          <w:szCs w:val="20"/>
        </w:rPr>
      </w:pPr>
      <w:r>
        <w:rPr>
          <w:rFonts w:eastAsia="Arial" w:cs="Arial"/>
          <w:i/>
          <w:iCs/>
          <w:sz w:val="20"/>
          <w:szCs w:val="20"/>
        </w:rPr>
        <w:t>Heightened risk.</w:t>
      </w:r>
      <w:r>
        <w:rPr>
          <w:rFonts w:eastAsia="Arial" w:cs="Arial"/>
          <w:sz w:val="20"/>
          <w:szCs w:val="20"/>
        </w:rPr>
        <w:t xml:space="preserve"> The Firm will determine if there is a particular reason that makes it easier for an intruder to seek access, such as a client's lost wallet, mail theft, a data security incident, or the client's giving account information to an imposter pretending to represent KCD or to a fraudulent web site.</w:t>
      </w:r>
    </w:p>
    <w:p>
      <w:pPr>
        <w:numPr>
          <w:ilvl w:val="0"/>
          <w:numId w:val="161"/>
        </w:numPr>
        <w:ind w:left="720" w:hanging="267"/>
        <w:jc w:val="left"/>
        <w:rPr>
          <w:rFonts w:eastAsia="Arial" w:cs="Arial"/>
          <w:sz w:val="20"/>
          <w:szCs w:val="20"/>
        </w:rPr>
      </w:pPr>
      <w:r>
        <w:rPr>
          <w:rFonts w:eastAsia="Arial" w:cs="Arial"/>
          <w:i/>
          <w:iCs/>
          <w:sz w:val="20"/>
          <w:szCs w:val="20"/>
        </w:rPr>
        <w:t>Check similar accounts.</w:t>
      </w:r>
      <w:r>
        <w:rPr>
          <w:rFonts w:eastAsia="Arial" w:cs="Arial"/>
          <w:sz w:val="20"/>
          <w:szCs w:val="20"/>
        </w:rPr>
        <w:t xml:space="preserve"> The Firm will review similar accounts KCD has to see if there have been attempts to access them without authorization.</w:t>
      </w:r>
    </w:p>
    <w:p>
      <w:pPr>
        <w:numPr>
          <w:ilvl w:val="0"/>
          <w:numId w:val="161"/>
        </w:numPr>
        <w:ind w:left="720" w:hanging="267"/>
        <w:jc w:val="left"/>
        <w:rPr>
          <w:rFonts w:eastAsia="Arial" w:cs="Arial"/>
          <w:sz w:val="20"/>
          <w:szCs w:val="20"/>
        </w:rPr>
      </w:pPr>
      <w:r>
        <w:rPr>
          <w:rFonts w:eastAsia="Arial" w:cs="Arial"/>
          <w:i/>
          <w:iCs/>
          <w:sz w:val="20"/>
          <w:szCs w:val="20"/>
        </w:rPr>
        <w:t>Collect incident information.</w:t>
      </w:r>
      <w:r>
        <w:rPr>
          <w:rFonts w:eastAsia="Arial" w:cs="Arial"/>
          <w:sz w:val="20"/>
          <w:szCs w:val="20"/>
        </w:rPr>
        <w:t xml:space="preserve"> For a serious threat of unauthorized account access KCD may collect if available:</w:t>
      </w:r>
    </w:p>
    <w:p>
      <w:pPr>
        <w:numPr>
          <w:ilvl w:val="1"/>
          <w:numId w:val="161"/>
        </w:numPr>
        <w:ind w:left="1440" w:hanging="220"/>
        <w:jc w:val="left"/>
        <w:rPr>
          <w:rFonts w:eastAsia="Arial" w:cs="Arial"/>
          <w:sz w:val="20"/>
          <w:szCs w:val="20"/>
        </w:rPr>
      </w:pPr>
      <w:r>
        <w:rPr>
          <w:rFonts w:eastAsia="Arial" w:cs="Arial"/>
          <w:sz w:val="20"/>
          <w:szCs w:val="20"/>
        </w:rPr>
        <w:t>Dates and times of activity;</w:t>
      </w:r>
    </w:p>
    <w:p>
      <w:pPr>
        <w:numPr>
          <w:ilvl w:val="1"/>
          <w:numId w:val="161"/>
        </w:numPr>
        <w:ind w:left="1440" w:hanging="220"/>
        <w:jc w:val="left"/>
        <w:rPr>
          <w:rFonts w:eastAsia="Arial" w:cs="Arial"/>
          <w:sz w:val="20"/>
          <w:szCs w:val="20"/>
        </w:rPr>
      </w:pPr>
      <w:r>
        <w:rPr>
          <w:rFonts w:eastAsia="Arial" w:cs="Arial"/>
          <w:sz w:val="20"/>
          <w:szCs w:val="20"/>
        </w:rPr>
        <w:t>Securities involved (name and symbol);</w:t>
      </w:r>
    </w:p>
    <w:p>
      <w:pPr>
        <w:numPr>
          <w:ilvl w:val="1"/>
          <w:numId w:val="161"/>
        </w:numPr>
        <w:ind w:left="1440" w:hanging="220"/>
        <w:jc w:val="left"/>
        <w:rPr>
          <w:rFonts w:eastAsia="Arial" w:cs="Arial"/>
          <w:sz w:val="20"/>
          <w:szCs w:val="20"/>
        </w:rPr>
      </w:pPr>
      <w:r>
        <w:rPr>
          <w:rFonts w:eastAsia="Arial" w:cs="Arial"/>
          <w:sz w:val="20"/>
          <w:szCs w:val="20"/>
        </w:rPr>
        <w:t>Details of trades or unexecuted orders;</w:t>
      </w:r>
    </w:p>
    <w:p>
      <w:pPr>
        <w:numPr>
          <w:ilvl w:val="1"/>
          <w:numId w:val="161"/>
        </w:numPr>
        <w:ind w:left="1440" w:hanging="220"/>
        <w:jc w:val="left"/>
        <w:rPr>
          <w:rFonts w:eastAsia="Arial" w:cs="Arial"/>
          <w:sz w:val="20"/>
          <w:szCs w:val="20"/>
        </w:rPr>
      </w:pPr>
      <w:r>
        <w:rPr>
          <w:rFonts w:eastAsia="Arial" w:cs="Arial"/>
          <w:sz w:val="20"/>
          <w:szCs w:val="20"/>
        </w:rPr>
        <w:t>Details of any wire transfer activity;</w:t>
      </w:r>
    </w:p>
    <w:p>
      <w:pPr>
        <w:numPr>
          <w:ilvl w:val="1"/>
          <w:numId w:val="161"/>
        </w:numPr>
        <w:ind w:left="1440" w:hanging="220"/>
        <w:jc w:val="left"/>
        <w:rPr>
          <w:rFonts w:eastAsia="Arial" w:cs="Arial"/>
          <w:sz w:val="20"/>
          <w:szCs w:val="20"/>
        </w:rPr>
      </w:pPr>
      <w:r>
        <w:rPr>
          <w:rFonts w:eastAsia="Arial" w:cs="Arial"/>
          <w:sz w:val="20"/>
          <w:szCs w:val="20"/>
        </w:rPr>
        <w:t>Client accounts affected by the activity, including name and account number; and</w:t>
      </w:r>
    </w:p>
    <w:p>
      <w:pPr>
        <w:numPr>
          <w:ilvl w:val="1"/>
          <w:numId w:val="161"/>
        </w:numPr>
        <w:ind w:left="1440" w:hanging="220"/>
        <w:jc w:val="left"/>
        <w:rPr>
          <w:rFonts w:eastAsia="Arial" w:cs="Arial"/>
          <w:sz w:val="20"/>
          <w:szCs w:val="20"/>
        </w:rPr>
      </w:pPr>
      <w:r>
        <w:rPr>
          <w:rFonts w:eastAsia="Arial" w:cs="Arial"/>
          <w:sz w:val="20"/>
          <w:szCs w:val="20"/>
        </w:rPr>
        <w:t>Whether the client will be reimbursed and by whom.</w:t>
      </w:r>
    </w:p>
    <w:p>
      <w:pPr>
        <w:numPr>
          <w:ilvl w:val="0"/>
          <w:numId w:val="161"/>
        </w:numPr>
        <w:ind w:left="720" w:hanging="267"/>
        <w:jc w:val="left"/>
        <w:rPr>
          <w:rFonts w:eastAsia="Arial" w:cs="Arial"/>
          <w:sz w:val="20"/>
          <w:szCs w:val="20"/>
        </w:rPr>
      </w:pPr>
      <w:r>
        <w:rPr>
          <w:rFonts w:eastAsia="Arial" w:cs="Arial"/>
          <w:i/>
          <w:iCs/>
          <w:sz w:val="20"/>
          <w:szCs w:val="20"/>
        </w:rPr>
        <w:t>Report.</w:t>
      </w:r>
      <w:r>
        <w:rPr>
          <w:rFonts w:eastAsia="Arial" w:cs="Arial"/>
          <w:sz w:val="20"/>
          <w:szCs w:val="20"/>
        </w:rPr>
        <w:t xml:space="preserve"> If KCD finds unauthorized account access, it will report it to appropriate local and state law enforcement; where organized or wide spread crime is suspected, the FBI or Secret Service; and if mail is involved, the U.S. Postal Inspector. </w:t>
      </w:r>
    </w:p>
    <w:p>
      <w:pPr>
        <w:numPr>
          <w:ilvl w:val="0"/>
          <w:numId w:val="161"/>
        </w:numPr>
        <w:ind w:left="720" w:hanging="267"/>
        <w:jc w:val="left"/>
        <w:rPr>
          <w:rFonts w:eastAsia="Arial" w:cs="Arial"/>
          <w:sz w:val="20"/>
          <w:szCs w:val="20"/>
        </w:rPr>
      </w:pPr>
      <w:r>
        <w:rPr>
          <w:rFonts w:eastAsia="Arial" w:cs="Arial"/>
          <w:i/>
          <w:iCs/>
          <w:sz w:val="20"/>
          <w:szCs w:val="20"/>
        </w:rPr>
        <w:t>Notification.</w:t>
      </w:r>
      <w:r>
        <w:rPr>
          <w:rFonts w:eastAsia="Arial" w:cs="Arial"/>
          <w:sz w:val="20"/>
          <w:szCs w:val="20"/>
        </w:rPr>
        <w:t xml:space="preserve"> If KCD determines personally identifiable information has been accessed that results in a foreseeable risk for identity theft, it will prepare any specific notice to clients or take any other required action under state law.</w:t>
      </w:r>
    </w:p>
    <w:p>
      <w:pPr>
        <w:numPr>
          <w:ilvl w:val="0"/>
          <w:numId w:val="161"/>
        </w:numPr>
        <w:ind w:left="720" w:hanging="267"/>
        <w:jc w:val="left"/>
        <w:rPr>
          <w:rFonts w:eastAsia="Arial" w:cs="Arial"/>
          <w:sz w:val="20"/>
          <w:szCs w:val="20"/>
        </w:rPr>
      </w:pPr>
      <w:r>
        <w:rPr>
          <w:rFonts w:eastAsia="Arial" w:cs="Arial"/>
          <w:i/>
          <w:iCs/>
          <w:sz w:val="20"/>
          <w:szCs w:val="20"/>
        </w:rPr>
        <w:t>Review firm insurance policy.</w:t>
      </w:r>
      <w:r>
        <w:rPr>
          <w:rFonts w:eastAsia="Arial" w:cs="Arial"/>
          <w:sz w:val="20"/>
          <w:szCs w:val="20"/>
        </w:rPr>
        <w:t xml:space="preserve"> Since insurance policies may require timely notice or prior consent for any settlement, KCD will review its insurance policy to ensure that its response to a data breach does not limit or eliminate its insurance coverage. </w:t>
      </w:r>
    </w:p>
    <w:p>
      <w:pPr>
        <w:numPr>
          <w:ilvl w:val="0"/>
          <w:numId w:val="161"/>
        </w:numPr>
        <w:ind w:left="720" w:hanging="267"/>
        <w:jc w:val="left"/>
        <w:rPr>
          <w:rFonts w:eastAsia="Arial" w:cs="Arial"/>
          <w:sz w:val="20"/>
          <w:szCs w:val="20"/>
        </w:rPr>
      </w:pPr>
      <w:r>
        <w:rPr>
          <w:rFonts w:eastAsia="Arial" w:cs="Arial"/>
          <w:i/>
          <w:iCs/>
          <w:sz w:val="20"/>
          <w:szCs w:val="20"/>
        </w:rPr>
        <w:t>Assist the client.</w:t>
      </w:r>
      <w:r>
        <w:rPr>
          <w:rFonts w:eastAsia="Arial" w:cs="Arial"/>
          <w:sz w:val="20"/>
          <w:szCs w:val="20"/>
        </w:rPr>
        <w:t xml:space="preserve"> The Firm will work with its clients to minimize the impact of identity theft by taking the following actions, as applicable:</w:t>
      </w:r>
    </w:p>
    <w:p>
      <w:pPr>
        <w:numPr>
          <w:ilvl w:val="1"/>
          <w:numId w:val="161"/>
        </w:numPr>
        <w:ind w:left="1440" w:hanging="220"/>
        <w:jc w:val="left"/>
        <w:rPr>
          <w:rFonts w:eastAsia="Arial" w:cs="Arial"/>
          <w:sz w:val="20"/>
          <w:szCs w:val="20"/>
        </w:rPr>
      </w:pPr>
      <w:r>
        <w:rPr>
          <w:rFonts w:eastAsia="Arial" w:cs="Arial"/>
          <w:sz w:val="20"/>
          <w:szCs w:val="20"/>
        </w:rPr>
        <w:t>Offering to change the password, security codes or other ways to access the threatened account;</w:t>
      </w:r>
    </w:p>
    <w:p>
      <w:pPr>
        <w:numPr>
          <w:ilvl w:val="1"/>
          <w:numId w:val="161"/>
        </w:numPr>
        <w:ind w:left="1440" w:hanging="220"/>
        <w:jc w:val="left"/>
        <w:rPr>
          <w:rFonts w:eastAsia="Arial" w:cs="Arial"/>
          <w:sz w:val="20"/>
          <w:szCs w:val="20"/>
        </w:rPr>
      </w:pPr>
      <w:r>
        <w:rPr>
          <w:rFonts w:eastAsia="Arial" w:cs="Arial"/>
          <w:sz w:val="20"/>
          <w:szCs w:val="20"/>
        </w:rPr>
        <w:t>Offering to close the account;</w:t>
      </w:r>
    </w:p>
    <w:p>
      <w:pPr>
        <w:numPr>
          <w:ilvl w:val="1"/>
          <w:numId w:val="161"/>
        </w:numPr>
        <w:ind w:left="1440" w:hanging="220"/>
        <w:jc w:val="left"/>
        <w:rPr>
          <w:rFonts w:eastAsia="Arial" w:cs="Arial"/>
          <w:sz w:val="20"/>
          <w:szCs w:val="20"/>
        </w:rPr>
      </w:pPr>
      <w:r>
        <w:rPr>
          <w:rFonts w:eastAsia="Arial" w:cs="Arial"/>
          <w:sz w:val="20"/>
          <w:szCs w:val="20"/>
        </w:rPr>
        <w:t>Offering to reopen the account with a new account number;</w:t>
      </w:r>
    </w:p>
    <w:p>
      <w:pPr>
        <w:numPr>
          <w:ilvl w:val="1"/>
          <w:numId w:val="161"/>
        </w:numPr>
        <w:ind w:left="1440" w:hanging="220"/>
        <w:jc w:val="left"/>
        <w:rPr>
          <w:rFonts w:eastAsia="Arial" w:cs="Arial"/>
          <w:sz w:val="20"/>
          <w:szCs w:val="20"/>
        </w:rPr>
      </w:pPr>
      <w:r>
        <w:rPr>
          <w:rFonts w:eastAsia="Arial" w:cs="Arial"/>
          <w:sz w:val="20"/>
          <w:szCs w:val="20"/>
        </w:rPr>
        <w:t>Not collecting on the account or selling it to a debt collector; and</w:t>
      </w:r>
    </w:p>
    <w:p>
      <w:pPr>
        <w:numPr>
          <w:ilvl w:val="1"/>
          <w:numId w:val="161"/>
        </w:numPr>
        <w:spacing w:after="200"/>
        <w:ind w:left="1440" w:hanging="220"/>
        <w:jc w:val="left"/>
        <w:rPr>
          <w:rFonts w:eastAsia="Arial" w:cs="Arial"/>
          <w:sz w:val="20"/>
          <w:szCs w:val="20"/>
        </w:rPr>
      </w:pPr>
      <w:r>
        <w:rPr>
          <w:rFonts w:eastAsia="Arial" w:cs="Arial"/>
          <w:sz w:val="20"/>
          <w:szCs w:val="20"/>
        </w:rPr>
        <w:t>Instructing the client to go to the FTC Identity Theft Web Site to learn what steps to take to recover from identity theft.</w:t>
      </w:r>
    </w:p>
    <w:p>
      <w:bookmarkEnd w:id="146"/>
      <w:bookmarkStart w:id="147" w:name="Sec_Chp_061016102248171_0610161022433168"/>
    </w:p>
    <w:p>
      <w:pPr>
        <w:pStyle w:val="Heading4"/>
      </w:pPr>
      <w:r>
        <w:t>3.3.20.7 Service Providers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uses certain service providers in connection with its client accounts. KCD will take steps to confirm that each of its service providers that performs activities in connection with its client accounts, especially service providers that are not otherwise regulated, comply with reasonable policies and procedures designed to detect, prevent and mitigate identity theft by contractually requiring them to have policies and procedures to detect red flags and report detected red flags to KCD or take appropriate steps of their own to prevent or mitigate the identify theft or both. KCD's custodian is Hilltop Securities, 1201 Elm Street Suite 3500, Dallas, TX 75270, hilltopsecurities.com and the contact person is Cole Zamboanga, 214-859-1349 cole.zamboanga@hilltopsecurities.com and Trade-PMR, 2511 NW 41st St Gainesville, FL 32606 tradepmr.com and its contact person is Curtis Mansfield (352)332-8723 cmansfield@tradepmr.com. The other service providers that perform activities in connection with firm covered accounts are:</w:t>
      </w:r>
    </w:p>
    <w:p>
      <w:pPr>
        <w:numPr>
          <w:ilvl w:val="0"/>
          <w:numId w:val="162"/>
        </w:numPr>
        <w:spacing w:before="200"/>
        <w:ind w:left="720" w:hanging="267"/>
        <w:jc w:val="left"/>
        <w:rPr>
          <w:rFonts w:eastAsia="Arial" w:cs="Arial"/>
          <w:sz w:val="20"/>
          <w:szCs w:val="20"/>
        </w:rPr>
      </w:pPr>
      <w:r>
        <w:rPr>
          <w:rFonts w:eastAsia="Arial" w:cs="Arial"/>
          <w:sz w:val="20"/>
          <w:szCs w:val="20"/>
        </w:rPr>
        <w:t>Third party managers as defined in ADV Part 2A</w:t>
      </w:r>
    </w:p>
    <w:p>
      <w:pPr>
        <w:numPr>
          <w:ilvl w:val="0"/>
          <w:numId w:val="162"/>
        </w:numPr>
        <w:spacing w:after="200"/>
        <w:ind w:left="720" w:hanging="267"/>
        <w:jc w:val="left"/>
        <w:rPr>
          <w:rFonts w:eastAsia="Arial" w:cs="Arial"/>
          <w:sz w:val="20"/>
          <w:szCs w:val="20"/>
        </w:rPr>
      </w:pPr>
      <w:r>
        <w:rPr>
          <w:rFonts w:eastAsia="Arial" w:cs="Arial"/>
          <w:sz w:val="20"/>
          <w:szCs w:val="20"/>
        </w:rPr>
        <w:t>Technology Architects (software consulting firm)</w:t>
      </w:r>
    </w:p>
    <w:p>
      <w:bookmarkEnd w:id="147"/>
      <w:bookmarkStart w:id="148" w:name="Sec_Chp_061016102248171_0610161022433169"/>
    </w:p>
    <w:p>
      <w:pPr>
        <w:pStyle w:val="Heading4"/>
      </w:pPr>
      <w:r>
        <w:t>3.3.20.8 Reporting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who is responsible for developing, implementing and administering the Identity Theft Prevention Program, will report at least annually to KCD's President/CEO on compliance with Regulation S-ID. The report will address the effectiveness of the Identity Theft Prevention Program in addressing the risk of identity theft in connection with covered account openings, existing accounts, service provider arrangements, significant incidents involving identity theft and management's response and recommendations for material changes to the Identity Theft Prevention Program.</w:t>
      </w:r>
    </w:p>
    <w:p>
      <w:bookmarkEnd w:id="148"/>
    </w:p>
    <w:p>
      <w:pPr>
        <w:pStyle w:val="Heading4"/>
      </w:pPr>
      <w:r>
        <w:t>3.3.20.9 Updates and Annual Review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updates its Identity Theft Prevention Program whenever it has a material change to its operations, structure, business or location or to those of its custodian, or when it experiences either a material identity theft from a client account, or a series of related material identity thefts from one or more client accounts. KCD also follows new ways that identities can be compromised and evaluates the risk they pose for KCD. In addition, KCD will review this Identity Theft Prevention Program annually to modify it for any changes in its operations, structure, business, or location or substantive changes to its relationship with its custodian.</w:t>
      </w:r>
    </w:p>
    <w:p>
      <w:bookmarkStart w:id="149" w:name="Sec_Chp_061016102248171_0610161022433161"/>
    </w:p>
    <w:p>
      <w:pPr>
        <w:pStyle w:val="Heading4"/>
      </w:pPr>
      <w:r>
        <w:t>3.3.20.10 Red Flag Identification and Detection Grid</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grid is designed to provide categories and examples of potential red flags. KCD recognizes that these examples are not exhaustive nor a mandatory checklist, but a way to help KCD think through relevant red flags in the context of its business. Some examples may not be relevant to KCD, while others may be relevant when combined or considered with other indicators of identity theft. KCD from time to time shall modify the cells in the table below.</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4960"/>
        <w:gridCol w:w="4960"/>
      </w:tblGrid>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Red Flag</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Detecting the Red Flag</w:t>
            </w:r>
          </w:p>
        </w:tc>
      </w:tr>
      <w:tr>
        <w:tblPrEx>
          <w:tblW w:w="5000" w:type="pct"/>
          <w:tblLook w:val="05E0"/>
        </w:tblPrEx>
        <w:tc>
          <w:tcPr>
            <w:tcW w:w="5000" w:type="pct"/>
            <w:gridSpan w:val="2"/>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Category: Alerts, Notifications or Warnings from a Consumer Credit Reporting Agency</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1. A fraud or active duty alert is included on a consumer credit report.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verify that the fraud or active duty alert covers an applicant or client and review the allegations in the alert.</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2. A notice of address or other discrepancy is provided by a consumer credit reporting agency.</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verify that the notice of address or other discrepancy covers an applicant or client and review the address discrepancy. In addition, KCD will verify with rep and may request copy of drivers license.</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3. A consumer credit report shows a pattern inconsistent with the person's history, such as a big increase in the volume of inquiries or use of credit, especially on new accounts; an unusual number of recently established credit relationships; or an account closed because of an abuse of account privileges.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does not pull full credit reports on customers. Instead, we pull data from Experian's Customer Identification Process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r>
      <w:tr>
        <w:tblPrEx>
          <w:tblW w:w="5000" w:type="pct"/>
          <w:tblLook w:val="05E0"/>
        </w:tblPrEx>
        <w:tc>
          <w:tcPr>
            <w:tcW w:w="5000" w:type="pct"/>
            <w:gridSpan w:val="2"/>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Category: Suspicious Documents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4. Identification presented looks altered or forged.</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who deals with clients will scrutinize identification presented in person to make sure it is not altered or forged. If the document turns out to be altered or forged, KCD will not accept that document.</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5. The identification presenter does not look like the identification's photograph or physical description.</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KCD's staff who deals with clients will ensure that the photograph and the physical description on the identification match the person presenting it. </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6. Information on the identification differs from what the identification presenter is saying.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KCD's staff who deals with clients will ensure that the identification and the statements of the person presenting it are consistent. </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7. Information on the identification does not match other information KCD has on file for the presenter, like the original account application, signature card or a recent check.</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KCD's staff who deals with clients will ensure that the identification presented and other information we have on file from the account, such as account information already on file are consistent. </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8. The application looks like it has been altered, forged or torn up and reassembled.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who deals with clients will scrutinize each application to make sure it is not altered, forged, or torn up and reassembled. A new application will be required, and if the data included in the new application is still suspicious, the application will be rejected.</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r>
      <w:tr>
        <w:tblPrEx>
          <w:tblW w:w="5000" w:type="pct"/>
          <w:tblLook w:val="05E0"/>
        </w:tblPrEx>
        <w:tc>
          <w:tcPr>
            <w:tcW w:w="5000" w:type="pct"/>
            <w:gridSpan w:val="2"/>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Category: Suspicious Personal Identifying Information</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9. Inconsistencies exist between the information presented and other things we know about the presenter or can find out by checking readily available external sources, such as an address that does not match a consumer credit report, or the Social Security Number (SSN) has not been issued or is listed on the Social Security Administration's (SSA's) Death Master File.</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KCD's staff will check personal identifying information presented to KCD to ensure that the SSN given has been issued but is not listed on the SSA's Master Death File. KCD also produces an Experian CIP report and compares the addresses on the application and the consumer report to determine if they match. </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10. Inconsistencies exist in the information that the client gives KCD, such as a date of birth that does not fall within the number range on the SSA's issuance tables.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check personal identifying information presented to KCD to make sure that it is internally consistent by comparing the date of birth to see that it falls within the number range on the SSA's issuance tables.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11. Personal identifying information presented has been used on an account KCD knows was fraudulent.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compare the information presented with addresses and phone numbers on accounts or applications KCD's staff found or were reported were fraudulent.</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12. Personal identifying information presented suggests fraud, such as an address that is fictitious, a mail drop, or a prison; or a phone number is invalid, or is for a pager or answering service.</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validate the information presented when opening an account by looking up addresses on the Internet to ensure they are real and not for a mail drop or a prison, and will call the phone numbers given to ensure they are valid and not for pagers or answering services.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13. The SSN presented was used by someone else opening an account or other clients.</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compare the SSNs presented to see if they were given by others opening accounts or other clients.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14. The address or telephone number presented has been used by many other people opening accounts or other clients.</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compare address and telephone number information to see if they were used by other applicants and clients.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15. A person who omits required information on an application or other form does not provide it when told it is incomplete.</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track when applicants or clients have not responded to requests for required information and will follow up with the applicants or clients to determine why they have not responded.</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16. Inconsistencies exist between what is presented and what KCD has on file.</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verify key items from the data presented with information KCD has on file.</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17. A person making an account application or seeking access cannot provide authenticating information beyond what would be found in a wallet or consumer credit report, or cannot answer a challenge question.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KCD's staff will authenticate identities for existing clients by asking challenging questions that have been prearranged with the client and for prospective clients by asking questions that require information beyond what is readily available from a wallet or a consumer credit report.</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r>
      <w:tr>
        <w:tblPrEx>
          <w:tblW w:w="5000" w:type="pct"/>
          <w:tblLook w:val="05E0"/>
        </w:tblPrEx>
        <w:tc>
          <w:tcPr>
            <w:tcW w:w="5000" w:type="pct"/>
            <w:gridSpan w:val="2"/>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Category: Suspicious Account Activity</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18. Soon after KCD gets a change of address request for an account, KCD is asked to add additional access means (such as debit cards or checks) or authorized users for the account.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verify change of address requests by sending a notice of the change to both the new and old addresses so the client will learn of any unauthorized changes and can notify KCD.</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19. An account develops new patterns of activity, such as a material change in spending or electronic fund transfers.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review client accounts on at least a monthly basis and check for suspicious new patterns of activity such as nonpayment, a large increase in use, or a big change in spending or electronic fund transfers.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20. An account that is inactive for a long time is suddenly used again. </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review client accounts on at least a monthly basis to see if long inactive accounts become very active.</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21. Mail KCD sends to a client is returned repeatedly as undeliverable even though the account remains active.</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note any returned mail for an account and immediately check the account's activity.</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22. KCD learns that a client is not getting his or her paper account statements.</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record on the account any report that the client is not receiving paper statements and immediately investigate them.</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23. KCD is notified that there are unauthorized transactions to the account.</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verify if the notification is legitimate and involves a firm account, and then investigate the report.</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r>
      <w:tr>
        <w:tblPrEx>
          <w:tblW w:w="5000" w:type="pct"/>
          <w:tblLook w:val="05E0"/>
        </w:tblPrEx>
        <w:tc>
          <w:tcPr>
            <w:tcW w:w="5000" w:type="pct"/>
            <w:gridSpan w:val="2"/>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Category: Notice From Other Sources</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24. KCD is told that an account has been opened or used fraudulently by a client, an identity theft victim, or law enforcement.</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verify that the notification is legitimate and involves a firm account, and then investigate the report.</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25. KCD learns that unauthorized access to the client's personal information took place or became likely due to data loss (e.g., loss of wallet, birth certificate, or laptop), leakage, or breach.</w:t>
            </w: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contact the client to learn the details of the unauthorized access to determine if other steps are warranted.</w:t>
            </w:r>
          </w:p>
        </w:tc>
      </w:tr>
      <w:tr>
        <w:tblPrEx>
          <w:tblW w:w="5000" w:type="pct"/>
          <w:tblLook w:val="05E0"/>
        </w:tblPrEx>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c>
          <w:tcPr>
            <w:tcW w:w="25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tcPr>
          <w:p>
            <w:pPr>
              <w:rPr>
                <w:rFonts w:eastAsia="Arial" w:cs="Arial"/>
                <w:b w:val="0"/>
                <w:bCs w:val="0"/>
                <w:i w:val="0"/>
                <w:iCs w:val="0"/>
                <w:smallCaps w:val="0"/>
                <w:color w:val="000000"/>
                <w:sz w:val="24"/>
              </w:rPr>
            </w:pPr>
          </w:p>
        </w:tc>
      </w:tr>
    </w:tbl>
    <w:p>
      <w:pPr>
        <w:rPr>
          <w:rFonts w:eastAsia="Arial" w:cs="Arial"/>
          <w:sz w:val="20"/>
          <w:szCs w:val="20"/>
        </w:rPr>
      </w:pPr>
      <w:r>
        <w:rPr>
          <w:rFonts w:eastAsia="Arial" w:cs="Arial"/>
          <w:sz w:val="20"/>
          <w:szCs w:val="20"/>
        </w:rPr>
        <w:br/>
      </w:r>
    </w:p>
    <w:p>
      <w:bookmarkEnd w:id="149"/>
      <w:bookmarkStart w:id="150" w:name="Sec_Chp_061016102248171_223593"/>
    </w:p>
    <w:p>
      <w:pPr>
        <w:pStyle w:val="Heading4"/>
      </w:pPr>
      <w:r>
        <w:t>3.3.20.11 Responding to Red Flags</w:t>
      </w:r>
    </w:p>
    <w:p/>
    <w:p>
      <w:pPr>
        <w:rPr>
          <w:rFonts w:eastAsia="Arial" w:cs="Arial"/>
          <w:sz w:val="16"/>
          <w:szCs w:val="16"/>
        </w:rPr>
      </w:pPr>
      <w:r>
        <w:rPr>
          <w:rFonts w:eastAsia="Arial" w:cs="Arial"/>
          <w:sz w:val="16"/>
          <w:szCs w:val="16"/>
        </w:rPr>
        <w:t>[Exchange Act Regulation S-ID Rule 248.201]</w:t>
      </w:r>
    </w:p>
    <w:p/>
    <w:p>
      <w:pPr>
        <w:pStyle w:val="normal0"/>
        <w:spacing w:after="200"/>
        <w:rPr>
          <w:rFonts w:eastAsia="Arial" w:cs="Arial"/>
          <w:sz w:val="20"/>
          <w:szCs w:val="20"/>
        </w:rPr>
      </w:pPr>
      <w:r>
        <w:rPr>
          <w:rFonts w:eastAsia="Arial" w:cs="Arial"/>
          <w:sz w:val="20"/>
          <w:szCs w:val="20"/>
        </w:rPr>
        <w:t>KCD shall respond to the discovery of a red flag in a manner appropriate to the circumstances including:</w:t>
      </w:r>
    </w:p>
    <w:p>
      <w:pPr>
        <w:numPr>
          <w:ilvl w:val="0"/>
          <w:numId w:val="163"/>
        </w:numPr>
        <w:spacing w:before="200"/>
        <w:ind w:left="720" w:hanging="192"/>
        <w:jc w:val="left"/>
        <w:rPr>
          <w:rFonts w:eastAsia="Arial" w:cs="Arial"/>
          <w:sz w:val="20"/>
          <w:szCs w:val="20"/>
        </w:rPr>
      </w:pPr>
      <w:r>
        <w:rPr>
          <w:rFonts w:eastAsia="Arial" w:cs="Arial"/>
          <w:sz w:val="20"/>
          <w:szCs w:val="20"/>
        </w:rPr>
        <w:t>Monitoring the client account for evidence of identity theft;</w:t>
      </w:r>
    </w:p>
    <w:p>
      <w:pPr>
        <w:numPr>
          <w:ilvl w:val="0"/>
          <w:numId w:val="163"/>
        </w:numPr>
        <w:ind w:left="720" w:hanging="192"/>
        <w:jc w:val="left"/>
        <w:rPr>
          <w:rFonts w:eastAsia="Arial" w:cs="Arial"/>
          <w:sz w:val="20"/>
          <w:szCs w:val="20"/>
        </w:rPr>
      </w:pPr>
      <w:r>
        <w:rPr>
          <w:rFonts w:eastAsia="Arial" w:cs="Arial"/>
          <w:sz w:val="20"/>
          <w:szCs w:val="20"/>
        </w:rPr>
        <w:t>Contacting the client;</w:t>
      </w:r>
    </w:p>
    <w:p>
      <w:pPr>
        <w:numPr>
          <w:ilvl w:val="0"/>
          <w:numId w:val="163"/>
        </w:numPr>
        <w:ind w:left="720" w:hanging="192"/>
        <w:jc w:val="left"/>
        <w:rPr>
          <w:rFonts w:eastAsia="Arial" w:cs="Arial"/>
          <w:sz w:val="20"/>
          <w:szCs w:val="20"/>
        </w:rPr>
      </w:pPr>
      <w:r>
        <w:rPr>
          <w:rFonts w:eastAsia="Arial" w:cs="Arial"/>
          <w:sz w:val="20"/>
          <w:szCs w:val="20"/>
        </w:rPr>
        <w:t>Changing any passwords, security codes or other security devices that allow access to the client's account;</w:t>
      </w:r>
    </w:p>
    <w:p>
      <w:pPr>
        <w:numPr>
          <w:ilvl w:val="0"/>
          <w:numId w:val="163"/>
        </w:numPr>
        <w:ind w:left="720" w:hanging="192"/>
        <w:jc w:val="left"/>
        <w:rPr>
          <w:rFonts w:eastAsia="Arial" w:cs="Arial"/>
          <w:sz w:val="20"/>
          <w:szCs w:val="20"/>
        </w:rPr>
      </w:pPr>
      <w:r>
        <w:rPr>
          <w:rFonts w:eastAsia="Arial" w:cs="Arial"/>
          <w:sz w:val="20"/>
          <w:szCs w:val="20"/>
        </w:rPr>
        <w:t>Reopening the client account with a new account number;</w:t>
      </w:r>
    </w:p>
    <w:p>
      <w:pPr>
        <w:numPr>
          <w:ilvl w:val="0"/>
          <w:numId w:val="163"/>
        </w:numPr>
        <w:ind w:left="720" w:hanging="192"/>
        <w:jc w:val="left"/>
        <w:rPr>
          <w:rFonts w:eastAsia="Arial" w:cs="Arial"/>
          <w:sz w:val="20"/>
          <w:szCs w:val="20"/>
        </w:rPr>
      </w:pPr>
      <w:r>
        <w:rPr>
          <w:rFonts w:eastAsia="Arial" w:cs="Arial"/>
          <w:sz w:val="20"/>
          <w:szCs w:val="20"/>
        </w:rPr>
        <w:t xml:space="preserve">Not opening </w:t>
      </w:r>
      <w:r>
        <w:rPr>
          <w:rFonts w:eastAsia="Arial" w:cs="Arial"/>
          <w:sz w:val="20"/>
          <w:szCs w:val="20"/>
          <w:u w:val="single"/>
        </w:rPr>
        <w:t xml:space="preserve">or re-opening </w:t>
      </w:r>
      <w:r>
        <w:rPr>
          <w:rFonts w:eastAsia="Arial" w:cs="Arial"/>
          <w:sz w:val="20"/>
          <w:szCs w:val="20"/>
        </w:rPr>
        <w:t>a new client account or closing an existing client account;</w:t>
      </w:r>
    </w:p>
    <w:p>
      <w:pPr>
        <w:numPr>
          <w:ilvl w:val="0"/>
          <w:numId w:val="163"/>
        </w:numPr>
        <w:ind w:left="720" w:hanging="192"/>
        <w:jc w:val="left"/>
        <w:rPr>
          <w:rFonts w:eastAsia="Arial" w:cs="Arial"/>
          <w:sz w:val="20"/>
          <w:szCs w:val="20"/>
        </w:rPr>
      </w:pPr>
      <w:r>
        <w:rPr>
          <w:rFonts w:eastAsia="Arial" w:cs="Arial"/>
          <w:sz w:val="20"/>
          <w:szCs w:val="20"/>
        </w:rPr>
        <w:t>Notifying law enforcement; and/or</w:t>
      </w:r>
    </w:p>
    <w:p>
      <w:pPr>
        <w:numPr>
          <w:ilvl w:val="0"/>
          <w:numId w:val="163"/>
        </w:numPr>
        <w:spacing w:after="200"/>
        <w:ind w:left="720" w:hanging="192"/>
        <w:jc w:val="left"/>
        <w:rPr>
          <w:rFonts w:eastAsia="Arial" w:cs="Arial"/>
          <w:sz w:val="20"/>
          <w:szCs w:val="20"/>
        </w:rPr>
      </w:pPr>
      <w:r>
        <w:rPr>
          <w:rFonts w:eastAsia="Arial" w:cs="Arial"/>
          <w:sz w:val="20"/>
          <w:szCs w:val="20"/>
        </w:rPr>
        <w:t>Determining that no response is warranted.</w:t>
      </w:r>
    </w:p>
    <w:p>
      <w:bookmarkEnd w:id="150"/>
      <w:bookmarkStart w:id="151" w:name="Sec_Chp_061016102248171_257843"/>
    </w:p>
    <w:p>
      <w:pPr>
        <w:pStyle w:val="Heading4"/>
      </w:pPr>
      <w:r>
        <w:t>3.3.20.12 Deepfakes</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Deepfakes are images, videos, or audio which are edited or generated using artificial intelligence tools, and which may depict real or non-existent people.</w:t>
            </w:r>
          </w:p>
        </w:tc>
      </w:tr>
    </w:tbl>
    <w:p>
      <w:pPr>
        <w:pStyle w:val="normal0"/>
        <w:spacing w:before="200" w:after="200"/>
        <w:rPr>
          <w:rFonts w:eastAsia="Arial" w:cs="Arial"/>
          <w:sz w:val="20"/>
          <w:szCs w:val="20"/>
        </w:rPr>
      </w:pPr>
      <w:r>
        <w:rPr>
          <w:rFonts w:eastAsia="Arial" w:cs="Arial"/>
          <w:sz w:val="20"/>
          <w:szCs w:val="20"/>
        </w:rPr>
        <w:t>KCD will monitor for deepfake threats and take the following steps to recognize and prevent deepfakes potentially causing harm to KCD and its clients:</w:t>
      </w:r>
    </w:p>
    <w:p>
      <w:pPr>
        <w:numPr>
          <w:ilvl w:val="0"/>
          <w:numId w:val="164"/>
        </w:numPr>
        <w:spacing w:before="200"/>
        <w:ind w:left="720" w:hanging="192"/>
        <w:jc w:val="left"/>
        <w:rPr>
          <w:rFonts w:eastAsia="Arial" w:cs="Arial"/>
          <w:sz w:val="20"/>
          <w:szCs w:val="20"/>
        </w:rPr>
      </w:pPr>
      <w:r>
        <w:rPr>
          <w:rFonts w:eastAsia="Arial" w:cs="Arial"/>
          <w:sz w:val="20"/>
          <w:szCs w:val="20"/>
        </w:rPr>
        <w:t>Look for indicators of a deepfake:</w:t>
      </w:r>
    </w:p>
    <w:p>
      <w:pPr>
        <w:numPr>
          <w:ilvl w:val="1"/>
          <w:numId w:val="164"/>
        </w:numPr>
        <w:ind w:left="1440" w:hanging="220"/>
        <w:jc w:val="left"/>
        <w:rPr>
          <w:rFonts w:eastAsia="Arial" w:cs="Arial"/>
          <w:sz w:val="20"/>
          <w:szCs w:val="20"/>
        </w:rPr>
      </w:pPr>
      <w:r>
        <w:rPr>
          <w:rFonts w:eastAsia="Arial" w:cs="Arial"/>
          <w:sz w:val="20"/>
          <w:szCs w:val="20"/>
        </w:rPr>
        <w:t>A client's photo is inconsistent with client identifying information maintained by KCD;</w:t>
      </w:r>
    </w:p>
    <w:p>
      <w:pPr>
        <w:numPr>
          <w:ilvl w:val="1"/>
          <w:numId w:val="164"/>
        </w:numPr>
        <w:ind w:left="1440" w:hanging="220"/>
        <w:jc w:val="left"/>
        <w:rPr>
          <w:rFonts w:eastAsia="Arial" w:cs="Arial"/>
          <w:sz w:val="20"/>
          <w:szCs w:val="20"/>
        </w:rPr>
      </w:pPr>
      <w:r>
        <w:rPr>
          <w:rFonts w:eastAsia="Arial" w:cs="Arial"/>
          <w:sz w:val="20"/>
          <w:szCs w:val="20"/>
        </w:rPr>
        <w:t>A client presents multiple identity documents that are inconsistent with one another;</w:t>
      </w:r>
    </w:p>
    <w:p>
      <w:pPr>
        <w:numPr>
          <w:ilvl w:val="1"/>
          <w:numId w:val="164"/>
        </w:numPr>
        <w:ind w:left="1440" w:hanging="220"/>
        <w:jc w:val="left"/>
        <w:rPr>
          <w:rFonts w:eastAsia="Arial" w:cs="Arial"/>
          <w:sz w:val="20"/>
          <w:szCs w:val="20"/>
        </w:rPr>
      </w:pPr>
      <w:r>
        <w:rPr>
          <w:rFonts w:eastAsia="Arial" w:cs="Arial"/>
          <w:sz w:val="20"/>
          <w:szCs w:val="20"/>
        </w:rPr>
        <w:t>Technological glitches occurring when KCD is attempting to verify the identity of a prospective client or client online; or</w:t>
      </w:r>
    </w:p>
    <w:p>
      <w:pPr>
        <w:numPr>
          <w:ilvl w:val="1"/>
          <w:numId w:val="164"/>
        </w:numPr>
        <w:ind w:left="1440" w:hanging="220"/>
        <w:jc w:val="left"/>
        <w:rPr>
          <w:rFonts w:eastAsia="Arial" w:cs="Arial"/>
          <w:sz w:val="20"/>
          <w:szCs w:val="20"/>
        </w:rPr>
      </w:pPr>
      <w:r>
        <w:rPr>
          <w:rFonts w:eastAsia="Arial" w:cs="Arial"/>
          <w:sz w:val="20"/>
          <w:szCs w:val="20"/>
        </w:rPr>
        <w:t>A client declines to use KCD's multi-identification process;</w:t>
      </w:r>
    </w:p>
    <w:p>
      <w:pPr>
        <w:numPr>
          <w:ilvl w:val="0"/>
          <w:numId w:val="164"/>
        </w:numPr>
        <w:ind w:left="720" w:hanging="192"/>
        <w:jc w:val="left"/>
        <w:rPr>
          <w:rFonts w:eastAsia="Arial" w:cs="Arial"/>
          <w:sz w:val="20"/>
          <w:szCs w:val="20"/>
        </w:rPr>
      </w:pPr>
      <w:r>
        <w:rPr>
          <w:rFonts w:eastAsia="Arial" w:cs="Arial"/>
          <w:sz w:val="20"/>
          <w:szCs w:val="20"/>
        </w:rPr>
        <w:t>Use software or web-based tools designed to identify deepfakes including technology that analyzes photographs and other images;</w:t>
      </w:r>
    </w:p>
    <w:p>
      <w:pPr>
        <w:numPr>
          <w:ilvl w:val="0"/>
          <w:numId w:val="164"/>
        </w:numPr>
        <w:ind w:left="720" w:hanging="192"/>
        <w:jc w:val="left"/>
        <w:rPr>
          <w:rFonts w:eastAsia="Arial" w:cs="Arial"/>
          <w:sz w:val="20"/>
          <w:szCs w:val="20"/>
        </w:rPr>
      </w:pPr>
      <w:r>
        <w:rPr>
          <w:rFonts w:eastAsia="Arial" w:cs="Arial"/>
          <w:sz w:val="20"/>
          <w:szCs w:val="20"/>
        </w:rPr>
        <w:t>From time to time use software or other tools to detect any oddities with the client's geographic or device data, and access to the account by the client from an unusual IP address;</w:t>
      </w:r>
    </w:p>
    <w:p>
      <w:pPr>
        <w:numPr>
          <w:ilvl w:val="0"/>
          <w:numId w:val="164"/>
        </w:numPr>
        <w:ind w:left="720" w:hanging="192"/>
        <w:jc w:val="left"/>
        <w:rPr>
          <w:rFonts w:eastAsia="Arial" w:cs="Arial"/>
          <w:sz w:val="20"/>
          <w:szCs w:val="20"/>
        </w:rPr>
      </w:pPr>
      <w:r>
        <w:rPr>
          <w:rFonts w:eastAsia="Arial" w:cs="Arial"/>
          <w:sz w:val="20"/>
          <w:szCs w:val="20"/>
        </w:rPr>
        <w:t>Investigate a newly open account that has unusual activity soon after the account is opened; and</w:t>
      </w:r>
    </w:p>
    <w:p>
      <w:pPr>
        <w:numPr>
          <w:ilvl w:val="0"/>
          <w:numId w:val="164"/>
        </w:numPr>
        <w:spacing w:after="200"/>
        <w:ind w:left="720" w:hanging="192"/>
        <w:jc w:val="left"/>
        <w:rPr>
          <w:rFonts w:eastAsia="Arial" w:cs="Arial"/>
          <w:sz w:val="20"/>
          <w:szCs w:val="20"/>
        </w:rPr>
      </w:pPr>
      <w:r>
        <w:rPr>
          <w:rFonts w:eastAsia="Arial" w:cs="Arial"/>
          <w:sz w:val="20"/>
          <w:szCs w:val="20"/>
        </w:rPr>
        <w:t>Use multi-factor client authentication including where appropriate audio and video authentication.</w:t>
      </w:r>
    </w:p>
    <w:p>
      <w:bookmarkEnd w:id="151"/>
      <w:bookmarkStart w:id="152" w:name="Sec_Chp_061016102248171_06101613317"/>
    </w:p>
    <w:p>
      <w:pPr>
        <w:pStyle w:val="Heading3"/>
      </w:pPr>
      <w:bookmarkStart w:id="153" w:name="_Toc256000045"/>
      <w:r>
        <w:t>3.3.21 Cybersecurity</w:t>
      </w:r>
      <w:bookmarkEnd w:id="153"/>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On February 9, 2022, the SEC proposed cybersecurity rules for investment advisers. See Cybersecurity Risk Management for Investment Advisers, Registered Investment Companies, and Business Development Companies, Investment Company Act Rel. No. 5956 (Feb. 2, 2022). Proposed Rule 204-6 under the Investment Advisers Act of 1940 would have required investment advisers to adopt and implement written cybersecurity policies and procedures reasonably designed to address cybersecurity risks. The SEC on June 12, 2025, announced that it no longer intends to propose a cybersecurity rule applicable to investment advisers. </w:t>
      </w:r>
      <w:r>
        <w:rPr>
          <w:rFonts w:eastAsia="Arial" w:cs="Arial"/>
          <w:i/>
          <w:iCs/>
          <w:sz w:val="20"/>
          <w:szCs w:val="20"/>
        </w:rPr>
        <w:t>See Withdrawal of Proposed Regulatory Actions, Investment Advisers Act No. 6855 (June 12, 2025).</w:t>
      </w:r>
    </w:p>
    <w:p>
      <w:pPr>
        <w:pStyle w:val="normal0"/>
        <w:spacing w:before="200" w:after="200"/>
        <w:rPr>
          <w:rFonts w:eastAsia="Arial" w:cs="Arial"/>
          <w:sz w:val="20"/>
          <w:szCs w:val="20"/>
        </w:rPr>
      </w:pPr>
      <w:r>
        <w:rPr>
          <w:rFonts w:eastAsia="Arial" w:cs="Arial"/>
          <w:sz w:val="20"/>
          <w:szCs w:val="20"/>
        </w:rPr>
        <w:t>Since KCD may use and depend upon a variety of digital technologies to conduct its operations, it may want to separately adopt procedures that address the risks to it that are associated with cyber attacks, which include gaining unauthorized access to digital systems for purposes of misappropriating assets or sensitive information, corrupting data or causing operational disruption. Cyber attacks may also be carried out in a manner that does not require gaining unauthorized access, such as by causing denial-of-service attacks on websites. At risk is the personal information of clients as well as the business operations of KCD.</w:t>
      </w:r>
    </w:p>
    <w:p>
      <w:pPr>
        <w:pStyle w:val="normal0"/>
        <w:spacing w:before="200" w:after="200"/>
        <w:rPr>
          <w:rFonts w:eastAsia="Arial" w:cs="Arial"/>
          <w:sz w:val="20"/>
          <w:szCs w:val="20"/>
        </w:rPr>
      </w:pPr>
      <w:r>
        <w:rPr>
          <w:rFonts w:eastAsia="Arial" w:cs="Arial"/>
          <w:sz w:val="20"/>
          <w:szCs w:val="20"/>
        </w:rPr>
        <w:t>Common cybersecurity threats:</w:t>
      </w:r>
    </w:p>
    <w:p>
      <w:pPr>
        <w:numPr>
          <w:ilvl w:val="0"/>
          <w:numId w:val="165"/>
        </w:numPr>
        <w:spacing w:before="200"/>
        <w:ind w:left="720" w:hanging="192"/>
        <w:jc w:val="left"/>
        <w:rPr>
          <w:rFonts w:eastAsia="Arial" w:cs="Arial"/>
          <w:sz w:val="20"/>
          <w:szCs w:val="20"/>
        </w:rPr>
      </w:pPr>
      <w:r>
        <w:rPr>
          <w:rFonts w:eastAsia="Arial" w:cs="Arial"/>
          <w:sz w:val="20"/>
          <w:szCs w:val="20"/>
          <w:u w:val="single"/>
        </w:rPr>
        <w:t>Ransomware and Extortion Events</w:t>
      </w:r>
      <w:r>
        <w:rPr>
          <w:rFonts w:eastAsia="Arial" w:cs="Arial"/>
          <w:sz w:val="20"/>
          <w:szCs w:val="20"/>
        </w:rPr>
        <w:t>: cyberattacks involving unauthorized access to Firm systems, often installing malware to encrypt or access and steal sensitive Firm data or client information. The stolen or encrypted data is held for ransom;</w:t>
      </w:r>
    </w:p>
    <w:p>
      <w:pPr>
        <w:numPr>
          <w:ilvl w:val="0"/>
          <w:numId w:val="165"/>
        </w:numPr>
        <w:ind w:left="720" w:hanging="192"/>
        <w:jc w:val="left"/>
        <w:rPr>
          <w:rFonts w:eastAsia="Arial" w:cs="Arial"/>
          <w:sz w:val="20"/>
          <w:szCs w:val="20"/>
        </w:rPr>
      </w:pPr>
      <w:r>
        <w:rPr>
          <w:rFonts w:eastAsia="Arial" w:cs="Arial"/>
          <w:sz w:val="20"/>
          <w:szCs w:val="20"/>
          <w:u w:val="single"/>
        </w:rPr>
        <w:t>Data Breaches</w:t>
      </w:r>
      <w:r>
        <w:rPr>
          <w:rFonts w:eastAsia="Arial" w:cs="Arial"/>
          <w:sz w:val="20"/>
          <w:szCs w:val="20"/>
        </w:rPr>
        <w:t>: unauthorized access, acquisition or disclosure of confidential information, such as Firm data and client data, including personally identifiable information;</w:t>
      </w:r>
    </w:p>
    <w:p>
      <w:pPr>
        <w:numPr>
          <w:ilvl w:val="0"/>
          <w:numId w:val="165"/>
        </w:numPr>
        <w:ind w:left="720" w:hanging="192"/>
        <w:jc w:val="left"/>
        <w:rPr>
          <w:rFonts w:eastAsia="Arial" w:cs="Arial"/>
          <w:sz w:val="20"/>
          <w:szCs w:val="20"/>
        </w:rPr>
      </w:pPr>
      <w:r>
        <w:rPr>
          <w:rFonts w:eastAsia="Arial" w:cs="Arial"/>
          <w:sz w:val="20"/>
          <w:szCs w:val="20"/>
          <w:u w:val="single"/>
        </w:rPr>
        <w:t>Phishing, Smishing or Quishing</w:t>
      </w:r>
      <w:r>
        <w:rPr>
          <w:rFonts w:eastAsia="Arial" w:cs="Arial"/>
          <w:sz w:val="20"/>
          <w:szCs w:val="20"/>
        </w:rPr>
        <w:t>: deceptive social engineering attacks using email, SMS text messages or QR codes to redirect clients to malicious domains for the purposes of gathering their login and other credentials;</w:t>
      </w:r>
    </w:p>
    <w:p>
      <w:pPr>
        <w:numPr>
          <w:ilvl w:val="0"/>
          <w:numId w:val="165"/>
        </w:numPr>
        <w:ind w:left="720" w:hanging="192"/>
        <w:jc w:val="left"/>
        <w:rPr>
          <w:rFonts w:eastAsia="Arial" w:cs="Arial"/>
          <w:sz w:val="20"/>
          <w:szCs w:val="20"/>
        </w:rPr>
      </w:pPr>
      <w:r>
        <w:rPr>
          <w:rFonts w:eastAsia="Arial" w:cs="Arial"/>
          <w:sz w:val="20"/>
          <w:szCs w:val="20"/>
          <w:u w:val="single"/>
        </w:rPr>
        <w:t>New Account Fraud</w:t>
      </w:r>
      <w:r>
        <w:rPr>
          <w:rFonts w:eastAsia="Arial" w:cs="Arial"/>
          <w:sz w:val="20"/>
          <w:szCs w:val="20"/>
        </w:rPr>
        <w:t>: attacks using falsified client information or stolen identity information often purchased from criminal sites on the dark web, via a mobile app or internet browser, for the purpose of opening accounts;</w:t>
      </w:r>
    </w:p>
    <w:p>
      <w:pPr>
        <w:numPr>
          <w:ilvl w:val="0"/>
          <w:numId w:val="165"/>
        </w:numPr>
        <w:ind w:left="720" w:hanging="192"/>
        <w:jc w:val="left"/>
        <w:rPr>
          <w:rFonts w:eastAsia="Arial" w:cs="Arial"/>
          <w:sz w:val="20"/>
          <w:szCs w:val="20"/>
        </w:rPr>
      </w:pPr>
      <w:r>
        <w:rPr>
          <w:rFonts w:eastAsia="Arial" w:cs="Arial"/>
          <w:sz w:val="20"/>
          <w:szCs w:val="20"/>
          <w:u w:val="single"/>
        </w:rPr>
        <w:t>Account Takeovers</w:t>
      </w:r>
      <w:r>
        <w:rPr>
          <w:rFonts w:eastAsia="Arial" w:cs="Arial"/>
          <w:sz w:val="20"/>
          <w:szCs w:val="20"/>
        </w:rPr>
        <w:t>: threat actors using compromised client login credentials to gain unauthorized access to online accounts;</w:t>
      </w:r>
    </w:p>
    <w:p>
      <w:pPr>
        <w:numPr>
          <w:ilvl w:val="0"/>
          <w:numId w:val="165"/>
        </w:numPr>
        <w:ind w:left="720" w:hanging="192"/>
        <w:jc w:val="left"/>
        <w:rPr>
          <w:rFonts w:eastAsia="Arial" w:cs="Arial"/>
          <w:sz w:val="20"/>
          <w:szCs w:val="20"/>
        </w:rPr>
      </w:pPr>
      <w:r>
        <w:rPr>
          <w:rFonts w:eastAsia="Arial" w:cs="Arial"/>
          <w:sz w:val="20"/>
          <w:szCs w:val="20"/>
          <w:u w:val="single"/>
        </w:rPr>
        <w:t>Account Impersonations</w:t>
      </w:r>
      <w:r>
        <w:rPr>
          <w:rFonts w:eastAsia="Arial" w:cs="Arial"/>
          <w:sz w:val="20"/>
          <w:szCs w:val="20"/>
        </w:rPr>
        <w:t>: threat actors using stolen client information in combination with a compromised or spoofed email address to initiate actions, often a third-party wire transfer request, from the client's account;</w:t>
      </w:r>
    </w:p>
    <w:p>
      <w:pPr>
        <w:numPr>
          <w:ilvl w:val="0"/>
          <w:numId w:val="165"/>
        </w:numPr>
        <w:ind w:left="720" w:hanging="192"/>
        <w:jc w:val="left"/>
        <w:rPr>
          <w:rFonts w:eastAsia="Arial" w:cs="Arial"/>
          <w:sz w:val="20"/>
          <w:szCs w:val="20"/>
        </w:rPr>
      </w:pPr>
      <w:r>
        <w:rPr>
          <w:rFonts w:eastAsia="Arial" w:cs="Arial"/>
          <w:sz w:val="20"/>
          <w:szCs w:val="20"/>
          <w:u w:val="single"/>
        </w:rPr>
        <w:t>Imposter Sites</w:t>
      </w:r>
      <w:r>
        <w:rPr>
          <w:rFonts w:eastAsia="Arial" w:cs="Arial"/>
          <w:sz w:val="20"/>
          <w:szCs w:val="20"/>
        </w:rPr>
        <w:t>: attacks leveraging spoofed domains and social media profiles (including those that impersonate KCD) to defraud KCD and clients;</w:t>
      </w:r>
    </w:p>
    <w:p>
      <w:pPr>
        <w:numPr>
          <w:ilvl w:val="0"/>
          <w:numId w:val="165"/>
        </w:numPr>
        <w:ind w:left="720" w:hanging="192"/>
        <w:jc w:val="left"/>
        <w:rPr>
          <w:rFonts w:eastAsia="Arial" w:cs="Arial"/>
          <w:sz w:val="20"/>
          <w:szCs w:val="20"/>
        </w:rPr>
      </w:pPr>
      <w:r>
        <w:rPr>
          <w:rFonts w:eastAsia="Arial" w:cs="Arial"/>
          <w:sz w:val="20"/>
          <w:szCs w:val="20"/>
          <w:u w:val="single"/>
        </w:rPr>
        <w:t>Relationship Investment Scams</w:t>
      </w:r>
      <w:r>
        <w:rPr>
          <w:rFonts w:eastAsia="Arial" w:cs="Arial"/>
          <w:sz w:val="20"/>
          <w:szCs w:val="20"/>
        </w:rPr>
        <w:t>: deceptive schemes targeting clients directly through social media or through text messages, establishing trust and then defrauding the clients; and</w:t>
      </w:r>
    </w:p>
    <w:p>
      <w:pPr>
        <w:numPr>
          <w:ilvl w:val="0"/>
          <w:numId w:val="165"/>
        </w:numPr>
        <w:spacing w:after="200"/>
        <w:ind w:left="720" w:hanging="192"/>
        <w:jc w:val="left"/>
        <w:rPr>
          <w:rFonts w:eastAsia="Arial" w:cs="Arial"/>
          <w:sz w:val="20"/>
          <w:szCs w:val="20"/>
        </w:rPr>
      </w:pPr>
      <w:r>
        <w:rPr>
          <w:rFonts w:eastAsia="Arial" w:cs="Arial"/>
          <w:sz w:val="20"/>
          <w:szCs w:val="20"/>
          <w:u w:val="single"/>
        </w:rPr>
        <w:t>Insider Threats</w:t>
      </w:r>
      <w:r>
        <w:rPr>
          <w:rFonts w:eastAsia="Arial" w:cs="Arial"/>
          <w:sz w:val="20"/>
          <w:szCs w:val="20"/>
        </w:rPr>
        <w:t>: incidents involving Firm employees who purposely or inadvertently use their access to KCD's systems to cause harm to KCD and/or clients.</w:t>
      </w:r>
    </w:p>
    <w:p>
      <w:pPr>
        <w:pStyle w:val="normal0"/>
        <w:spacing w:before="200" w:after="200"/>
        <w:rPr>
          <w:rFonts w:eastAsia="Arial" w:cs="Arial"/>
          <w:sz w:val="20"/>
          <w:szCs w:val="20"/>
        </w:rPr>
      </w:pPr>
      <w:r>
        <w:rPr>
          <w:rFonts w:eastAsia="Arial" w:cs="Arial"/>
          <w:sz w:val="20"/>
          <w:szCs w:val="20"/>
        </w:rPr>
        <w:t xml:space="preserve">Recently, the SEC settled charges against Navy Capital Green Management, LLC, an SEC-registered investment adviser, with making misrepresentations related to one of its sets of compliance procedures (anti-money laundering (AML) procedures) and for compliance failures. </w:t>
      </w:r>
      <w:r>
        <w:rPr>
          <w:rFonts w:eastAsia="Arial" w:cs="Arial"/>
          <w:i/>
          <w:iCs/>
          <w:sz w:val="20"/>
          <w:szCs w:val="20"/>
        </w:rPr>
        <w:t>See Navy Capital Green Management, LLC, Investment Advisers Act Rel. No. 6833 (January 14, 2025).</w:t>
      </w:r>
      <w:r>
        <w:rPr>
          <w:rFonts w:eastAsia="Arial" w:cs="Arial"/>
          <w:sz w:val="20"/>
          <w:szCs w:val="20"/>
        </w:rPr>
        <w:t xml:space="preserve"> According to the SEC, the investment adviser stated in its disclosure documents provided to clients and investors that the company was voluntarily complying with AML requirements, although those laws did not specifically apply to investment advisers. The SEC found that these statements were not accurate. As a result, among other things, the SEC ordered the investment adviser to pay $150,000 in civil money penalties. The SEC enforcement action re-emphasizes the important point that any procedures, including cybersecurity procedures, in a compliance manual should only be included if the investment adviser and its chief compliance officer will diligently follow and enforce such procedures.</w:t>
      </w:r>
    </w:p>
    <w:p>
      <w:bookmarkEnd w:id="152"/>
      <w:bookmarkStart w:id="154" w:name="Sec_Chp_061016102248171_234249"/>
    </w:p>
    <w:p>
      <w:pPr>
        <w:pStyle w:val="Heading3"/>
      </w:pPr>
      <w:bookmarkStart w:id="155" w:name="_Toc256000046"/>
      <w:r>
        <w:t>3.3.22 Financial Advice from Multiple Professionals</w:t>
      </w:r>
      <w:bookmarkEnd w:id="155"/>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KCD shall ask each of its clients whether he or she receives advice from another investment adviser, broker-dealer, attorney, accountant, tax adviser or other professional that impacts such client's investment portfolio and investment recommendations. If a client is receiving advice or recommendation from an outside professional, KCD will request the client to provide such advice or recommendation in writing and, if necessary, contact such professional including to determine who is responsible for implementing such advice or recommendation. KCD may take such action or refrain from such action to avoid liability and financial harm to a client, for example, by investing client assets in a manner that would result in a tax penalty or liability.</w:t>
      </w:r>
    </w:p>
    <w:p>
      <w:bookmarkEnd w:id="154"/>
      <w:bookmarkStart w:id="156" w:name="Sec_Chp_061016102248171_06101613318"/>
    </w:p>
    <w:p>
      <w:pPr>
        <w:pStyle w:val="Heading3"/>
      </w:pPr>
      <w:bookmarkStart w:id="157" w:name="_Toc256000047"/>
      <w:r>
        <w:t>3.3.23 FATCA</w:t>
      </w:r>
      <w:bookmarkEnd w:id="157"/>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Foreign Account Tax Compliance Act ("FATCA") generally imposes registration, due diligence, withholding and reporting obligations on certain investment funds and investment fund managers. Under the U.S. Treasury regulations, certain foreign financial institutions ("FFIs"), including investment funds and investment managers that are organized outside of the U.S., would be required to register and enter into an agreement (an "FFI Agreement") with the U.S. Internal Revenue Service ("IRS") in order to ensure compliance with FATCA. Not all foreign entities must be FATCA-compliant. Many factors, including source and type of income, affiliations with other foreign entities and business relationships may affect the determination of whether a foreign entity must be FATCA-compliant. As of June 2014, more than 77,000 banks and other financial institutions located abroad have agreed, effective July 1, 2014, to report data on U.S. accounts.</w:t>
      </w:r>
    </w:p>
    <w:p>
      <w:pPr>
        <w:pStyle w:val="normal0"/>
        <w:spacing w:before="200" w:after="200"/>
        <w:rPr>
          <w:rFonts w:eastAsia="Arial" w:cs="Arial"/>
          <w:sz w:val="20"/>
          <w:szCs w:val="20"/>
        </w:rPr>
      </w:pPr>
      <w:r>
        <w:rPr>
          <w:rFonts w:eastAsia="Arial" w:cs="Arial"/>
          <w:sz w:val="20"/>
          <w:szCs w:val="20"/>
        </w:rPr>
        <w:t>KCD does not do business with foreign accounts.</w:t>
      </w:r>
    </w:p>
    <w:p>
      <w:bookmarkEnd w:id="156"/>
      <w:bookmarkStart w:id="158" w:name="Sec_Chp_061016102248171_061016102248812"/>
    </w:p>
    <w:p>
      <w:pPr>
        <w:pStyle w:val="Heading2"/>
      </w:pPr>
      <w:bookmarkStart w:id="159" w:name="_Toc256000048"/>
      <w:r>
        <w:t>3.4 Form ADV Disclosure</w:t>
      </w:r>
      <w:bookmarkEnd w:id="159"/>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(1) describe in its Brochure (Part 2A) the type of information that KCD or the broker-dealer or financial institution that maintains client securities accounts sends to clients; or (2) attach a copy of its Privacy Notice to its Brochure, which is sent annually to clients.</w:t>
      </w:r>
    </w:p>
    <w:p>
      <w:bookmarkEnd w:id="158"/>
      <w:bookmarkStart w:id="160" w:name="Sec_Chp_061016102248171_061016102248828"/>
    </w:p>
    <w:p>
      <w:pPr>
        <w:pStyle w:val="Heading2"/>
      </w:pPr>
      <w:bookmarkStart w:id="161" w:name="_Toc256000049"/>
      <w:r>
        <w:t>3.5 Books and Records</w:t>
      </w:r>
      <w:bookmarkEnd w:id="161"/>
    </w:p>
    <w:p/>
    <w:p>
      <w:pPr>
        <w:rPr>
          <w:rFonts w:eastAsia="Arial" w:cs="Arial"/>
          <w:sz w:val="16"/>
          <w:szCs w:val="16"/>
        </w:rPr>
      </w:pPr>
      <w:r>
        <w:rPr>
          <w:rFonts w:eastAsia="Arial" w:cs="Arial"/>
          <w:sz w:val="16"/>
          <w:szCs w:val="16"/>
        </w:rPr>
        <w:t>[Investment Advisers Act of 1940 Rule 204-2(a)(14)]</w:t>
      </w:r>
    </w:p>
    <w:p/>
    <w:p>
      <w:pPr>
        <w:pStyle w:val="normal0"/>
        <w:spacing w:after="200"/>
        <w:rPr>
          <w:rFonts w:eastAsia="Arial" w:cs="Arial"/>
          <w:sz w:val="20"/>
          <w:szCs w:val="20"/>
        </w:rPr>
      </w:pPr>
      <w:r>
        <w:rPr>
          <w:rFonts w:eastAsia="Arial" w:cs="Arial"/>
          <w:sz w:val="20"/>
          <w:szCs w:val="20"/>
        </w:rPr>
        <w:t>KCD will maintain for each client account the following information and documents where applicable:</w:t>
      </w:r>
    </w:p>
    <w:p>
      <w:pPr>
        <w:numPr>
          <w:ilvl w:val="0"/>
          <w:numId w:val="166"/>
        </w:numPr>
        <w:spacing w:before="200"/>
        <w:ind w:left="720" w:hanging="192"/>
        <w:jc w:val="left"/>
        <w:rPr>
          <w:rFonts w:eastAsia="Arial" w:cs="Arial"/>
          <w:sz w:val="20"/>
          <w:szCs w:val="20"/>
        </w:rPr>
      </w:pPr>
      <w:r>
        <w:rPr>
          <w:rFonts w:eastAsia="Arial" w:cs="Arial"/>
          <w:sz w:val="20"/>
          <w:szCs w:val="20"/>
        </w:rPr>
        <w:t>Whether or not the client's account is managed on a discretionary basis;</w:t>
      </w:r>
    </w:p>
    <w:p>
      <w:pPr>
        <w:numPr>
          <w:ilvl w:val="0"/>
          <w:numId w:val="166"/>
        </w:numPr>
        <w:ind w:left="720" w:hanging="192"/>
        <w:jc w:val="left"/>
        <w:rPr>
          <w:rFonts w:eastAsia="Arial" w:cs="Arial"/>
          <w:sz w:val="20"/>
          <w:szCs w:val="20"/>
        </w:rPr>
      </w:pPr>
      <w:r>
        <w:rPr>
          <w:rFonts w:eastAsia="Arial" w:cs="Arial"/>
          <w:sz w:val="20"/>
          <w:szCs w:val="20"/>
        </w:rPr>
        <w:t>Type of client (</w:t>
      </w:r>
      <w:r>
        <w:rPr>
          <w:rFonts w:eastAsia="Arial" w:cs="Arial"/>
          <w:i/>
          <w:iCs/>
          <w:sz w:val="20"/>
          <w:szCs w:val="20"/>
        </w:rPr>
        <w:t>e.g.,</w:t>
      </w:r>
      <w:r>
        <w:rPr>
          <w:rFonts w:eastAsia="Arial" w:cs="Arial"/>
          <w:sz w:val="20"/>
          <w:szCs w:val="20"/>
        </w:rPr>
        <w:t xml:space="preserve"> natural person, entity, </w:t>
      </w:r>
      <w:r>
        <w:rPr>
          <w:rFonts w:eastAsia="Arial" w:cs="Arial"/>
          <w:i/>
          <w:iCs/>
          <w:sz w:val="20"/>
          <w:szCs w:val="20"/>
        </w:rPr>
        <w:t>etc.</w:t>
      </w:r>
      <w:r>
        <w:rPr>
          <w:rFonts w:eastAsia="Arial" w:cs="Arial"/>
          <w:sz w:val="20"/>
          <w:szCs w:val="20"/>
        </w:rPr>
        <w:t>);</w:t>
      </w:r>
    </w:p>
    <w:p>
      <w:pPr>
        <w:numPr>
          <w:ilvl w:val="0"/>
          <w:numId w:val="166"/>
        </w:numPr>
        <w:ind w:left="720" w:hanging="192"/>
        <w:jc w:val="left"/>
        <w:rPr>
          <w:rFonts w:eastAsia="Arial" w:cs="Arial"/>
          <w:sz w:val="20"/>
          <w:szCs w:val="20"/>
        </w:rPr>
      </w:pPr>
      <w:r>
        <w:rPr>
          <w:rFonts w:eastAsia="Arial" w:cs="Arial"/>
          <w:sz w:val="20"/>
          <w:szCs w:val="20"/>
        </w:rPr>
        <w:t>Type of account (</w:t>
      </w:r>
      <w:r>
        <w:rPr>
          <w:rFonts w:eastAsia="Arial" w:cs="Arial"/>
          <w:i/>
          <w:iCs/>
          <w:sz w:val="20"/>
          <w:szCs w:val="20"/>
        </w:rPr>
        <w:t>e.g.,</w:t>
      </w:r>
      <w:r>
        <w:rPr>
          <w:rFonts w:eastAsia="Arial" w:cs="Arial"/>
          <w:sz w:val="20"/>
          <w:szCs w:val="20"/>
        </w:rPr>
        <w:t xml:space="preserve"> international, balanced, </w:t>
      </w:r>
      <w:r>
        <w:rPr>
          <w:rFonts w:eastAsia="Arial" w:cs="Arial"/>
          <w:i/>
          <w:iCs/>
          <w:sz w:val="20"/>
          <w:szCs w:val="20"/>
        </w:rPr>
        <w:t>etc.</w:t>
      </w:r>
      <w:r>
        <w:rPr>
          <w:rFonts w:eastAsia="Arial" w:cs="Arial"/>
          <w:sz w:val="20"/>
          <w:szCs w:val="20"/>
        </w:rPr>
        <w:t>);</w:t>
      </w:r>
    </w:p>
    <w:p>
      <w:pPr>
        <w:numPr>
          <w:ilvl w:val="0"/>
          <w:numId w:val="166"/>
        </w:numPr>
        <w:ind w:left="720" w:hanging="192"/>
        <w:jc w:val="left"/>
        <w:rPr>
          <w:rFonts w:eastAsia="Arial" w:cs="Arial"/>
          <w:sz w:val="20"/>
          <w:szCs w:val="20"/>
        </w:rPr>
      </w:pPr>
      <w:r>
        <w:rPr>
          <w:rFonts w:eastAsia="Arial" w:cs="Arial"/>
          <w:sz w:val="20"/>
          <w:szCs w:val="20"/>
        </w:rPr>
        <w:t>Whether or not the client is related to KCD or its officers;</w:t>
      </w:r>
    </w:p>
    <w:p>
      <w:pPr>
        <w:numPr>
          <w:ilvl w:val="0"/>
          <w:numId w:val="166"/>
        </w:numPr>
        <w:ind w:left="720" w:hanging="192"/>
        <w:jc w:val="left"/>
        <w:rPr>
          <w:rFonts w:eastAsia="Arial" w:cs="Arial"/>
          <w:sz w:val="20"/>
          <w:szCs w:val="20"/>
        </w:rPr>
      </w:pPr>
      <w:r>
        <w:rPr>
          <w:rFonts w:eastAsia="Arial" w:cs="Arial"/>
          <w:sz w:val="20"/>
          <w:szCs w:val="20"/>
        </w:rPr>
        <w:t>Whether or not a performance fee is charged on the account;</w:t>
      </w:r>
    </w:p>
    <w:p>
      <w:pPr>
        <w:numPr>
          <w:ilvl w:val="0"/>
          <w:numId w:val="166"/>
        </w:numPr>
        <w:ind w:left="720" w:hanging="192"/>
        <w:jc w:val="left"/>
        <w:rPr>
          <w:rFonts w:eastAsia="Arial" w:cs="Arial"/>
          <w:sz w:val="20"/>
          <w:szCs w:val="20"/>
        </w:rPr>
      </w:pPr>
      <w:r>
        <w:rPr>
          <w:rFonts w:eastAsia="Arial" w:cs="Arial"/>
          <w:sz w:val="20"/>
          <w:szCs w:val="20"/>
        </w:rPr>
        <w:t>Whether or not a client directs brokerage, and if applicable, the name of the brokerage firm and the total amount directed;</w:t>
      </w:r>
    </w:p>
    <w:p>
      <w:pPr>
        <w:numPr>
          <w:ilvl w:val="0"/>
          <w:numId w:val="166"/>
        </w:numPr>
        <w:ind w:left="720" w:hanging="192"/>
        <w:jc w:val="left"/>
        <w:rPr>
          <w:rFonts w:eastAsia="Arial" w:cs="Arial"/>
          <w:sz w:val="20"/>
          <w:szCs w:val="20"/>
        </w:rPr>
      </w:pPr>
      <w:r>
        <w:rPr>
          <w:rFonts w:eastAsia="Arial" w:cs="Arial"/>
          <w:sz w:val="20"/>
          <w:szCs w:val="20"/>
        </w:rPr>
        <w:t>Whether or not KCD has a power-of-attorney over the account;</w:t>
      </w:r>
    </w:p>
    <w:p>
      <w:pPr>
        <w:numPr>
          <w:ilvl w:val="0"/>
          <w:numId w:val="166"/>
        </w:numPr>
        <w:ind w:left="720" w:hanging="192"/>
        <w:jc w:val="left"/>
        <w:rPr>
          <w:rFonts w:eastAsia="Arial" w:cs="Arial"/>
          <w:sz w:val="20"/>
          <w:szCs w:val="20"/>
        </w:rPr>
      </w:pPr>
      <w:r>
        <w:rPr>
          <w:rFonts w:eastAsia="Arial" w:cs="Arial"/>
          <w:sz w:val="20"/>
          <w:szCs w:val="20"/>
        </w:rPr>
        <w:t>Whether or not KCD deducts its advisory fee from the account;</w:t>
      </w:r>
    </w:p>
    <w:p>
      <w:pPr>
        <w:numPr>
          <w:ilvl w:val="0"/>
          <w:numId w:val="166"/>
        </w:numPr>
        <w:ind w:left="720" w:hanging="192"/>
        <w:jc w:val="left"/>
        <w:rPr>
          <w:rFonts w:eastAsia="Arial" w:cs="Arial"/>
          <w:sz w:val="20"/>
          <w:szCs w:val="20"/>
        </w:rPr>
      </w:pPr>
      <w:r>
        <w:rPr>
          <w:rFonts w:eastAsia="Arial" w:cs="Arial"/>
          <w:sz w:val="20"/>
          <w:szCs w:val="20"/>
        </w:rPr>
        <w:t>Executed Investment Advisory Contract;</w:t>
      </w:r>
    </w:p>
    <w:p>
      <w:pPr>
        <w:numPr>
          <w:ilvl w:val="0"/>
          <w:numId w:val="166"/>
        </w:numPr>
        <w:ind w:left="720" w:hanging="192"/>
        <w:jc w:val="left"/>
        <w:rPr>
          <w:rFonts w:eastAsia="Arial" w:cs="Arial"/>
          <w:sz w:val="20"/>
          <w:szCs w:val="20"/>
        </w:rPr>
      </w:pPr>
      <w:r>
        <w:rPr>
          <w:rFonts w:eastAsia="Arial" w:cs="Arial"/>
          <w:sz w:val="20"/>
          <w:szCs w:val="20"/>
        </w:rPr>
        <w:t>Incoming and Outgoing correspondence with client;</w:t>
      </w:r>
    </w:p>
    <w:p>
      <w:pPr>
        <w:numPr>
          <w:ilvl w:val="0"/>
          <w:numId w:val="166"/>
        </w:numPr>
        <w:ind w:left="720" w:hanging="192"/>
        <w:jc w:val="left"/>
        <w:rPr>
          <w:rFonts w:eastAsia="Arial" w:cs="Arial"/>
          <w:sz w:val="20"/>
          <w:szCs w:val="20"/>
        </w:rPr>
      </w:pPr>
      <w:r>
        <w:rPr>
          <w:rFonts w:eastAsia="Arial" w:cs="Arial"/>
          <w:sz w:val="20"/>
          <w:szCs w:val="20"/>
        </w:rPr>
        <w:t>KCD Account Opening Form;</w:t>
      </w:r>
    </w:p>
    <w:p>
      <w:pPr>
        <w:numPr>
          <w:ilvl w:val="0"/>
          <w:numId w:val="166"/>
        </w:numPr>
        <w:ind w:left="720" w:hanging="192"/>
        <w:jc w:val="left"/>
        <w:rPr>
          <w:rFonts w:eastAsia="Arial" w:cs="Arial"/>
          <w:sz w:val="20"/>
          <w:szCs w:val="20"/>
        </w:rPr>
      </w:pPr>
      <w:r>
        <w:rPr>
          <w:rFonts w:eastAsia="Arial" w:cs="Arial"/>
          <w:sz w:val="20"/>
          <w:szCs w:val="20"/>
        </w:rPr>
        <w:t>Account statements generated by KCD and/or the broker-dealer or financial institution that maintains the account;</w:t>
      </w:r>
    </w:p>
    <w:p>
      <w:pPr>
        <w:numPr>
          <w:ilvl w:val="0"/>
          <w:numId w:val="166"/>
        </w:numPr>
        <w:ind w:left="720" w:hanging="192"/>
        <w:jc w:val="left"/>
        <w:rPr>
          <w:rFonts w:eastAsia="Arial" w:cs="Arial"/>
          <w:sz w:val="20"/>
          <w:szCs w:val="20"/>
        </w:rPr>
      </w:pPr>
      <w:r>
        <w:rPr>
          <w:rFonts w:eastAsia="Arial" w:cs="Arial"/>
          <w:sz w:val="20"/>
          <w:szCs w:val="20"/>
        </w:rPr>
        <w:t>Trade confirmations;</w:t>
      </w:r>
    </w:p>
    <w:p>
      <w:pPr>
        <w:numPr>
          <w:ilvl w:val="0"/>
          <w:numId w:val="166"/>
        </w:numPr>
        <w:ind w:left="720" w:hanging="192"/>
        <w:jc w:val="left"/>
        <w:rPr>
          <w:rFonts w:eastAsia="Arial" w:cs="Arial"/>
          <w:sz w:val="20"/>
          <w:szCs w:val="20"/>
        </w:rPr>
      </w:pPr>
      <w:r>
        <w:rPr>
          <w:rFonts w:eastAsia="Arial" w:cs="Arial"/>
          <w:sz w:val="20"/>
          <w:szCs w:val="20"/>
        </w:rPr>
        <w:t>Fee invoices;</w:t>
      </w:r>
    </w:p>
    <w:p>
      <w:pPr>
        <w:numPr>
          <w:ilvl w:val="0"/>
          <w:numId w:val="166"/>
        </w:numPr>
        <w:ind w:left="720" w:hanging="192"/>
        <w:jc w:val="left"/>
        <w:rPr>
          <w:rFonts w:eastAsia="Arial" w:cs="Arial"/>
          <w:sz w:val="20"/>
          <w:szCs w:val="20"/>
        </w:rPr>
      </w:pPr>
      <w:r>
        <w:rPr>
          <w:rFonts w:eastAsia="Arial" w:cs="Arial"/>
          <w:sz w:val="20"/>
          <w:szCs w:val="20"/>
        </w:rPr>
        <w:t>Custodial or trust agreements; and</w:t>
      </w:r>
    </w:p>
    <w:p>
      <w:pPr>
        <w:numPr>
          <w:ilvl w:val="0"/>
          <w:numId w:val="166"/>
        </w:numPr>
        <w:spacing w:after="200"/>
        <w:ind w:left="720" w:hanging="192"/>
        <w:jc w:val="left"/>
        <w:rPr>
          <w:rFonts w:eastAsia="Arial" w:cs="Arial"/>
          <w:sz w:val="20"/>
          <w:szCs w:val="20"/>
        </w:rPr>
      </w:pPr>
      <w:r>
        <w:rPr>
          <w:rFonts w:eastAsia="Arial" w:cs="Arial"/>
          <w:sz w:val="20"/>
          <w:szCs w:val="20"/>
        </w:rPr>
        <w:t>Copies of form letters (sent to 5 or more persons), form e-mails (sent to 5 or more persons), newsletters and other communications sent to client.</w:t>
      </w:r>
    </w:p>
    <w:p>
      <w:pPr>
        <w:pStyle w:val="normal0"/>
        <w:spacing w:before="200" w:after="200"/>
        <w:rPr>
          <w:rFonts w:eastAsia="Arial" w:cs="Arial"/>
          <w:sz w:val="20"/>
          <w:szCs w:val="20"/>
        </w:rPr>
      </w:pPr>
      <w:r>
        <w:rPr>
          <w:rFonts w:eastAsia="Arial" w:cs="Arial"/>
          <w:sz w:val="20"/>
          <w:szCs w:val="20"/>
        </w:rPr>
        <w:t>KCD shall also maintain in its general books and records:</w:t>
      </w:r>
    </w:p>
    <w:p>
      <w:pPr>
        <w:numPr>
          <w:ilvl w:val="0"/>
          <w:numId w:val="167"/>
        </w:numPr>
        <w:spacing w:before="200"/>
        <w:ind w:left="720" w:hanging="192"/>
        <w:jc w:val="left"/>
        <w:rPr>
          <w:rFonts w:eastAsia="Arial" w:cs="Arial"/>
          <w:sz w:val="20"/>
          <w:szCs w:val="20"/>
        </w:rPr>
      </w:pPr>
      <w:r>
        <w:rPr>
          <w:rFonts w:eastAsia="Arial" w:cs="Arial"/>
          <w:sz w:val="20"/>
          <w:szCs w:val="20"/>
        </w:rPr>
        <w:t>Documents related to the privacy of client records, including the delivery of privacy notices to new and existing clients;</w:t>
      </w:r>
    </w:p>
    <w:p>
      <w:pPr>
        <w:numPr>
          <w:ilvl w:val="0"/>
          <w:numId w:val="167"/>
        </w:numPr>
        <w:ind w:left="720" w:hanging="192"/>
        <w:jc w:val="left"/>
        <w:rPr>
          <w:rFonts w:eastAsia="Arial" w:cs="Arial"/>
          <w:sz w:val="20"/>
          <w:szCs w:val="20"/>
        </w:rPr>
      </w:pPr>
      <w:r>
        <w:rPr>
          <w:rFonts w:eastAsia="Arial" w:cs="Arial"/>
          <w:sz w:val="20"/>
          <w:szCs w:val="20"/>
        </w:rPr>
        <w:t>Records of each complaint that includes the date of receipt of the complaint; the name of the client making the complaint; documentation of the cause of the complaint;</w:t>
      </w:r>
    </w:p>
    <w:p>
      <w:pPr>
        <w:numPr>
          <w:ilvl w:val="0"/>
          <w:numId w:val="167"/>
        </w:numPr>
        <w:ind w:left="720" w:hanging="192"/>
        <w:jc w:val="left"/>
        <w:rPr>
          <w:rFonts w:eastAsia="Arial" w:cs="Arial"/>
          <w:sz w:val="20"/>
          <w:szCs w:val="20"/>
        </w:rPr>
      </w:pPr>
      <w:r>
        <w:rPr>
          <w:rFonts w:eastAsia="Arial" w:cs="Arial"/>
          <w:sz w:val="20"/>
          <w:szCs w:val="20"/>
        </w:rPr>
        <w:t>Documentation of the cause of the complaint;</w:t>
      </w:r>
    </w:p>
    <w:p>
      <w:pPr>
        <w:numPr>
          <w:ilvl w:val="0"/>
          <w:numId w:val="167"/>
        </w:numPr>
        <w:ind w:left="720" w:hanging="192"/>
        <w:jc w:val="left"/>
        <w:rPr>
          <w:rFonts w:eastAsia="Arial" w:cs="Arial"/>
          <w:sz w:val="20"/>
          <w:szCs w:val="20"/>
        </w:rPr>
      </w:pPr>
      <w:r>
        <w:rPr>
          <w:rFonts w:eastAsia="Arial" w:cs="Arial"/>
          <w:sz w:val="20"/>
          <w:szCs w:val="20"/>
        </w:rPr>
        <w:t>Any and all documents or other records generated in connection with a complaint, including the correspondence containing the complaint, the actions taken in connection with the complaint, and any agreement or action taken to resolve the complaint;</w:t>
      </w:r>
    </w:p>
    <w:p>
      <w:pPr>
        <w:numPr>
          <w:ilvl w:val="0"/>
          <w:numId w:val="167"/>
        </w:numPr>
        <w:ind w:left="720" w:hanging="192"/>
        <w:jc w:val="left"/>
        <w:rPr>
          <w:rFonts w:eastAsia="Arial" w:cs="Arial"/>
          <w:sz w:val="20"/>
          <w:szCs w:val="20"/>
        </w:rPr>
      </w:pPr>
      <w:r>
        <w:rPr>
          <w:rFonts w:eastAsia="Arial" w:cs="Arial"/>
          <w:sz w:val="20"/>
          <w:szCs w:val="20"/>
        </w:rPr>
        <w:t>A current list of all clients;</w:t>
      </w:r>
    </w:p>
    <w:p>
      <w:pPr>
        <w:numPr>
          <w:ilvl w:val="0"/>
          <w:numId w:val="167"/>
        </w:numPr>
        <w:ind w:left="720" w:hanging="192"/>
        <w:jc w:val="left"/>
        <w:rPr>
          <w:rFonts w:eastAsia="Arial" w:cs="Arial"/>
          <w:sz w:val="20"/>
          <w:szCs w:val="20"/>
        </w:rPr>
      </w:pPr>
      <w:r>
        <w:rPr>
          <w:rFonts w:eastAsia="Arial" w:cs="Arial"/>
          <w:sz w:val="20"/>
          <w:szCs w:val="20"/>
        </w:rPr>
        <w:t>A list of clients who terminate their advisory relationship with KCD; and</w:t>
      </w:r>
    </w:p>
    <w:p>
      <w:pPr>
        <w:numPr>
          <w:ilvl w:val="0"/>
          <w:numId w:val="167"/>
        </w:numPr>
        <w:spacing w:after="200"/>
        <w:ind w:left="720" w:hanging="192"/>
        <w:jc w:val="left"/>
        <w:rPr>
          <w:rFonts w:eastAsia="Arial" w:cs="Arial"/>
          <w:sz w:val="20"/>
          <w:szCs w:val="20"/>
        </w:rPr>
      </w:pPr>
      <w:r>
        <w:rPr>
          <w:rFonts w:eastAsia="Arial" w:cs="Arial"/>
          <w:sz w:val="20"/>
          <w:szCs w:val="20"/>
        </w:rPr>
        <w:t>Letters, e-mails and other correspondence or communications sent by clients to KCD.</w:t>
      </w:r>
    </w:p>
    <w:p>
      <w:pPr>
        <w:pStyle w:val="normal0"/>
        <w:spacing w:before="200" w:after="200"/>
        <w:rPr>
          <w:rFonts w:eastAsia="Arial" w:cs="Arial"/>
          <w:sz w:val="20"/>
          <w:szCs w:val="20"/>
        </w:rPr>
      </w:pPr>
      <w:r>
        <w:rPr>
          <w:rFonts w:eastAsia="Arial" w:cs="Arial"/>
          <w:sz w:val="20"/>
          <w:szCs w:val="20"/>
        </w:rPr>
        <w:t>KCD shall maintain a record of the dates that the Brochure and each Brochure Supplement and each amendment or revision thereof, was given to any client or prospective client who subsequently becomes a client (Rule 204-2(a)(14)).</w:t>
      </w:r>
    </w:p>
    <w:p>
      <w:pPr>
        <w:pStyle w:val="normal0"/>
        <w:spacing w:before="200" w:after="200"/>
        <w:rPr>
          <w:rFonts w:eastAsia="Arial" w:cs="Arial"/>
          <w:sz w:val="20"/>
          <w:szCs w:val="20"/>
        </w:rPr>
      </w:pPr>
      <w:r>
        <w:rPr>
          <w:rFonts w:eastAsia="Arial" w:cs="Arial"/>
          <w:sz w:val="20"/>
          <w:szCs w:val="20"/>
        </w:rPr>
        <w:t>With respect to senior clients, KCD shall maintain and provide access to or copies of records that are relevant to the suspected or attempted financial exploitation of a senior client to agencies charged with administering state adult protective services laws and to law enforcement, either as part of a referral to the agency or to law enforcement, or upon request of the agency or law enforcement pursuant to an investigation. The records may include:</w:t>
      </w:r>
    </w:p>
    <w:p>
      <w:pPr>
        <w:numPr>
          <w:ilvl w:val="0"/>
          <w:numId w:val="168"/>
        </w:numPr>
        <w:spacing w:before="200"/>
        <w:ind w:left="720" w:hanging="192"/>
        <w:jc w:val="left"/>
        <w:rPr>
          <w:rFonts w:eastAsia="Arial" w:cs="Arial"/>
          <w:sz w:val="20"/>
          <w:szCs w:val="20"/>
        </w:rPr>
      </w:pPr>
      <w:r>
        <w:rPr>
          <w:rFonts w:eastAsia="Arial" w:cs="Arial"/>
          <w:sz w:val="20"/>
          <w:szCs w:val="20"/>
        </w:rPr>
        <w:t>historical records; and</w:t>
      </w:r>
    </w:p>
    <w:p>
      <w:pPr>
        <w:numPr>
          <w:ilvl w:val="0"/>
          <w:numId w:val="168"/>
        </w:numPr>
        <w:spacing w:after="200"/>
        <w:ind w:left="720" w:hanging="192"/>
        <w:jc w:val="left"/>
        <w:rPr>
          <w:rFonts w:eastAsia="Arial" w:cs="Arial"/>
          <w:sz w:val="20"/>
          <w:szCs w:val="20"/>
        </w:rPr>
      </w:pPr>
      <w:r>
        <w:rPr>
          <w:rFonts w:eastAsia="Arial" w:cs="Arial"/>
          <w:sz w:val="20"/>
          <w:szCs w:val="20"/>
        </w:rPr>
        <w:t>records relating to the most recent transaction or transactions that may comprise financial exploitation of the senior client.</w:t>
      </w:r>
    </w:p>
    <w:p>
      <w:pPr>
        <w:pStyle w:val="normal0"/>
        <w:spacing w:before="200" w:after="200"/>
        <w:rPr>
          <w:rFonts w:eastAsia="Arial" w:cs="Arial"/>
          <w:sz w:val="20"/>
          <w:szCs w:val="20"/>
        </w:rPr>
      </w:pPr>
      <w:r>
        <w:rPr>
          <w:rFonts w:eastAsia="Arial" w:cs="Arial"/>
          <w:sz w:val="20"/>
          <w:szCs w:val="20"/>
        </w:rPr>
        <w:t>In connection with any incident related to client information, KCD will prepare and maintain:</w:t>
      </w:r>
    </w:p>
    <w:p>
      <w:pPr>
        <w:numPr>
          <w:ilvl w:val="0"/>
          <w:numId w:val="169"/>
        </w:numPr>
        <w:spacing w:before="200"/>
        <w:ind w:left="720" w:hanging="192"/>
        <w:jc w:val="left"/>
        <w:rPr>
          <w:rFonts w:eastAsia="Arial" w:cs="Arial"/>
          <w:sz w:val="20"/>
          <w:szCs w:val="20"/>
        </w:rPr>
      </w:pPr>
      <w:r>
        <w:rPr>
          <w:rFonts w:eastAsia="Arial" w:cs="Arial"/>
          <w:sz w:val="20"/>
          <w:szCs w:val="20"/>
        </w:rPr>
        <w:t>written documentation of any detected unauthorized access to or use of client information, as well as any response to, and recovery from such unauthorized access to or use of client information;</w:t>
      </w:r>
    </w:p>
    <w:p>
      <w:pPr>
        <w:numPr>
          <w:ilvl w:val="0"/>
          <w:numId w:val="169"/>
        </w:numPr>
        <w:ind w:left="720" w:hanging="192"/>
        <w:jc w:val="left"/>
        <w:rPr>
          <w:rFonts w:eastAsia="Arial" w:cs="Arial"/>
          <w:sz w:val="20"/>
          <w:szCs w:val="20"/>
        </w:rPr>
      </w:pPr>
      <w:r>
        <w:rPr>
          <w:rFonts w:eastAsia="Arial" w:cs="Arial"/>
          <w:sz w:val="20"/>
          <w:szCs w:val="20"/>
        </w:rPr>
        <w:t>written documentation of any investigation and determination made regarding whether notification is required by these procedures and Regulation S-P, including the basis for any determination made, any written documentation from the U.S. Attorney General related to a delay in notice, as well as a copy of any notice transmitted following such determination; and</w:t>
      </w:r>
    </w:p>
    <w:p>
      <w:pPr>
        <w:numPr>
          <w:ilvl w:val="0"/>
          <w:numId w:val="169"/>
        </w:numPr>
        <w:spacing w:after="200"/>
        <w:ind w:left="720" w:hanging="192"/>
        <w:jc w:val="left"/>
        <w:rPr>
          <w:rFonts w:eastAsia="Arial" w:cs="Arial"/>
          <w:sz w:val="20"/>
          <w:szCs w:val="20"/>
        </w:rPr>
      </w:pPr>
      <w:r>
        <w:rPr>
          <w:rFonts w:eastAsia="Arial" w:cs="Arial"/>
          <w:sz w:val="20"/>
          <w:szCs w:val="20"/>
        </w:rPr>
        <w:t>records documenting, among other things: (i) KCD's assessments of the nature and scope of any incidents involving unauthorized access to or use of client information; (ii) steps taken to contain and control such incidents; and (iii) KCD's notifications to affected clients, or, where applicable, any determination that notification is not required after a reasonable investigation of the incident.</w:t>
      </w:r>
    </w:p>
    <w:p>
      <w:pPr>
        <w:pStyle w:val="normal0"/>
        <w:spacing w:before="200" w:after="200"/>
        <w:rPr>
          <w:rFonts w:eastAsia="Arial" w:cs="Arial"/>
          <w:sz w:val="20"/>
          <w:szCs w:val="20"/>
        </w:rPr>
      </w:pPr>
      <w:r>
        <w:rPr>
          <w:rFonts w:eastAsia="Arial" w:cs="Arial"/>
          <w:sz w:val="20"/>
          <w:szCs w:val="20"/>
        </w:rPr>
        <w:t>KCD shall also maintain records:</w:t>
      </w:r>
    </w:p>
    <w:p>
      <w:pPr>
        <w:numPr>
          <w:ilvl w:val="0"/>
          <w:numId w:val="170"/>
        </w:numPr>
        <w:spacing w:before="200"/>
        <w:ind w:left="720" w:hanging="192"/>
        <w:jc w:val="left"/>
        <w:rPr>
          <w:rFonts w:eastAsia="Arial" w:cs="Arial"/>
          <w:sz w:val="20"/>
          <w:szCs w:val="20"/>
        </w:rPr>
      </w:pPr>
      <w:r>
        <w:rPr>
          <w:rFonts w:eastAsia="Arial" w:cs="Arial"/>
          <w:sz w:val="20"/>
          <w:szCs w:val="20"/>
        </w:rPr>
        <w:t>associated with its service provider notification requirements set forth herein; and</w:t>
      </w:r>
    </w:p>
    <w:p>
      <w:pPr>
        <w:numPr>
          <w:ilvl w:val="0"/>
          <w:numId w:val="170"/>
        </w:numPr>
        <w:spacing w:after="200"/>
        <w:ind w:left="720" w:hanging="192"/>
        <w:jc w:val="left"/>
        <w:rPr>
          <w:rFonts w:eastAsia="Arial" w:cs="Arial"/>
          <w:sz w:val="20"/>
          <w:szCs w:val="20"/>
        </w:rPr>
      </w:pPr>
      <w:r>
        <w:rPr>
          <w:rFonts w:eastAsia="Arial" w:cs="Arial"/>
          <w:sz w:val="20"/>
          <w:szCs w:val="20"/>
        </w:rPr>
        <w:t>of written contracts and agreements between KCD and its service providers.</w:t>
      </w:r>
    </w:p>
    <w:p>
      <w:pPr>
        <w:rPr>
          <w:rFonts w:ascii="Times New Roman" w:eastAsia="Times New Roman" w:hAnsi="Times New Roman" w:cs="Times New Roman"/>
          <w:sz w:val="24"/>
        </w:rPr>
      </w:pPr>
      <w:bookmarkEnd w:id="160"/>
    </w:p>
    <w:p>
      <w:r>
        <w:rPr>
          <w:rFonts w:ascii="Times New Roman" w:eastAsia="Times New Roman" w:hAnsi="Times New Roman" w:cs="Times New Roman"/>
          <w:sz w:val="24"/>
        </w:rPr>
        <w:br w:type="page"/>
      </w:r>
    </w:p>
    <w:p>
      <w:pPr>
        <w:pStyle w:val="Heading1"/>
      </w:pPr>
      <w:bookmarkStart w:id="162" w:name="_Toc256000050"/>
      <w:r>
        <w:t>4 ADVISORY CONTRACT &amp; FEES</w:t>
      </w:r>
      <w:bookmarkEnd w:id="162"/>
    </w:p>
    <w:p>
      <w:bookmarkStart w:id="163" w:name="Sec_Chp_061016102249093_061016102249140"/>
    </w:p>
    <w:p>
      <w:pPr>
        <w:pStyle w:val="Heading2"/>
      </w:pPr>
      <w:bookmarkStart w:id="164" w:name="_Toc256000051"/>
      <w:r>
        <w:t>Introduction</w:t>
      </w:r>
      <w:bookmarkEnd w:id="164"/>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investment advisory contract governs the relationship between the adviser and its client, including the fee that the client pays the adviser for its services. The SEC has stated that its examiners often look to see if an investment adviser is complying with its own representations and the expectations of its clients as set forth in the advisory contract. It has cited advisers for failing to fulfill contractual obligations.</w:t>
      </w:r>
    </w:p>
    <w:p>
      <w:pPr>
        <w:pStyle w:val="normal0"/>
        <w:spacing w:before="200" w:after="200"/>
        <w:rPr>
          <w:rFonts w:eastAsia="Arial" w:cs="Arial"/>
          <w:sz w:val="20"/>
          <w:szCs w:val="20"/>
        </w:rPr>
      </w:pPr>
      <w:r>
        <w:rPr>
          <w:rFonts w:eastAsia="Arial" w:cs="Arial"/>
          <w:sz w:val="20"/>
          <w:szCs w:val="20"/>
        </w:rPr>
        <w:t>A client also may sue an investment adviser by bringing a breach of contract claim or the dispute may be settled in an arbitration proceeding. In any such action, the terms of the investment advisory contract will be critical to the ultimate outcome of the suit or action.</w:t>
      </w:r>
    </w:p>
    <w:p>
      <w:pPr>
        <w:pStyle w:val="normal0"/>
        <w:spacing w:before="200" w:after="200"/>
        <w:rPr>
          <w:rFonts w:eastAsia="Arial" w:cs="Arial"/>
          <w:sz w:val="20"/>
          <w:szCs w:val="20"/>
        </w:rPr>
      </w:pPr>
      <w:r>
        <w:rPr>
          <w:rFonts w:eastAsia="Arial" w:cs="Arial"/>
          <w:sz w:val="20"/>
          <w:szCs w:val="20"/>
        </w:rPr>
        <w:t>The Investment Advisers Act of 1940 expressly regulates only one kind of fee -- the performance fee. A performance fee is a fee charged by an adviser based upon the capital gain or appreciation of a client's account. A fee based upon the client's assets under management is not deemed to be a performance fee. Performance fees are generally permissible only for accounts of high net worth clients or clients who have a significant amount of assets under the management of the adviser. Other types of fees such as a flat fee, asset-based fee or hourly fee need only be reasonable, fair and fully disclosed to clients.</w:t>
      </w:r>
    </w:p>
    <w:p>
      <w:pPr>
        <w:pStyle w:val="normal0"/>
        <w:spacing w:before="200" w:after="200"/>
        <w:rPr>
          <w:rFonts w:eastAsia="Arial" w:cs="Arial"/>
          <w:sz w:val="20"/>
          <w:szCs w:val="20"/>
        </w:rPr>
      </w:pPr>
      <w:r>
        <w:rPr>
          <w:rFonts w:eastAsia="Arial" w:cs="Arial"/>
          <w:sz w:val="20"/>
          <w:szCs w:val="20"/>
        </w:rPr>
        <w:t xml:space="preserve">It is important at the outset that KCD and each new client establish clearly in the investment advisory contract which party has the discretion to place securities orders for the client. Generally, an investment adviser is considered to exercise investment discretion over a client's account if it can effect transactions for the client without first having to seek the client's permission. </w:t>
      </w:r>
    </w:p>
    <w:p>
      <w:bookmarkEnd w:id="163"/>
      <w:bookmarkStart w:id="165" w:name="Sec_Chp_061016102249093_061016102249156"/>
    </w:p>
    <w:p>
      <w:pPr>
        <w:pStyle w:val="Heading2"/>
      </w:pPr>
      <w:bookmarkStart w:id="166" w:name="_Toc256000052"/>
      <w:r>
        <w:t>4.1 Compliance Reference Chart</w:t>
      </w:r>
      <w:bookmarkEnd w:id="166"/>
    </w:p>
    <w:p/>
    <w:p>
      <w:pPr>
        <w:rPr>
          <w:rFonts w:eastAsia="Arial" w:cs="Arial"/>
          <w:sz w:val="16"/>
          <w:szCs w:val="16"/>
        </w:rPr>
      </w:pPr>
      <w:r>
        <w:rPr>
          <w:rFonts w:eastAsia="Arial" w:cs="Arial"/>
          <w:sz w:val="16"/>
          <w:szCs w:val="16"/>
        </w:rPr>
        <w:t>[Investment Advisers Act of 1940 Rule 204-2; Investment Advisers Act of 1940 Section 205(a)(2) and 206]</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17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17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173"/>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KCD obtains a new client</w:t>
            </w:r>
          </w:p>
          <w:p>
            <w:pPr>
              <w:numPr>
                <w:ilvl w:val="0"/>
                <w:numId w:val="17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KCD bills its clients for advisory services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 xml:space="preserve">Statute/Rule </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17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204-2 and Sections 205(a)(2) and 206 of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17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Originally Executed Advisory Contract</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17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Advisory Contract &amp; Fees Procedures quarterly.</w:t>
            </w:r>
          </w:p>
        </w:tc>
      </w:tr>
    </w:tbl>
    <w:p>
      <w:bookmarkEnd w:id="165"/>
      <w:bookmarkStart w:id="167" w:name="Sec_Chp_061016102249093_061016102249203"/>
    </w:p>
    <w:p>
      <w:pPr>
        <w:pStyle w:val="Heading2"/>
      </w:pPr>
      <w:bookmarkStart w:id="168" w:name="_Toc256000053"/>
      <w:r>
        <w:t>4.2 Policy</w:t>
      </w:r>
      <w:bookmarkEnd w:id="168"/>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enter into a written investment advisory contract with each client.</w:t>
      </w:r>
    </w:p>
    <w:p>
      <w:bookmarkEnd w:id="167"/>
      <w:bookmarkStart w:id="169" w:name="Sec_Chp_061016102249093_061016102249218"/>
    </w:p>
    <w:p>
      <w:pPr>
        <w:pStyle w:val="Heading2"/>
      </w:pPr>
      <w:bookmarkStart w:id="170" w:name="_Toc256000054"/>
      <w:r>
        <w:t>4.3 Procedures</w:t>
      </w:r>
      <w:bookmarkEnd w:id="170"/>
    </w:p>
    <w:p/>
    <w:p>
      <w:pPr>
        <w:rPr>
          <w:rFonts w:eastAsia="Arial" w:cs="Arial"/>
          <w:sz w:val="16"/>
          <w:szCs w:val="16"/>
        </w:rPr>
      </w:pPr>
    </w:p>
    <w:p>
      <w:bookmarkEnd w:id="169"/>
      <w:bookmarkStart w:id="171" w:name="Sec_Chp_061016102249093_061016102249234"/>
    </w:p>
    <w:p>
      <w:pPr>
        <w:pStyle w:val="Heading3"/>
      </w:pPr>
      <w:bookmarkStart w:id="172" w:name="_Toc256000055"/>
      <w:r>
        <w:t>4.3.1 Investment Advisory Contract Provisions</w:t>
      </w:r>
      <w:bookmarkEnd w:id="172"/>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enter into a written investment advisory contract with each of its clients for whom KCD acts as an investment adviser or manages any investment or trading account. KCD generally will use its standard form of Investment Advisory Contract.</w:t>
      </w:r>
    </w:p>
    <w:p>
      <w:bookmarkEnd w:id="171"/>
      <w:bookmarkStart w:id="173" w:name="Sec_Chp_061016102249093_061016102249281"/>
    </w:p>
    <w:p>
      <w:pPr>
        <w:pStyle w:val="Heading4"/>
      </w:pPr>
      <w:r>
        <w:t>4.3.1.1 Assignments</w:t>
      </w:r>
    </w:p>
    <w:p/>
    <w:p>
      <w:pPr>
        <w:rPr>
          <w:rFonts w:eastAsia="Arial" w:cs="Arial"/>
          <w:sz w:val="16"/>
          <w:szCs w:val="16"/>
        </w:rPr>
      </w:pPr>
      <w:r>
        <w:rPr>
          <w:rFonts w:eastAsia="Arial" w:cs="Arial"/>
          <w:sz w:val="16"/>
          <w:szCs w:val="16"/>
        </w:rPr>
        <w:t>[Investment Advisers Act of 1940 Section 205(a)(2)]</w:t>
      </w:r>
    </w:p>
    <w:p/>
    <w:p>
      <w:pPr>
        <w:pStyle w:val="normal0"/>
        <w:spacing w:after="200"/>
        <w:rPr>
          <w:rFonts w:eastAsia="Arial" w:cs="Arial"/>
          <w:sz w:val="20"/>
          <w:szCs w:val="20"/>
        </w:rPr>
      </w:pPr>
      <w:r>
        <w:rPr>
          <w:rFonts w:eastAsia="Arial" w:cs="Arial"/>
          <w:sz w:val="20"/>
          <w:szCs w:val="20"/>
        </w:rPr>
        <w:t>Pursuant to Section 205(a)(2) of the Investment Advisers Act of 1940, the Investment Advisory Contract between KCD and each client will contain a provision prohibiting the assignment of the contract without the consent of the client.</w:t>
      </w:r>
    </w:p>
    <w:p>
      <w:bookmarkEnd w:id="173"/>
      <w:bookmarkStart w:id="174" w:name="Sec_Chp_061016102249093_061016102249296"/>
    </w:p>
    <w:p>
      <w:pPr>
        <w:pStyle w:val="Heading4"/>
      </w:pPr>
      <w:r>
        <w:t>4.3.1.2 Conflicts of Interest, Brokerage and Other Practices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KCD's Investment Advisory Contract will contain provisions describing its brokerage practices and other areas that may present a conflict of interest between KCD and a client. Such disclosures, when applicable, shall describe:</w:t>
      </w:r>
    </w:p>
    <w:p>
      <w:pPr>
        <w:numPr>
          <w:ilvl w:val="0"/>
          <w:numId w:val="177"/>
        </w:numPr>
        <w:spacing w:before="200"/>
        <w:ind w:left="720" w:hanging="192"/>
        <w:jc w:val="left"/>
        <w:rPr>
          <w:rFonts w:eastAsia="Arial" w:cs="Arial"/>
          <w:sz w:val="20"/>
          <w:szCs w:val="20"/>
        </w:rPr>
      </w:pPr>
      <w:r>
        <w:rPr>
          <w:rFonts w:eastAsia="Arial" w:cs="Arial"/>
          <w:sz w:val="20"/>
          <w:szCs w:val="20"/>
        </w:rPr>
        <w:t>brokerage practices</w:t>
      </w:r>
    </w:p>
    <w:p>
      <w:pPr>
        <w:numPr>
          <w:ilvl w:val="0"/>
          <w:numId w:val="177"/>
        </w:numPr>
        <w:ind w:left="720" w:hanging="192"/>
        <w:jc w:val="left"/>
        <w:rPr>
          <w:rFonts w:eastAsia="Arial" w:cs="Arial"/>
          <w:sz w:val="20"/>
          <w:szCs w:val="20"/>
        </w:rPr>
      </w:pPr>
      <w:r>
        <w:rPr>
          <w:rFonts w:eastAsia="Arial" w:cs="Arial"/>
          <w:sz w:val="20"/>
          <w:szCs w:val="20"/>
        </w:rPr>
        <w:t>use of soft dollars</w:t>
      </w:r>
    </w:p>
    <w:p>
      <w:pPr>
        <w:numPr>
          <w:ilvl w:val="0"/>
          <w:numId w:val="177"/>
        </w:numPr>
        <w:ind w:left="720" w:hanging="192"/>
        <w:jc w:val="left"/>
        <w:rPr>
          <w:rFonts w:eastAsia="Arial" w:cs="Arial"/>
          <w:sz w:val="20"/>
          <w:szCs w:val="20"/>
        </w:rPr>
      </w:pPr>
      <w:r>
        <w:rPr>
          <w:rFonts w:eastAsia="Arial" w:cs="Arial"/>
          <w:sz w:val="20"/>
          <w:szCs w:val="20"/>
        </w:rPr>
        <w:t>agency cross trades</w:t>
      </w:r>
    </w:p>
    <w:p>
      <w:pPr>
        <w:numPr>
          <w:ilvl w:val="0"/>
          <w:numId w:val="177"/>
        </w:numPr>
        <w:ind w:left="720" w:hanging="192"/>
        <w:jc w:val="left"/>
        <w:rPr>
          <w:rFonts w:eastAsia="Arial" w:cs="Arial"/>
          <w:sz w:val="20"/>
          <w:szCs w:val="20"/>
        </w:rPr>
      </w:pPr>
      <w:r>
        <w:rPr>
          <w:rFonts w:eastAsia="Arial" w:cs="Arial"/>
          <w:sz w:val="20"/>
          <w:szCs w:val="20"/>
        </w:rPr>
        <w:t>directed brokerage arrangements</w:t>
      </w:r>
    </w:p>
    <w:p>
      <w:pPr>
        <w:numPr>
          <w:ilvl w:val="0"/>
          <w:numId w:val="177"/>
        </w:numPr>
        <w:ind w:left="720" w:hanging="192"/>
        <w:jc w:val="left"/>
        <w:rPr>
          <w:rFonts w:eastAsia="Arial" w:cs="Arial"/>
          <w:sz w:val="20"/>
          <w:szCs w:val="20"/>
        </w:rPr>
      </w:pPr>
      <w:r>
        <w:rPr>
          <w:rFonts w:eastAsia="Arial" w:cs="Arial"/>
          <w:sz w:val="20"/>
          <w:szCs w:val="20"/>
        </w:rPr>
        <w:t>aggregation (bunching) of trades</w:t>
      </w:r>
    </w:p>
    <w:p>
      <w:pPr>
        <w:numPr>
          <w:ilvl w:val="0"/>
          <w:numId w:val="177"/>
        </w:numPr>
        <w:spacing w:after="200"/>
        <w:ind w:left="720" w:hanging="192"/>
        <w:jc w:val="left"/>
        <w:rPr>
          <w:rFonts w:eastAsia="Arial" w:cs="Arial"/>
          <w:sz w:val="20"/>
          <w:szCs w:val="20"/>
        </w:rPr>
      </w:pPr>
      <w:r>
        <w:rPr>
          <w:rFonts w:eastAsia="Arial" w:cs="Arial"/>
          <w:sz w:val="20"/>
          <w:szCs w:val="20"/>
        </w:rPr>
        <w:t>allocation of trades</w:t>
      </w:r>
    </w:p>
    <w:p>
      <w:pPr>
        <w:pStyle w:val="normal0"/>
        <w:spacing w:before="200" w:after="200"/>
        <w:rPr>
          <w:rFonts w:eastAsia="Arial" w:cs="Arial"/>
          <w:sz w:val="20"/>
          <w:szCs w:val="20"/>
        </w:rPr>
      </w:pPr>
      <w:r>
        <w:rPr>
          <w:rFonts w:eastAsia="Arial" w:cs="Arial"/>
          <w:sz w:val="20"/>
          <w:szCs w:val="20"/>
        </w:rPr>
        <w:t>If an employee of KCD is also a registered representative of a broker-dealer or KCD is a broker-dealer, KCD shall include a clause in its advisory contract stating whether the advisory services it provides is within or outside the scope of the brokerage services it provides. In addition, the contract will address whether KCD may execute trades through such broker-dealer.</w:t>
      </w:r>
    </w:p>
    <w:p>
      <w:bookmarkEnd w:id="174"/>
      <w:bookmarkStart w:id="175" w:name="Sec_Chp_061016102249093_061016102249312"/>
    </w:p>
    <w:p>
      <w:pPr>
        <w:pStyle w:val="Heading4"/>
      </w:pPr>
      <w:r>
        <w:t>4.3.1.3 Custody</w:t>
      </w:r>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Each KCD Investment Advisory Contract will describe the custodian arrangements of client assets, including where client assets will be maintained (the adviser, bank, broker-dealer or other financial institution).</w:t>
      </w:r>
    </w:p>
    <w:p>
      <w:pPr>
        <w:pStyle w:val="normal0"/>
        <w:spacing w:before="200" w:after="200"/>
        <w:rPr>
          <w:rFonts w:eastAsia="Arial" w:cs="Arial"/>
          <w:sz w:val="20"/>
          <w:szCs w:val="20"/>
        </w:rPr>
      </w:pPr>
      <w:r>
        <w:rPr>
          <w:rFonts w:eastAsia="Arial" w:cs="Arial"/>
          <w:sz w:val="20"/>
          <w:szCs w:val="20"/>
        </w:rPr>
        <w:t>Unless it is KCD's intention to have "custody" over client assets for purposes of the SEC's custody rule (Rule 206(4)-2 under the Investment Advisers Act of 1940 and addressed in the "Custody" chapter in this Compliance Manual), each KCD Investment Advisory Contract will not:</w:t>
      </w:r>
    </w:p>
    <w:p>
      <w:pPr>
        <w:numPr>
          <w:ilvl w:val="0"/>
          <w:numId w:val="178"/>
        </w:numPr>
        <w:spacing w:before="200"/>
        <w:ind w:left="720" w:hanging="192"/>
        <w:jc w:val="left"/>
        <w:rPr>
          <w:rFonts w:eastAsia="Arial" w:cs="Arial"/>
          <w:sz w:val="20"/>
          <w:szCs w:val="20"/>
        </w:rPr>
      </w:pPr>
      <w:r>
        <w:rPr>
          <w:rFonts w:eastAsia="Arial" w:cs="Arial"/>
          <w:sz w:val="20"/>
          <w:szCs w:val="20"/>
        </w:rPr>
        <w:t>contain a provision granting it discretionary authority from any client to withdraw cash or wire transfer money order payments to KCD or third parties;</w:t>
      </w:r>
    </w:p>
    <w:p>
      <w:pPr>
        <w:numPr>
          <w:ilvl w:val="0"/>
          <w:numId w:val="178"/>
        </w:numPr>
        <w:ind w:left="720" w:hanging="192"/>
        <w:jc w:val="left"/>
        <w:rPr>
          <w:rFonts w:eastAsia="Arial" w:cs="Arial"/>
          <w:sz w:val="20"/>
          <w:szCs w:val="20"/>
        </w:rPr>
      </w:pPr>
      <w:r>
        <w:rPr>
          <w:rFonts w:eastAsia="Arial" w:cs="Arial"/>
          <w:sz w:val="20"/>
          <w:szCs w:val="20"/>
        </w:rPr>
        <w:t>grant KCD the authority to pay or receive funds of any client except in connection with securities transactions; and</w:t>
      </w:r>
    </w:p>
    <w:p>
      <w:pPr>
        <w:numPr>
          <w:ilvl w:val="0"/>
          <w:numId w:val="178"/>
        </w:numPr>
        <w:spacing w:after="200"/>
        <w:ind w:left="720" w:hanging="192"/>
        <w:jc w:val="left"/>
        <w:rPr>
          <w:rFonts w:eastAsia="Arial" w:cs="Arial"/>
          <w:sz w:val="20"/>
          <w:szCs w:val="20"/>
        </w:rPr>
      </w:pPr>
      <w:r>
        <w:rPr>
          <w:rFonts w:eastAsia="Arial" w:cs="Arial"/>
          <w:sz w:val="20"/>
          <w:szCs w:val="20"/>
        </w:rPr>
        <w:t>grant KCD a power of attorney or other right that would cause KCD to have access to, or the right to convey, assets of any client, except in connection with securities transactions.</w:t>
      </w:r>
    </w:p>
    <w:p>
      <w:bookmarkEnd w:id="175"/>
      <w:bookmarkStart w:id="176" w:name="Sec_Chp_061016102249093_061016102249328"/>
    </w:p>
    <w:p>
      <w:pPr>
        <w:pStyle w:val="Heading4"/>
      </w:pPr>
      <w:r>
        <w:t>4.3.1.4 Discretionary Authority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discretionary account allows the adviser, at its discretion, to decide:</w:t>
      </w:r>
    </w:p>
    <w:p>
      <w:pPr>
        <w:numPr>
          <w:ilvl w:val="0"/>
          <w:numId w:val="179"/>
        </w:numPr>
        <w:spacing w:before="200"/>
        <w:ind w:left="720" w:hanging="192"/>
        <w:jc w:val="left"/>
        <w:rPr>
          <w:rFonts w:eastAsia="Arial" w:cs="Arial"/>
          <w:sz w:val="20"/>
          <w:szCs w:val="20"/>
        </w:rPr>
      </w:pPr>
      <w:r>
        <w:rPr>
          <w:rFonts w:eastAsia="Arial" w:cs="Arial"/>
          <w:sz w:val="20"/>
          <w:szCs w:val="20"/>
        </w:rPr>
        <w:t xml:space="preserve">when to buy and sell securities for the client; </w:t>
      </w:r>
    </w:p>
    <w:p>
      <w:pPr>
        <w:numPr>
          <w:ilvl w:val="0"/>
          <w:numId w:val="179"/>
        </w:numPr>
        <w:ind w:left="720" w:hanging="192"/>
        <w:jc w:val="left"/>
        <w:rPr>
          <w:rFonts w:eastAsia="Arial" w:cs="Arial"/>
          <w:sz w:val="20"/>
          <w:szCs w:val="20"/>
        </w:rPr>
      </w:pPr>
      <w:r>
        <w:rPr>
          <w:rFonts w:eastAsia="Arial" w:cs="Arial"/>
          <w:sz w:val="20"/>
          <w:szCs w:val="20"/>
        </w:rPr>
        <w:t>what securities to buy and sell for the client; and</w:t>
      </w:r>
    </w:p>
    <w:p>
      <w:pPr>
        <w:numPr>
          <w:ilvl w:val="0"/>
          <w:numId w:val="179"/>
        </w:numPr>
        <w:spacing w:after="200"/>
        <w:ind w:left="720" w:hanging="192"/>
        <w:jc w:val="left"/>
        <w:rPr>
          <w:rFonts w:eastAsia="Arial" w:cs="Arial"/>
          <w:sz w:val="20"/>
          <w:szCs w:val="20"/>
        </w:rPr>
      </w:pPr>
      <w:r>
        <w:rPr>
          <w:rFonts w:eastAsia="Arial" w:cs="Arial"/>
          <w:sz w:val="20"/>
          <w:szCs w:val="20"/>
        </w:rPr>
        <w:t>the price to pay or receive for securities bought and sold for the client.</w:t>
      </w:r>
    </w:p>
    <w:p>
      <w:pPr>
        <w:pStyle w:val="normal0"/>
        <w:spacing w:before="200" w:after="200"/>
        <w:rPr>
          <w:rFonts w:eastAsia="Arial" w:cs="Arial"/>
          <w:sz w:val="20"/>
          <w:szCs w:val="20"/>
        </w:rPr>
      </w:pPr>
      <w:r>
        <w:rPr>
          <w:rFonts w:eastAsia="Arial" w:cs="Arial"/>
          <w:sz w:val="20"/>
          <w:szCs w:val="20"/>
        </w:rPr>
        <w:t>There are two general types of discretionary authority:</w:t>
      </w:r>
    </w:p>
    <w:p>
      <w:pPr>
        <w:numPr>
          <w:ilvl w:val="0"/>
          <w:numId w:val="180"/>
        </w:numPr>
        <w:spacing w:before="200"/>
        <w:ind w:left="720" w:hanging="192"/>
        <w:jc w:val="left"/>
        <w:rPr>
          <w:rFonts w:eastAsia="Arial" w:cs="Arial"/>
          <w:sz w:val="20"/>
          <w:szCs w:val="20"/>
        </w:rPr>
      </w:pPr>
      <w:r>
        <w:rPr>
          <w:rFonts w:eastAsia="Arial" w:cs="Arial"/>
          <w:i/>
          <w:iCs/>
          <w:sz w:val="20"/>
          <w:szCs w:val="20"/>
        </w:rPr>
        <w:t>Full Trading Authority:</w:t>
      </w:r>
      <w:r>
        <w:rPr>
          <w:rFonts w:eastAsia="Arial" w:cs="Arial"/>
          <w:sz w:val="20"/>
          <w:szCs w:val="20"/>
        </w:rPr>
        <w:t>KCD, including the applicable Adviser Representative, has full power to make purchase and sale transactions on behalf of the client; and</w:t>
      </w:r>
    </w:p>
    <w:p>
      <w:pPr>
        <w:numPr>
          <w:ilvl w:val="0"/>
          <w:numId w:val="180"/>
        </w:numPr>
        <w:spacing w:after="200"/>
        <w:ind w:left="720" w:hanging="192"/>
        <w:jc w:val="left"/>
        <w:rPr>
          <w:rFonts w:eastAsia="Arial" w:cs="Arial"/>
          <w:sz w:val="20"/>
          <w:szCs w:val="20"/>
        </w:rPr>
      </w:pPr>
      <w:r>
        <w:rPr>
          <w:rFonts w:eastAsia="Arial" w:cs="Arial"/>
          <w:i/>
          <w:iCs/>
          <w:sz w:val="20"/>
          <w:szCs w:val="20"/>
        </w:rPr>
        <w:t>Limited Trading Authority:</w:t>
      </w:r>
      <w:r>
        <w:rPr>
          <w:rFonts w:eastAsia="Arial" w:cs="Arial"/>
          <w:sz w:val="20"/>
          <w:szCs w:val="20"/>
        </w:rPr>
        <w:t>KCD, including the applicable Adviser Representative, may purchase and sell securities on behalf of a client only in the manner specified in the Trading Authorization Form.</w:t>
      </w:r>
    </w:p>
    <w:p>
      <w:pPr>
        <w:pStyle w:val="normal0"/>
        <w:spacing w:before="200" w:after="200"/>
        <w:rPr>
          <w:rFonts w:eastAsia="Arial" w:cs="Arial"/>
          <w:sz w:val="20"/>
          <w:szCs w:val="20"/>
        </w:rPr>
      </w:pPr>
      <w:r>
        <w:rPr>
          <w:rFonts w:eastAsia="Arial" w:cs="Arial"/>
          <w:sz w:val="20"/>
          <w:szCs w:val="20"/>
        </w:rPr>
        <w:t>The Chief Compliance Officer or an Adviser Representative will ask each new client whether he or she desires to grant investment discretionary authority to KCD, and, if so, the Chief Compliance Officer or the Adviser Representatives will verify the following:</w:t>
      </w:r>
    </w:p>
    <w:p>
      <w:pPr>
        <w:numPr>
          <w:ilvl w:val="0"/>
          <w:numId w:val="181"/>
        </w:numPr>
        <w:spacing w:before="200"/>
        <w:ind w:left="720" w:hanging="192"/>
        <w:jc w:val="left"/>
        <w:rPr>
          <w:rFonts w:eastAsia="Arial" w:cs="Arial"/>
          <w:sz w:val="20"/>
          <w:szCs w:val="20"/>
        </w:rPr>
      </w:pPr>
      <w:r>
        <w:rPr>
          <w:rFonts w:eastAsia="Arial" w:cs="Arial"/>
          <w:sz w:val="20"/>
          <w:szCs w:val="20"/>
        </w:rPr>
        <w:t>The client's Investment Advisory Contract contains a provision expressly granting discretionary authority to KCD or has a Power of Attorney attached to the Contract that grants discretionary authority to KCD;</w:t>
      </w:r>
    </w:p>
    <w:p>
      <w:pPr>
        <w:numPr>
          <w:ilvl w:val="0"/>
          <w:numId w:val="181"/>
        </w:numPr>
        <w:ind w:left="720" w:hanging="192"/>
        <w:jc w:val="left"/>
        <w:rPr>
          <w:rFonts w:eastAsia="Arial" w:cs="Arial"/>
          <w:sz w:val="20"/>
          <w:szCs w:val="20"/>
        </w:rPr>
      </w:pPr>
      <w:r>
        <w:rPr>
          <w:rFonts w:eastAsia="Arial" w:cs="Arial"/>
          <w:sz w:val="20"/>
          <w:szCs w:val="20"/>
        </w:rPr>
        <w:t>The new client will be instructed to review the discretionary trading clause or Power of Attorney prior to executing the document(s); and</w:t>
      </w:r>
    </w:p>
    <w:p>
      <w:pPr>
        <w:numPr>
          <w:ilvl w:val="0"/>
          <w:numId w:val="181"/>
        </w:numPr>
        <w:ind w:left="720" w:hanging="192"/>
        <w:jc w:val="left"/>
        <w:rPr>
          <w:rFonts w:eastAsia="Arial" w:cs="Arial"/>
          <w:sz w:val="20"/>
          <w:szCs w:val="20"/>
        </w:rPr>
      </w:pPr>
      <w:r>
        <w:rPr>
          <w:rFonts w:eastAsia="Arial" w:cs="Arial"/>
          <w:sz w:val="20"/>
          <w:szCs w:val="20"/>
        </w:rPr>
        <w:t xml:space="preserve">The discretionary trading clause in the Investment Advisory Contract or the Power of Attorney will indicate either that full trading authority or limited trading authority has been given, and if limited trading authority has been granted, the specific type of limited trading authority, such as the authority to: </w:t>
      </w:r>
    </w:p>
    <w:p>
      <w:pPr>
        <w:numPr>
          <w:ilvl w:val="1"/>
          <w:numId w:val="181"/>
        </w:numPr>
        <w:ind w:left="1440" w:hanging="220"/>
        <w:jc w:val="left"/>
        <w:rPr>
          <w:rFonts w:eastAsia="Arial" w:cs="Arial"/>
          <w:sz w:val="20"/>
          <w:szCs w:val="20"/>
        </w:rPr>
      </w:pPr>
      <w:r>
        <w:rPr>
          <w:rFonts w:eastAsia="Arial" w:cs="Arial"/>
          <w:sz w:val="20"/>
          <w:szCs w:val="20"/>
        </w:rPr>
        <w:t>select the security to be purchased or sold for the account;</w:t>
      </w:r>
    </w:p>
    <w:p>
      <w:pPr>
        <w:numPr>
          <w:ilvl w:val="1"/>
          <w:numId w:val="181"/>
        </w:numPr>
        <w:ind w:left="1440" w:hanging="220"/>
        <w:jc w:val="left"/>
        <w:rPr>
          <w:rFonts w:eastAsia="Arial" w:cs="Arial"/>
          <w:sz w:val="20"/>
          <w:szCs w:val="20"/>
        </w:rPr>
      </w:pPr>
      <w:r>
        <w:rPr>
          <w:rFonts w:eastAsia="Arial" w:cs="Arial"/>
          <w:sz w:val="20"/>
          <w:szCs w:val="20"/>
        </w:rPr>
        <w:t xml:space="preserve">determine the amount of the security to be purchased or sold; </w:t>
      </w:r>
    </w:p>
    <w:p>
      <w:pPr>
        <w:numPr>
          <w:ilvl w:val="1"/>
          <w:numId w:val="181"/>
        </w:numPr>
        <w:ind w:left="1440" w:hanging="220"/>
        <w:jc w:val="left"/>
        <w:rPr>
          <w:rFonts w:eastAsia="Arial" w:cs="Arial"/>
          <w:sz w:val="20"/>
          <w:szCs w:val="20"/>
        </w:rPr>
      </w:pPr>
      <w:r>
        <w:rPr>
          <w:rFonts w:eastAsia="Arial" w:cs="Arial"/>
          <w:sz w:val="20"/>
          <w:szCs w:val="20"/>
        </w:rPr>
        <w:t>select the time of the transaction; and/or</w:t>
      </w:r>
    </w:p>
    <w:p>
      <w:pPr>
        <w:numPr>
          <w:ilvl w:val="1"/>
          <w:numId w:val="181"/>
        </w:numPr>
        <w:spacing w:after="200"/>
        <w:ind w:left="1440" w:hanging="220"/>
        <w:jc w:val="left"/>
        <w:rPr>
          <w:rFonts w:eastAsia="Arial" w:cs="Arial"/>
          <w:sz w:val="20"/>
          <w:szCs w:val="20"/>
        </w:rPr>
      </w:pPr>
      <w:r>
        <w:rPr>
          <w:rFonts w:eastAsia="Arial" w:cs="Arial"/>
          <w:sz w:val="20"/>
          <w:szCs w:val="20"/>
        </w:rPr>
        <w:t>determine the unit price that is to be paid or received.</w:t>
      </w:r>
    </w:p>
    <w:p>
      <w:pPr>
        <w:pStyle w:val="normal0"/>
        <w:spacing w:before="200" w:after="200"/>
        <w:rPr>
          <w:rFonts w:eastAsia="Arial" w:cs="Arial"/>
          <w:sz w:val="20"/>
          <w:szCs w:val="20"/>
        </w:rPr>
      </w:pPr>
      <w:r>
        <w:rPr>
          <w:rFonts w:eastAsia="Arial" w:cs="Arial"/>
          <w:sz w:val="20"/>
          <w:szCs w:val="20"/>
        </w:rPr>
        <w:t>In connection with the Power-of-Attorney, the Chief Compliance Officer or Adviser Representative shall:</w:t>
      </w:r>
    </w:p>
    <w:p>
      <w:pPr>
        <w:numPr>
          <w:ilvl w:val="0"/>
          <w:numId w:val="182"/>
        </w:numPr>
        <w:spacing w:before="200"/>
        <w:ind w:left="720" w:hanging="267"/>
        <w:jc w:val="left"/>
        <w:rPr>
          <w:rFonts w:eastAsia="Arial" w:cs="Arial"/>
          <w:sz w:val="20"/>
          <w:szCs w:val="20"/>
        </w:rPr>
      </w:pPr>
      <w:r>
        <w:rPr>
          <w:rFonts w:eastAsia="Arial" w:cs="Arial"/>
          <w:sz w:val="20"/>
          <w:szCs w:val="20"/>
        </w:rPr>
        <w:t>Verify that the Power-of-Attorney grants KCD the authority to take the desired action;</w:t>
      </w:r>
    </w:p>
    <w:p>
      <w:pPr>
        <w:numPr>
          <w:ilvl w:val="0"/>
          <w:numId w:val="182"/>
        </w:numPr>
        <w:ind w:left="720" w:hanging="267"/>
        <w:jc w:val="left"/>
        <w:rPr>
          <w:rFonts w:eastAsia="Arial" w:cs="Arial"/>
          <w:sz w:val="20"/>
          <w:szCs w:val="20"/>
        </w:rPr>
      </w:pPr>
      <w:r>
        <w:rPr>
          <w:rFonts w:eastAsia="Arial" w:cs="Arial"/>
          <w:sz w:val="20"/>
          <w:szCs w:val="20"/>
        </w:rPr>
        <w:t>Verify that the signature on the Power-of-Attorney is the client's signature or other person authorized to act for the client;</w:t>
      </w:r>
    </w:p>
    <w:p>
      <w:pPr>
        <w:numPr>
          <w:ilvl w:val="0"/>
          <w:numId w:val="182"/>
        </w:numPr>
        <w:ind w:left="720" w:hanging="267"/>
        <w:jc w:val="left"/>
        <w:rPr>
          <w:rFonts w:eastAsia="Arial" w:cs="Arial"/>
          <w:sz w:val="20"/>
          <w:szCs w:val="20"/>
        </w:rPr>
      </w:pPr>
      <w:r>
        <w:rPr>
          <w:rFonts w:eastAsia="Arial" w:cs="Arial"/>
          <w:sz w:val="20"/>
          <w:szCs w:val="20"/>
        </w:rPr>
        <w:t>Ensure that the Power-of-Attorney has not been revoked;</w:t>
      </w:r>
    </w:p>
    <w:p>
      <w:pPr>
        <w:numPr>
          <w:ilvl w:val="0"/>
          <w:numId w:val="182"/>
        </w:numPr>
        <w:ind w:left="720" w:hanging="267"/>
        <w:jc w:val="left"/>
        <w:rPr>
          <w:rFonts w:eastAsia="Arial" w:cs="Arial"/>
          <w:sz w:val="20"/>
          <w:szCs w:val="20"/>
        </w:rPr>
      </w:pPr>
      <w:r>
        <w:rPr>
          <w:rFonts w:eastAsia="Arial" w:cs="Arial"/>
          <w:sz w:val="20"/>
          <w:szCs w:val="20"/>
        </w:rPr>
        <w:t>Review the Power-of-Attorney to confirm that it includes the name of the client (called the principal), the name of KCD (called the attorney-in-fact), and a description of the powers granted to KCD (attorney-in fact); and</w:t>
      </w:r>
    </w:p>
    <w:p>
      <w:pPr>
        <w:numPr>
          <w:ilvl w:val="0"/>
          <w:numId w:val="182"/>
        </w:numPr>
        <w:spacing w:after="200"/>
        <w:ind w:left="720" w:hanging="267"/>
        <w:jc w:val="left"/>
        <w:rPr>
          <w:rFonts w:eastAsia="Arial" w:cs="Arial"/>
          <w:sz w:val="20"/>
          <w:szCs w:val="20"/>
        </w:rPr>
      </w:pPr>
      <w:r>
        <w:rPr>
          <w:rFonts w:eastAsia="Arial" w:cs="Arial"/>
          <w:sz w:val="20"/>
          <w:szCs w:val="20"/>
        </w:rPr>
        <w:t>Verify that the Power-of-Attorney has been signed and notarized or witnessed.</w:t>
      </w:r>
    </w:p>
    <w:p>
      <w:bookmarkEnd w:id="176"/>
      <w:bookmarkStart w:id="177" w:name="Sec_Chp_061016102249093_061016102249359"/>
    </w:p>
    <w:p>
      <w:pPr>
        <w:pStyle w:val="Heading4"/>
      </w:pPr>
      <w:r>
        <w:t xml:space="preserve">4.3.1.5 Fees and Other Expenses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Each KCD Investment Advisory Contract will describe how KCD calculates advisory fees, other expenses that the client is contractually required to pay, and the method and timing for making advisory fee payments to KCD. </w:t>
      </w:r>
    </w:p>
    <w:p>
      <w:bookmarkEnd w:id="177"/>
      <w:bookmarkStart w:id="178" w:name="Sec_Chp_061016102249093_061016102249375"/>
    </w:p>
    <w:p>
      <w:pPr>
        <w:pStyle w:val="Heading4"/>
      </w:pPr>
      <w:r>
        <w:t>4.3.1.6 Investment Advisory Services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KCD Investment Advisory Contract will contain a provision that accurately describes the types of advisory services that will be provided to the client.</w:t>
      </w:r>
    </w:p>
    <w:p>
      <w:bookmarkEnd w:id="178"/>
      <w:bookmarkStart w:id="179" w:name="Sec_Chp_061016102249093_061016102249406"/>
    </w:p>
    <w:p>
      <w:pPr>
        <w:pStyle w:val="Heading4"/>
      </w:pPr>
      <w:r>
        <w:t>4.3.1.7 Other Investment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KCD Investment Advisory Contract will state that KCD, its personnel or affiliates may take actions for their own accounts and accounts of other clients that differ from advice given to or action taken for the client.</w:t>
      </w:r>
    </w:p>
    <w:p>
      <w:bookmarkEnd w:id="179"/>
      <w:bookmarkStart w:id="180" w:name="Sec_Chp_061016102249093_061016102249437"/>
    </w:p>
    <w:p>
      <w:pPr>
        <w:pStyle w:val="Heading4"/>
      </w:pPr>
      <w:r>
        <w:t xml:space="preserve">4.3.1.8 Privacy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Each KCD Investment Advisory Contract will require each party to comply with applicable privacy laws and to maintain in a confidential manner information it receives from the other party. </w:t>
      </w:r>
    </w:p>
    <w:p>
      <w:bookmarkEnd w:id="180"/>
      <w:bookmarkStart w:id="181" w:name="Sec_Chp_061016102249093_061016102249484"/>
    </w:p>
    <w:p>
      <w:pPr>
        <w:pStyle w:val="Heading4"/>
      </w:pPr>
      <w:r>
        <w:t>4.3.1.9 Termination and Duration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KCD Investment Advisory Contract will contain a clause describing how a client or KCD may terminate the Investment Advisory Contract, and will specify the term of the contract and any renewal requirements.</w:t>
      </w:r>
    </w:p>
    <w:p>
      <w:bookmarkEnd w:id="181"/>
      <w:bookmarkStart w:id="182" w:name="Sec_Chp_061016102249093_061016102249515"/>
    </w:p>
    <w:p>
      <w:pPr>
        <w:pStyle w:val="Heading4"/>
      </w:pPr>
      <w:r>
        <w:t xml:space="preserve">4.3.1.10 Waiver of Advisers Act Provisions or Disclaiming Liability </w:t>
      </w:r>
    </w:p>
    <w:p/>
    <w:p>
      <w:pPr>
        <w:rPr>
          <w:rFonts w:eastAsia="Arial" w:cs="Arial"/>
          <w:sz w:val="16"/>
          <w:szCs w:val="16"/>
        </w:rPr>
      </w:pPr>
      <w:r>
        <w:rPr>
          <w:rFonts w:eastAsia="Arial" w:cs="Arial"/>
          <w:sz w:val="16"/>
          <w:szCs w:val="16"/>
        </w:rPr>
        <w:t>[Investment Advisers Act of 1940 Section 215]</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The SEC has stated:</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"There are few (if any) circumstances in which a hedge clause in an agreement with a retail client would be consistent with those anti-fraud provisions, where the hedge clause purports to relieve the adviser from liability for conduct as to which the client has a non-waivable cause of action against the adviser provided by state or federal law. Such a hedge clause generally is likely to mislead those retail clients into not exercising their legal rights, in violation of the anti-fraud provisions, even where the agreement otherwise specifies that the client may continue to retain its non-waivable rights." </w:t>
            </w:r>
          </w:p>
        </w:tc>
      </w:tr>
    </w:tbl>
    <w:p>
      <w:pPr>
        <w:pStyle w:val="normal0"/>
        <w:spacing w:before="200" w:after="200"/>
        <w:rPr>
          <w:rFonts w:eastAsia="Arial" w:cs="Arial"/>
          <w:sz w:val="20"/>
          <w:szCs w:val="20"/>
        </w:rPr>
      </w:pPr>
      <w:r>
        <w:rPr>
          <w:rFonts w:eastAsia="Arial" w:cs="Arial"/>
          <w:sz w:val="20"/>
          <w:szCs w:val="20"/>
        </w:rPr>
        <w:t>No Firm Investment Advisory Contract will contain a provision that will cause a client to waive compliance with any provision, rule or order under the Investment Advisers Act of 1940 or any other applicable law. In addition, no Firm Investment Advisory Contract will contain a hedge clause or other provision, which disclaims KCD's liability for any violation of law. Such a provision would be deemed void by virtue of Section 215 of the Investment Advisers Act of 1940.</w:t>
      </w:r>
    </w:p>
    <w:p>
      <w:pPr>
        <w:pStyle w:val="normal0"/>
        <w:spacing w:before="200" w:after="200"/>
        <w:rPr>
          <w:rFonts w:eastAsia="Arial" w:cs="Arial"/>
          <w:sz w:val="20"/>
          <w:szCs w:val="20"/>
        </w:rPr>
      </w:pPr>
      <w:r>
        <w:rPr>
          <w:rFonts w:eastAsia="Arial" w:cs="Arial"/>
          <w:sz w:val="20"/>
          <w:szCs w:val="20"/>
        </w:rPr>
        <w:t>Prior to including any provision in KCD's Investment Advisory Contract that addresses KCD's potential liability, KCD shall consult outside counsel, including whether any provision addressing KCD's potential liability such as the following provision would not violate Section 215:</w:t>
      </w:r>
    </w:p>
    <w:p>
      <w:pPr>
        <w:pStyle w:val="normal0"/>
        <w:spacing w:before="200" w:after="200"/>
        <w:rPr>
          <w:rFonts w:eastAsia="Arial" w:cs="Arial"/>
          <w:sz w:val="20"/>
          <w:szCs w:val="20"/>
        </w:rPr>
      </w:pPr>
      <w:r>
        <w:rPr>
          <w:rFonts w:eastAsia="Arial" w:cs="Arial"/>
          <w:sz w:val="20"/>
          <w:szCs w:val="20"/>
        </w:rPr>
        <w:t>"Under this agreement, the Firm has a fiduciary duty to the Client, which requires the Firm to act in good faith with the degree of care, skill, prudence and diligence under the circumstances that a prudent person acting in a fiduciary capacity would use, in providing investment advice and managing the Client's assets. The Client also has some responsibility. Specifically, if the Client provides the Firm with written or oral instructions, the Firm is entitled to rely on those instructions and is not responsible for any loss arising from following those instructions. Additionally, the Custodian and broker-dealers that Firm uses to execute transactions for the Client's account have a duty to follow the Firm's instructions. The Firm is not responsible for losses to the Client's account because of the custodian's or broker-dealer's failure to follow these instructions."</w:t>
      </w:r>
    </w:p>
    <w:p>
      <w:bookmarkEnd w:id="182"/>
      <w:bookmarkStart w:id="183" w:name="Sec_Chp_061016102249093_06101610224318"/>
    </w:p>
    <w:p>
      <w:pPr>
        <w:pStyle w:val="Heading4"/>
      </w:pPr>
      <w:r>
        <w:t>4.3.1.11 Allocation of Expenses Among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Firm Investment Advisory Contract will contain a clause describing how KCD allocates its Firm level expenses that clients are contractually required to pay among those clients (</w:t>
      </w:r>
      <w:r>
        <w:rPr>
          <w:rFonts w:eastAsia="Arial" w:cs="Arial"/>
          <w:i/>
          <w:iCs/>
          <w:sz w:val="20"/>
          <w:szCs w:val="20"/>
        </w:rPr>
        <w:t>e.g.,</w:t>
      </w:r>
      <w:r>
        <w:rPr>
          <w:rFonts w:eastAsia="Arial" w:cs="Arial"/>
          <w:sz w:val="20"/>
          <w:szCs w:val="20"/>
        </w:rPr>
        <w:t xml:space="preserve"> pro rata based on each client's assets under the management of KCD). If certain expenses are not allocated to all clients pro rata based on each client's assets under management with KCD, such practice will be disclosed in KCD's Form ADV, Part 2A (brochure) as follows:</w:t>
      </w:r>
    </w:p>
    <w:p>
      <w:pPr>
        <w:pStyle w:val="normal0"/>
        <w:spacing w:before="200" w:after="200"/>
        <w:ind w:left="600" w:right="600"/>
        <w:rPr>
          <w:rFonts w:eastAsia="Arial" w:cs="Arial"/>
          <w:sz w:val="20"/>
          <w:szCs w:val="20"/>
        </w:rPr>
      </w:pPr>
      <w:r>
        <w:rPr>
          <w:rFonts w:eastAsia="Arial" w:cs="Arial"/>
          <w:sz w:val="20"/>
          <w:szCs w:val="20"/>
        </w:rPr>
        <w:t>It is KCD's policy that when certain expenses are not allocated to one or more particular clients, such allocated expenses will be borne by KCD and not directly or indirectly the other clients of KCD.</w:t>
      </w:r>
    </w:p>
    <w:p>
      <w:bookmarkEnd w:id="183"/>
      <w:bookmarkStart w:id="184" w:name="Sec_Chp_061016102249093_061016102249531"/>
    </w:p>
    <w:p>
      <w:pPr>
        <w:pStyle w:val="Heading3"/>
      </w:pPr>
      <w:bookmarkStart w:id="185" w:name="_Toc256000056"/>
      <w:r>
        <w:t>4.3.2 Advisory Fees</w:t>
      </w:r>
      <w:bookmarkEnd w:id="185"/>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charge a fee that is reasonable in relation to the advisory services it provides; KCD will not charge excessive fees.</w:t>
      </w:r>
    </w:p>
    <w:p>
      <w:bookmarkEnd w:id="184"/>
      <w:bookmarkStart w:id="186" w:name="Sec_Chp_061016102249093_061016102249546"/>
    </w:p>
    <w:p>
      <w:pPr>
        <w:pStyle w:val="Heading4"/>
      </w:pPr>
      <w:r>
        <w:t>4.3.2.1 Advisory Fee Type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is compensated for rendering advisory services to clients in the following ways:</w:t>
      </w:r>
    </w:p>
    <w:p>
      <w:bookmarkEnd w:id="186"/>
      <w:bookmarkStart w:id="187" w:name="Sec_Chp_061016102249093_061016102249562"/>
    </w:p>
    <w:p>
      <w:pPr>
        <w:pStyle w:val="Heading5"/>
      </w:pPr>
      <w:r>
        <w:t>4.3.2.1.1 Percentage Fee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charges a fee based on client assets under management.</w:t>
      </w:r>
    </w:p>
    <w:p>
      <w:bookmarkEnd w:id="187"/>
      <w:bookmarkStart w:id="188" w:name="Sec_Chp_061016102249093_061016102249578"/>
    </w:p>
    <w:p>
      <w:pPr>
        <w:pStyle w:val="Heading5"/>
      </w:pPr>
      <w:r>
        <w:t>4.3.2.1.2 Flat Fee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charges clients a flat fee for providing advisory services.</w:t>
      </w:r>
    </w:p>
    <w:p>
      <w:bookmarkEnd w:id="188"/>
      <w:bookmarkStart w:id="189" w:name="Sec_Chp_061016102249093_061016102249593"/>
    </w:p>
    <w:p>
      <w:pPr>
        <w:pStyle w:val="Heading5"/>
      </w:pPr>
      <w:r>
        <w:t>4.3.2.1.3 Hourly Rate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charges clients an hourly fee for providing advisory services.</w:t>
      </w:r>
    </w:p>
    <w:p>
      <w:bookmarkEnd w:id="189"/>
      <w:bookmarkStart w:id="190" w:name="Sec_Chp_061016102249093_061016102249609"/>
    </w:p>
    <w:p>
      <w:pPr>
        <w:pStyle w:val="Heading5"/>
      </w:pPr>
      <w:r>
        <w:t>4.3.2.1.4 Performance Fee</w:t>
      </w:r>
    </w:p>
    <w:p/>
    <w:p>
      <w:pPr>
        <w:rPr>
          <w:rFonts w:eastAsia="Arial" w:cs="Arial"/>
          <w:sz w:val="16"/>
          <w:szCs w:val="16"/>
        </w:rPr>
      </w:pPr>
      <w:r>
        <w:rPr>
          <w:rFonts w:eastAsia="Arial" w:cs="Arial"/>
          <w:sz w:val="16"/>
          <w:szCs w:val="16"/>
        </w:rPr>
        <w:t>[Investment Advisers Act of 1940 Rule 205-3; Investment Company Act of 1940 Section 2(a)(51)(A) and 3(c)(1)]</w:t>
      </w:r>
    </w:p>
    <w:p/>
    <w:p>
      <w:pPr>
        <w:pStyle w:val="normal0"/>
        <w:spacing w:after="200"/>
        <w:rPr>
          <w:rFonts w:eastAsia="Arial" w:cs="Arial"/>
          <w:sz w:val="20"/>
          <w:szCs w:val="20"/>
        </w:rPr>
      </w:pPr>
      <w:r>
        <w:rPr>
          <w:rFonts w:eastAsia="Arial" w:cs="Arial"/>
          <w:sz w:val="20"/>
          <w:szCs w:val="20"/>
        </w:rPr>
        <w:t>KCD will charge a client a performance fee only if such client meets one of the following conditions (Qualified Clients):</w:t>
      </w:r>
    </w:p>
    <w:p>
      <w:pPr>
        <w:numPr>
          <w:ilvl w:val="0"/>
          <w:numId w:val="183"/>
        </w:numPr>
        <w:spacing w:before="200"/>
        <w:ind w:left="720" w:hanging="192"/>
        <w:jc w:val="left"/>
        <w:rPr>
          <w:rFonts w:eastAsia="Arial" w:cs="Arial"/>
          <w:sz w:val="20"/>
          <w:szCs w:val="20"/>
        </w:rPr>
      </w:pPr>
      <w:r>
        <w:rPr>
          <w:rFonts w:eastAsia="Arial" w:cs="Arial"/>
          <w:sz w:val="20"/>
          <w:szCs w:val="20"/>
        </w:rPr>
        <w:t>The client has $1,100,000 or more of assets under the management of KCD;</w:t>
      </w:r>
    </w:p>
    <w:p>
      <w:pPr>
        <w:numPr>
          <w:ilvl w:val="0"/>
          <w:numId w:val="183"/>
        </w:numPr>
        <w:ind w:left="720" w:hanging="192"/>
        <w:jc w:val="left"/>
        <w:rPr>
          <w:rFonts w:eastAsia="Arial" w:cs="Arial"/>
          <w:sz w:val="20"/>
          <w:szCs w:val="20"/>
        </w:rPr>
      </w:pPr>
      <w:r>
        <w:rPr>
          <w:rFonts w:eastAsia="Arial" w:cs="Arial"/>
          <w:sz w:val="20"/>
          <w:szCs w:val="20"/>
        </w:rPr>
        <w:t>The client has a net worth (together with assets jointly held by his or her spouse) of $2.2 million or more at the time of the contract;</w:t>
      </w:r>
    </w:p>
    <w:p>
      <w:pPr>
        <w:numPr>
          <w:ilvl w:val="0"/>
          <w:numId w:val="183"/>
        </w:numPr>
        <w:ind w:left="720" w:hanging="192"/>
        <w:jc w:val="left"/>
        <w:rPr>
          <w:rFonts w:eastAsia="Arial" w:cs="Arial"/>
          <w:sz w:val="20"/>
          <w:szCs w:val="20"/>
        </w:rPr>
      </w:pPr>
      <w:r>
        <w:rPr>
          <w:rFonts w:eastAsia="Arial" w:cs="Arial"/>
          <w:sz w:val="20"/>
          <w:szCs w:val="20"/>
        </w:rPr>
        <w:t>The client meets the definition of "qualified purchaser" defined in Section 2(a)(51)(A) of the Investment Company Act of 1940;</w:t>
      </w:r>
    </w:p>
    <w:p>
      <w:pPr>
        <w:numPr>
          <w:ilvl w:val="0"/>
          <w:numId w:val="183"/>
        </w:numPr>
        <w:ind w:left="720" w:hanging="192"/>
        <w:jc w:val="left"/>
        <w:rPr>
          <w:rFonts w:eastAsia="Arial" w:cs="Arial"/>
          <w:sz w:val="20"/>
          <w:szCs w:val="20"/>
        </w:rPr>
      </w:pPr>
      <w:r>
        <w:rPr>
          <w:rFonts w:eastAsia="Arial" w:cs="Arial"/>
          <w:sz w:val="20"/>
          <w:szCs w:val="20"/>
        </w:rPr>
        <w:t>The client is an executive officer, director or general partner of KCD; or</w:t>
      </w:r>
    </w:p>
    <w:p>
      <w:pPr>
        <w:numPr>
          <w:ilvl w:val="0"/>
          <w:numId w:val="183"/>
        </w:numPr>
        <w:spacing w:after="200"/>
        <w:ind w:left="720" w:hanging="192"/>
        <w:jc w:val="left"/>
        <w:rPr>
          <w:rFonts w:eastAsia="Arial" w:cs="Arial"/>
          <w:sz w:val="20"/>
          <w:szCs w:val="20"/>
        </w:rPr>
      </w:pPr>
      <w:r>
        <w:rPr>
          <w:rFonts w:eastAsia="Arial" w:cs="Arial"/>
          <w:sz w:val="20"/>
          <w:szCs w:val="20"/>
        </w:rPr>
        <w:t>The client is an employee of KCD who participates in the investment activities of KCD on a regular basis (other than a secretary or person performing solely clerical or administrative functions), provided such person has performed these functions either at KCD or another firm for the previous 12 months.</w:t>
      </w:r>
    </w:p>
    <w:p>
      <w:pPr>
        <w:pStyle w:val="normal0"/>
        <w:spacing w:before="200" w:after="200"/>
        <w:rPr>
          <w:rFonts w:eastAsia="Arial" w:cs="Arial"/>
          <w:sz w:val="20"/>
          <w:szCs w:val="20"/>
        </w:rPr>
      </w:pPr>
      <w:r>
        <w:rPr>
          <w:rFonts w:eastAsia="Arial" w:cs="Arial"/>
          <w:sz w:val="20"/>
          <w:szCs w:val="20"/>
        </w:rPr>
        <w:t>When calculating net worth, KCD will note the following:</w:t>
      </w:r>
    </w:p>
    <w:p>
      <w:pPr>
        <w:numPr>
          <w:ilvl w:val="0"/>
          <w:numId w:val="184"/>
        </w:numPr>
        <w:spacing w:before="200"/>
        <w:ind w:left="720" w:hanging="192"/>
        <w:jc w:val="left"/>
        <w:rPr>
          <w:rFonts w:eastAsia="Arial" w:cs="Arial"/>
          <w:sz w:val="20"/>
          <w:szCs w:val="20"/>
        </w:rPr>
      </w:pPr>
      <w:r>
        <w:rPr>
          <w:rFonts w:eastAsia="Arial" w:cs="Arial"/>
          <w:sz w:val="20"/>
          <w:szCs w:val="20"/>
        </w:rPr>
        <w:t>The person's primary residence must not be included as an asset;</w:t>
      </w:r>
    </w:p>
    <w:p>
      <w:pPr>
        <w:numPr>
          <w:ilvl w:val="0"/>
          <w:numId w:val="184"/>
        </w:numPr>
        <w:ind w:left="720" w:hanging="192"/>
        <w:jc w:val="left"/>
        <w:rPr>
          <w:rFonts w:eastAsia="Arial" w:cs="Arial"/>
          <w:sz w:val="20"/>
          <w:szCs w:val="20"/>
        </w:rPr>
      </w:pPr>
      <w:r>
        <w:rPr>
          <w:rFonts w:eastAsia="Arial" w:cs="Arial"/>
          <w:sz w:val="20"/>
          <w:szCs w:val="20"/>
        </w:rPr>
        <w:t>Indebtedness secured by the person's primary residence, up to the estimated fair market value of the primary residence at the time the investment advisory contract is entered into may not be included as a liability (except that if the amount of such indebtedness outstanding at the time of calculation exceeds the amount outstanding 60 days before such time, other than as a result of the acquisition of the primary residence, the amount of such excess must be included as a liability);</w:t>
      </w:r>
    </w:p>
    <w:p>
      <w:pPr>
        <w:numPr>
          <w:ilvl w:val="0"/>
          <w:numId w:val="184"/>
        </w:numPr>
        <w:ind w:left="720" w:hanging="192"/>
        <w:jc w:val="left"/>
        <w:rPr>
          <w:rFonts w:eastAsia="Arial" w:cs="Arial"/>
          <w:sz w:val="20"/>
          <w:szCs w:val="20"/>
        </w:rPr>
      </w:pPr>
      <w:r>
        <w:rPr>
          <w:rFonts w:eastAsia="Arial" w:cs="Arial"/>
          <w:sz w:val="20"/>
          <w:szCs w:val="20"/>
        </w:rPr>
        <w:t>Indebtedness that is secured by the person's primary residence in excess of the estimated fair market value of the residence must be included as a liability; and</w:t>
      </w:r>
    </w:p>
    <w:p>
      <w:pPr>
        <w:numPr>
          <w:ilvl w:val="0"/>
          <w:numId w:val="184"/>
        </w:numPr>
        <w:spacing w:after="200"/>
        <w:ind w:left="720" w:hanging="192"/>
        <w:jc w:val="left"/>
        <w:rPr>
          <w:rFonts w:eastAsia="Arial" w:cs="Arial"/>
          <w:sz w:val="20"/>
          <w:szCs w:val="20"/>
        </w:rPr>
      </w:pPr>
      <w:r>
        <w:rPr>
          <w:rFonts w:eastAsia="Arial" w:cs="Arial"/>
          <w:sz w:val="20"/>
          <w:szCs w:val="20"/>
        </w:rPr>
        <w:t>The increase of the net worth requirement to $2.2 million will not effect contracts entered into prior to the effective date of the increase.</w:t>
      </w:r>
    </w:p>
    <w:p>
      <w:pPr>
        <w:pStyle w:val="normal0"/>
        <w:spacing w:before="200" w:after="200"/>
        <w:rPr>
          <w:rFonts w:eastAsia="Arial" w:cs="Arial"/>
          <w:sz w:val="20"/>
          <w:szCs w:val="20"/>
        </w:rPr>
      </w:pPr>
      <w:r>
        <w:rPr>
          <w:rFonts w:eastAsia="Arial" w:cs="Arial"/>
          <w:sz w:val="20"/>
          <w:szCs w:val="20"/>
        </w:rPr>
        <w:t>Entities relying on Section 3(c)(1) of the Investment Company Act of 1940 to be exempt from registration as an investment company will not be a Qualified Client unless each of their shareholders or partners on an individual basis also is a Qualified Client.</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Periodically, the SEC issues an order making inflation adjustments to the assets-under-management test and the net worth test in the definition of "qualified client" in Rule 205-3 as required by the Dodd-Frank Act. The CCO periodically will check for SEC orders making these adjustments. </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If KCD charges a performance fee to a client, the investment advisory contract between KCD and the client will contain a performance fee clause that clearly sets forth and describes the arrangement. Such contract shall, among other things:</w:t>
      </w:r>
    </w:p>
    <w:p>
      <w:pPr>
        <w:numPr>
          <w:ilvl w:val="0"/>
          <w:numId w:val="185"/>
        </w:numPr>
        <w:spacing w:before="200"/>
        <w:ind w:left="720" w:hanging="192"/>
        <w:jc w:val="left"/>
        <w:rPr>
          <w:rFonts w:eastAsia="Arial" w:cs="Arial"/>
          <w:sz w:val="20"/>
          <w:szCs w:val="20"/>
        </w:rPr>
      </w:pPr>
      <w:r>
        <w:rPr>
          <w:rFonts w:eastAsia="Arial" w:cs="Arial"/>
          <w:sz w:val="20"/>
          <w:szCs w:val="20"/>
        </w:rPr>
        <w:t>state what index (if any) that will be used as a performance benchmark for the client's account;</w:t>
      </w:r>
    </w:p>
    <w:p>
      <w:pPr>
        <w:numPr>
          <w:ilvl w:val="0"/>
          <w:numId w:val="185"/>
        </w:numPr>
        <w:ind w:left="720" w:hanging="192"/>
        <w:jc w:val="left"/>
        <w:rPr>
          <w:rFonts w:eastAsia="Arial" w:cs="Arial"/>
          <w:sz w:val="20"/>
          <w:szCs w:val="20"/>
        </w:rPr>
      </w:pPr>
      <w:r>
        <w:rPr>
          <w:rFonts w:eastAsia="Arial" w:cs="Arial"/>
          <w:sz w:val="20"/>
          <w:szCs w:val="20"/>
        </w:rPr>
        <w:t>state the period over which the performance will be measured; and</w:t>
      </w:r>
    </w:p>
    <w:p>
      <w:pPr>
        <w:numPr>
          <w:ilvl w:val="0"/>
          <w:numId w:val="185"/>
        </w:numPr>
        <w:spacing w:after="200"/>
        <w:ind w:left="720" w:hanging="192"/>
        <w:jc w:val="left"/>
        <w:rPr>
          <w:rFonts w:eastAsia="Arial" w:cs="Arial"/>
          <w:sz w:val="20"/>
          <w:szCs w:val="20"/>
        </w:rPr>
      </w:pPr>
      <w:r>
        <w:rPr>
          <w:rFonts w:eastAsia="Arial" w:cs="Arial"/>
          <w:sz w:val="20"/>
          <w:szCs w:val="20"/>
        </w:rPr>
        <w:t>describe any claw-back or high-water mark features applicable to the calculation of the performance fee.</w:t>
      </w:r>
    </w:p>
    <w:p>
      <w:bookmarkEnd w:id="190"/>
      <w:bookmarkStart w:id="191" w:name="Sec_Chp_061016102249093_061016102249640"/>
    </w:p>
    <w:p>
      <w:pPr>
        <w:pStyle w:val="Heading5"/>
      </w:pPr>
      <w:r>
        <w:t>4.3.2.1.5 Brokerage Commissions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earn commissions on the sale of securities products to clients only if KCD is registered as a broker-dealer. An Adviser Representative will earn commissions on the sale of securities products to clients only if such Adviser Representative is a registered representative of a registered broker-dealer.</w:t>
      </w:r>
    </w:p>
    <w:p>
      <w:bookmarkEnd w:id="191"/>
      <w:bookmarkStart w:id="192" w:name="Sec_Chp_061016102249093_061016102249656"/>
    </w:p>
    <w:p>
      <w:pPr>
        <w:pStyle w:val="Heading5"/>
      </w:pPr>
      <w:r>
        <w:t>4.3.2.1.6 Insurance Products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or any Adviser Representative will earn commissions on the sale of insurance products to clients only if they are licensed as insurance agents with the appropriate state securities commissions. </w:t>
      </w:r>
    </w:p>
    <w:p>
      <w:bookmarkEnd w:id="192"/>
      <w:bookmarkStart w:id="193" w:name="Sec_Chp_061016102249093_061016102249703"/>
    </w:p>
    <w:p>
      <w:pPr>
        <w:pStyle w:val="Heading4"/>
      </w:pPr>
      <w:r>
        <w:t>4.3.2.2 Advisory Fee Rate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charge excessive fees. The practice of charging excessive fees is considered a violation of the antifraud provisions of the Investment Advisers Act of 1940. KCD will charge a fee that is reasonable in relation to the advisory services it provides. In determining the reasonableness of the fee, KCD will examine the facts and circumstances of the particular adviser/client relationship. KCD will consider peer group rankings to help ensure its compensation and expenses are within a reasonable range of fees charged by competitors.</w:t>
      </w:r>
    </w:p>
    <w:p>
      <w:pPr>
        <w:pStyle w:val="normal0"/>
        <w:spacing w:before="200" w:after="200"/>
        <w:rPr>
          <w:rFonts w:eastAsia="Arial" w:cs="Arial"/>
          <w:sz w:val="20"/>
          <w:szCs w:val="20"/>
        </w:rPr>
      </w:pPr>
      <w:r>
        <w:rPr>
          <w:rFonts w:eastAsia="Arial" w:cs="Arial"/>
          <w:sz w:val="20"/>
          <w:szCs w:val="20"/>
        </w:rPr>
        <w:t>At least 30 days prior to changing its investment advisory fee for a client, a group of clients or all clients, KCD will notify the affected clients in writing of the new fee including:</w:t>
      </w:r>
    </w:p>
    <w:p>
      <w:pPr>
        <w:numPr>
          <w:ilvl w:val="0"/>
          <w:numId w:val="186"/>
        </w:numPr>
        <w:spacing w:before="200"/>
        <w:ind w:left="720" w:hanging="192"/>
        <w:jc w:val="left"/>
        <w:rPr>
          <w:rFonts w:eastAsia="Arial" w:cs="Arial"/>
          <w:sz w:val="20"/>
          <w:szCs w:val="20"/>
        </w:rPr>
      </w:pPr>
      <w:r>
        <w:rPr>
          <w:rFonts w:eastAsia="Arial" w:cs="Arial"/>
          <w:sz w:val="20"/>
          <w:szCs w:val="20"/>
        </w:rPr>
        <w:t>whether the fee was increased or decreased;</w:t>
      </w:r>
    </w:p>
    <w:p>
      <w:pPr>
        <w:numPr>
          <w:ilvl w:val="0"/>
          <w:numId w:val="186"/>
        </w:numPr>
        <w:ind w:left="720" w:hanging="192"/>
        <w:jc w:val="left"/>
        <w:rPr>
          <w:rFonts w:eastAsia="Arial" w:cs="Arial"/>
          <w:sz w:val="20"/>
          <w:szCs w:val="20"/>
        </w:rPr>
      </w:pPr>
      <w:r>
        <w:rPr>
          <w:rFonts w:eastAsia="Arial" w:cs="Arial"/>
          <w:sz w:val="20"/>
          <w:szCs w:val="20"/>
        </w:rPr>
        <w:t>any changes in how the fee is calculated and the terms on when it must be paid; and</w:t>
      </w:r>
    </w:p>
    <w:p>
      <w:pPr>
        <w:numPr>
          <w:ilvl w:val="0"/>
          <w:numId w:val="186"/>
        </w:numPr>
        <w:spacing w:after="200"/>
        <w:ind w:left="720" w:hanging="192"/>
        <w:jc w:val="left"/>
        <w:rPr>
          <w:rFonts w:eastAsia="Arial" w:cs="Arial"/>
          <w:sz w:val="20"/>
          <w:szCs w:val="20"/>
        </w:rPr>
      </w:pPr>
      <w:r>
        <w:rPr>
          <w:rFonts w:eastAsia="Arial" w:cs="Arial"/>
          <w:sz w:val="20"/>
          <w:szCs w:val="20"/>
        </w:rPr>
        <w:t>the amount of the new fee and the change of fee in percentage terms.</w:t>
      </w:r>
    </w:p>
    <w:p>
      <w:pPr>
        <w:pStyle w:val="normal0"/>
        <w:spacing w:before="200" w:after="200"/>
        <w:rPr>
          <w:rFonts w:eastAsia="Arial" w:cs="Arial"/>
          <w:sz w:val="20"/>
          <w:szCs w:val="20"/>
        </w:rPr>
      </w:pPr>
      <w:r>
        <w:rPr>
          <w:rFonts w:eastAsia="Arial" w:cs="Arial"/>
          <w:sz w:val="20"/>
          <w:szCs w:val="20"/>
        </w:rPr>
        <w:t>KCD when it changes its advisory fee will make sure its Form ADV and applicable advisory contract or contracts reflect the updated fee including in its summary of material changes. Prior to increasing any advisory fee or expenses paid by the client, KCD will review the applicable advisory contract to verify that it has the authority to do so including whether the term of the contract has been reached.</w:t>
      </w:r>
    </w:p>
    <w:p>
      <w:bookmarkEnd w:id="193"/>
      <w:bookmarkStart w:id="194" w:name="Sec_Chp_061016102249093_061016102249750"/>
    </w:p>
    <w:p>
      <w:pPr>
        <w:pStyle w:val="Heading4"/>
      </w:pPr>
      <w:r>
        <w:t>4.3.2.3 Automatic Fee Deduction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On a quarterly basis, KCD shall direct the broker-dealer or other financial institution ("Broker-Dealer") that maintains client accounts to debit from the client's account and to pay to KCD the advisory fee due from the client. In connection with this process, KCD shall:</w:t>
      </w:r>
    </w:p>
    <w:p>
      <w:pPr>
        <w:numPr>
          <w:ilvl w:val="0"/>
          <w:numId w:val="187"/>
        </w:numPr>
        <w:spacing w:before="200"/>
        <w:ind w:left="720" w:hanging="267"/>
        <w:jc w:val="left"/>
        <w:rPr>
          <w:rFonts w:eastAsia="Arial" w:cs="Arial"/>
          <w:sz w:val="20"/>
          <w:szCs w:val="20"/>
        </w:rPr>
      </w:pPr>
      <w:r>
        <w:rPr>
          <w:rFonts w:eastAsia="Arial" w:cs="Arial"/>
          <w:sz w:val="20"/>
          <w:szCs w:val="20"/>
        </w:rPr>
        <w:t xml:space="preserve">Initially obtain written authorization from the client permitting KCD's fees to be paid directly from the client's account; </w:t>
      </w:r>
    </w:p>
    <w:p>
      <w:pPr>
        <w:numPr>
          <w:ilvl w:val="0"/>
          <w:numId w:val="187"/>
        </w:numPr>
        <w:ind w:left="720" w:hanging="267"/>
        <w:jc w:val="left"/>
        <w:rPr>
          <w:rFonts w:eastAsia="Arial" w:cs="Arial"/>
          <w:sz w:val="20"/>
          <w:szCs w:val="20"/>
        </w:rPr>
      </w:pPr>
      <w:r>
        <w:rPr>
          <w:rFonts w:eastAsia="Arial" w:cs="Arial"/>
          <w:sz w:val="20"/>
          <w:szCs w:val="20"/>
        </w:rPr>
        <w:t>Cause the Broker-Dealer to send each client a quarterly statement showing the amount of KCD's advisory fee, the value of the client's assets upon which the fee was based, and the specific manner in which the fee was calculated;</w:t>
      </w:r>
    </w:p>
    <w:p>
      <w:pPr>
        <w:numPr>
          <w:ilvl w:val="0"/>
          <w:numId w:val="187"/>
        </w:numPr>
        <w:ind w:left="720" w:hanging="267"/>
        <w:jc w:val="left"/>
        <w:rPr>
          <w:rFonts w:eastAsia="Arial" w:cs="Arial"/>
          <w:sz w:val="20"/>
          <w:szCs w:val="20"/>
        </w:rPr>
      </w:pPr>
      <w:r>
        <w:rPr>
          <w:rFonts w:eastAsia="Arial" w:cs="Arial"/>
          <w:sz w:val="20"/>
          <w:szCs w:val="20"/>
        </w:rPr>
        <w:t>Verify that the Broker-Dealer sent account statements to each client on a quarterly basis, and record such verification on KCD's Quarterly Account Statement Delivery Log; and</w:t>
      </w:r>
    </w:p>
    <w:p>
      <w:pPr>
        <w:numPr>
          <w:ilvl w:val="0"/>
          <w:numId w:val="187"/>
        </w:numPr>
        <w:spacing w:after="200"/>
        <w:ind w:left="720" w:hanging="267"/>
        <w:jc w:val="left"/>
        <w:rPr>
          <w:rFonts w:eastAsia="Arial" w:cs="Arial"/>
          <w:sz w:val="20"/>
          <w:szCs w:val="20"/>
        </w:rPr>
      </w:pPr>
      <w:r>
        <w:rPr>
          <w:rFonts w:eastAsia="Arial" w:cs="Arial"/>
          <w:sz w:val="20"/>
          <w:szCs w:val="20"/>
        </w:rPr>
        <w:t>Periodically inform each client of his or her responsibility to verify the accuracy of the fee calculation.</w:t>
      </w:r>
    </w:p>
    <w:p>
      <w:bookmarkEnd w:id="194"/>
      <w:bookmarkStart w:id="195" w:name="Sec_Chp_061016102249093_061016102249781"/>
    </w:p>
    <w:p>
      <w:pPr>
        <w:pStyle w:val="Heading4"/>
      </w:pPr>
      <w:r>
        <w:t>4.3.2.4 Calculation of Advisory Fees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make sure that KCD calculates the advisory fee correctly and in the manner described in its Investment Advisory Contract and the Firm's Brochure (Part 2A). KCD periodically will verify for all client account advisory fees the following:</w:t>
      </w:r>
    </w:p>
    <w:p>
      <w:pPr>
        <w:numPr>
          <w:ilvl w:val="0"/>
          <w:numId w:val="188"/>
        </w:numPr>
        <w:spacing w:before="200"/>
        <w:ind w:left="720" w:hanging="192"/>
        <w:jc w:val="left"/>
        <w:rPr>
          <w:rFonts w:eastAsia="Arial" w:cs="Arial"/>
          <w:sz w:val="20"/>
          <w:szCs w:val="20"/>
        </w:rPr>
      </w:pPr>
      <w:r>
        <w:rPr>
          <w:rFonts w:eastAsia="Arial" w:cs="Arial"/>
          <w:sz w:val="20"/>
          <w:szCs w:val="20"/>
          <w:u w:val="single"/>
        </w:rPr>
        <w:t>Timing</w:t>
      </w:r>
      <w:r>
        <w:rPr>
          <w:rFonts w:eastAsia="Arial" w:cs="Arial"/>
          <w:sz w:val="20"/>
          <w:szCs w:val="20"/>
        </w:rPr>
        <w:t>: whether KCD uses the market value of the account's assets at the end of the billing cycle, the average daily balance the account over the entire billing cycle, or some other measurement; and</w:t>
      </w:r>
    </w:p>
    <w:p>
      <w:pPr>
        <w:numPr>
          <w:ilvl w:val="0"/>
          <w:numId w:val="188"/>
        </w:numPr>
        <w:spacing w:after="200"/>
        <w:ind w:left="720" w:hanging="192"/>
        <w:jc w:val="left"/>
        <w:rPr>
          <w:rFonts w:eastAsia="Arial" w:cs="Arial"/>
          <w:sz w:val="20"/>
          <w:szCs w:val="20"/>
        </w:rPr>
      </w:pPr>
      <w:r>
        <w:rPr>
          <w:rFonts w:eastAsia="Arial" w:cs="Arial"/>
          <w:sz w:val="20"/>
          <w:szCs w:val="20"/>
          <w:u w:val="single"/>
        </w:rPr>
        <w:t>Inclusion of Assets</w:t>
      </w:r>
      <w:r>
        <w:rPr>
          <w:rFonts w:eastAsia="Arial" w:cs="Arial"/>
          <w:sz w:val="20"/>
          <w:szCs w:val="20"/>
        </w:rPr>
        <w:t>: whether KCD includes cash or cash equivalents as assets in the fee calculation or excludes such cash items.</w:t>
      </w:r>
    </w:p>
    <w:p>
      <w:pPr>
        <w:pStyle w:val="normal0"/>
        <w:spacing w:before="200" w:after="200"/>
        <w:rPr>
          <w:rFonts w:eastAsia="Arial" w:cs="Arial"/>
          <w:sz w:val="20"/>
          <w:szCs w:val="20"/>
        </w:rPr>
      </w:pPr>
      <w:r>
        <w:rPr>
          <w:rFonts w:eastAsia="Arial" w:cs="Arial"/>
          <w:sz w:val="20"/>
          <w:szCs w:val="20"/>
        </w:rPr>
        <w:t>If KCD finds that a client account has been charged an advisory fee that deviates from how such fee is described in its Investment Advisory Contract and the Firm's Brochure, it will take immediate corrective action if the client would have paid a lower fee had the correct process been followed and, in any event, adjust the process to minimize reoccurrence of such events.</w:t>
      </w:r>
    </w:p>
    <w:p>
      <w:pPr>
        <w:spacing w:before="200" w:after="200"/>
        <w:rPr>
          <w:rFonts w:eastAsia="Arial" w:cs="Arial"/>
          <w:sz w:val="20"/>
          <w:szCs w:val="20"/>
        </w:rPr>
      </w:pPr>
      <w:r>
        <w:rPr>
          <w:rFonts w:eastAsia="Arial" w:cs="Arial"/>
          <w:sz w:val="20"/>
          <w:szCs w:val="20"/>
        </w:rPr>
        <w:t>On a quarterly basis – as accounts are billed their quarterly fees, the Commission Specialist will verify that the billing information for each account is accurate and update the account values. We will reconcile our records with the account fee billing statement to verify number of clients, number of accounts and assets under management.</w:t>
      </w:r>
    </w:p>
    <w:p>
      <w:bookmarkEnd w:id="195"/>
      <w:bookmarkStart w:id="196" w:name="Sec_Chp_061016102249093_061016102249796"/>
    </w:p>
    <w:p>
      <w:pPr>
        <w:pStyle w:val="Heading4"/>
      </w:pPr>
      <w:r>
        <w:t>4.3.2.5 Contingency Fees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charge a contingency fee without the approval of the Chief Compliance Officer, who shall rely upon guidance from outside counsel including whether SEC no-action relief or exemptive relief would be necessary. A fee is contingent if KCD will receive the fee only upon the occurrence of certain events (</w:t>
      </w:r>
      <w:r>
        <w:rPr>
          <w:rFonts w:eastAsia="Arial" w:cs="Arial"/>
          <w:i/>
          <w:iCs/>
          <w:sz w:val="20"/>
          <w:szCs w:val="20"/>
        </w:rPr>
        <w:t>e.g.,</w:t>
      </w:r>
      <w:r>
        <w:rPr>
          <w:rFonts w:eastAsia="Arial" w:cs="Arial"/>
          <w:sz w:val="20"/>
          <w:szCs w:val="20"/>
        </w:rPr>
        <w:t xml:space="preserve"> client only pays if the value of the client's account increases by 15%). Performance fees meeting the requirements of the Investment Advisers Act of 1940 are not contingent fees.</w:t>
      </w:r>
    </w:p>
    <w:p>
      <w:pPr>
        <w:pStyle w:val="normal0"/>
        <w:spacing w:before="200" w:after="200"/>
        <w:rPr>
          <w:rFonts w:eastAsia="Arial" w:cs="Arial"/>
          <w:sz w:val="20"/>
          <w:szCs w:val="20"/>
        </w:rPr>
      </w:pPr>
      <w:r>
        <w:rPr>
          <w:rFonts w:eastAsia="Arial" w:cs="Arial"/>
          <w:sz w:val="20"/>
          <w:szCs w:val="20"/>
        </w:rPr>
        <w:t xml:space="preserve">The SEC in the past has stated that certain types of contingent fees that have the effect of rewarding the adviser on positive performance are performance fees, which are prohibited by the Advisers Act unless the adviser can meet the conditions of Rule 205-3 under the Advisers Act (the performance fee rule). </w:t>
      </w:r>
      <w:r>
        <w:rPr>
          <w:rFonts w:eastAsia="Arial" w:cs="Arial"/>
          <w:i/>
          <w:iCs/>
          <w:sz w:val="20"/>
          <w:szCs w:val="20"/>
        </w:rPr>
        <w:t>See Investment Advisers Act Release No. 721 (May 16, 1980).</w:t>
      </w:r>
      <w:r>
        <w:rPr>
          <w:rFonts w:eastAsia="Arial" w:cs="Arial"/>
          <w:sz w:val="20"/>
          <w:szCs w:val="20"/>
        </w:rPr>
        <w:t xml:space="preserve"> This is because contingent fees can create the same conflicts of interest associated with performance fees. For example, the adviser may have an incentive to take undue risks, speculate, or overtrade to achieve a certain performance level that would award it the contingent fee.</w:t>
      </w:r>
    </w:p>
    <w:p>
      <w:pPr>
        <w:pStyle w:val="normal0"/>
        <w:spacing w:before="200" w:after="200"/>
        <w:rPr>
          <w:rFonts w:eastAsia="Arial" w:cs="Arial"/>
          <w:sz w:val="20"/>
          <w:szCs w:val="20"/>
        </w:rPr>
      </w:pPr>
      <w:r>
        <w:rPr>
          <w:rFonts w:eastAsia="Arial" w:cs="Arial"/>
          <w:sz w:val="20"/>
          <w:szCs w:val="20"/>
        </w:rPr>
        <w:t>In limited cases, however, the SEC has taken the position that a fee arrangement in which an adviser that offers an advisory fee rebate for poor performance by the adviser would be a permissible contingent fee.</w:t>
      </w:r>
      <w:r>
        <w:rPr>
          <w:rFonts w:eastAsia="Arial" w:cs="Arial"/>
          <w:i/>
          <w:iCs/>
          <w:sz w:val="20"/>
          <w:szCs w:val="20"/>
        </w:rPr>
        <w:t xml:space="preserve"> See Amerivest Investment Management, LLC (pub. avail. Aug. 19, 2014)</w:t>
      </w:r>
      <w:r>
        <w:rPr>
          <w:rFonts w:eastAsia="Arial" w:cs="Arial"/>
          <w:sz w:val="20"/>
          <w:szCs w:val="20"/>
        </w:rPr>
        <w:t xml:space="preserve"> (the rebate would be paid to a client who experiences two consecutive discrete calendar quarters of negative performance during a twelve-month period). It should be noted that the SEC relief is specific to the facts presented by the investment adviser who submitted the request and is subject to a number of conditions tailored to those facts.</w:t>
      </w:r>
    </w:p>
    <w:p>
      <w:pPr>
        <w:pStyle w:val="normal0"/>
        <w:spacing w:before="200" w:after="200"/>
        <w:rPr>
          <w:rFonts w:eastAsia="Arial" w:cs="Arial"/>
          <w:sz w:val="20"/>
          <w:szCs w:val="20"/>
        </w:rPr>
      </w:pPr>
      <w:r>
        <w:rPr>
          <w:rFonts w:eastAsia="Arial" w:cs="Arial"/>
          <w:sz w:val="20"/>
          <w:szCs w:val="20"/>
        </w:rPr>
        <w:t>KCD only will consider imposing a contingent fee that provides a rebate to clients provided that such arrangement: (1) would not give KCD the incentive to avoid the rebate by taking undue risks, timing transactions in a client's account or over-trading; and (2) would be deemed permissible by outside counsel and, if necessary, the SEC.</w:t>
      </w:r>
    </w:p>
    <w:p>
      <w:bookmarkEnd w:id="196"/>
      <w:bookmarkStart w:id="197" w:name="Sec_Chp_061016102249093_061016102249812"/>
    </w:p>
    <w:p>
      <w:pPr>
        <w:pStyle w:val="Heading3"/>
      </w:pPr>
      <w:bookmarkStart w:id="198" w:name="_Toc256000057"/>
      <w:r>
        <w:t>4.3.3 Investment Guidelines</w:t>
      </w:r>
      <w:bookmarkEnd w:id="198"/>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agreeing to any investment guidelines or restrictions imposed by the client ("Client Guidelines"), the attorney or other person negotiating the Investment Advisory Contract shall:</w:t>
      </w:r>
    </w:p>
    <w:p>
      <w:pPr>
        <w:numPr>
          <w:ilvl w:val="0"/>
          <w:numId w:val="189"/>
        </w:numPr>
        <w:spacing w:before="200"/>
        <w:ind w:left="720" w:hanging="192"/>
        <w:jc w:val="left"/>
        <w:rPr>
          <w:rFonts w:eastAsia="Arial" w:cs="Arial"/>
          <w:sz w:val="20"/>
          <w:szCs w:val="20"/>
        </w:rPr>
      </w:pPr>
      <w:r>
        <w:rPr>
          <w:rFonts w:eastAsia="Arial" w:cs="Arial"/>
          <w:sz w:val="20"/>
          <w:szCs w:val="20"/>
        </w:rPr>
        <w:t xml:space="preserve">Verify that the portfolio manager who will manage the account can manage the account in a manner consistent with such Client Guidelines and that compliance personnel can monitor such Client Guidelines; </w:t>
      </w:r>
    </w:p>
    <w:p>
      <w:pPr>
        <w:numPr>
          <w:ilvl w:val="0"/>
          <w:numId w:val="189"/>
        </w:numPr>
        <w:ind w:left="720" w:hanging="192"/>
        <w:jc w:val="left"/>
        <w:rPr>
          <w:rFonts w:eastAsia="Arial" w:cs="Arial"/>
          <w:sz w:val="20"/>
          <w:szCs w:val="20"/>
        </w:rPr>
      </w:pPr>
      <w:r>
        <w:rPr>
          <w:rFonts w:eastAsia="Arial" w:cs="Arial"/>
          <w:sz w:val="20"/>
          <w:szCs w:val="20"/>
        </w:rPr>
        <w:t xml:space="preserve">Instruct the appropriate investment adviser representative of KCD to periodically contact the client to verify that the Client Guidelines are consistent with the client's investment objective; </w:t>
      </w:r>
    </w:p>
    <w:p>
      <w:pPr>
        <w:numPr>
          <w:ilvl w:val="0"/>
          <w:numId w:val="189"/>
        </w:numPr>
        <w:ind w:left="720" w:hanging="192"/>
        <w:jc w:val="left"/>
        <w:rPr>
          <w:rFonts w:eastAsia="Arial" w:cs="Arial"/>
          <w:sz w:val="20"/>
          <w:szCs w:val="20"/>
        </w:rPr>
      </w:pPr>
      <w:r>
        <w:rPr>
          <w:rFonts w:eastAsia="Arial" w:cs="Arial"/>
          <w:sz w:val="20"/>
          <w:szCs w:val="20"/>
        </w:rPr>
        <w:t xml:space="preserve">Review, and where necessary edit, the language in the Client Guidelines to make sure they are clear and specific as reasonably possible (e.g., a list of specific securities) and detailed description of categories of securities (e.g., no investments in "sin" stocks is not specific enough); </w:t>
      </w:r>
    </w:p>
    <w:p>
      <w:pPr>
        <w:numPr>
          <w:ilvl w:val="0"/>
          <w:numId w:val="189"/>
        </w:numPr>
        <w:ind w:left="720" w:hanging="192"/>
        <w:jc w:val="left"/>
        <w:rPr>
          <w:rFonts w:eastAsia="Arial" w:cs="Arial"/>
          <w:sz w:val="20"/>
          <w:szCs w:val="20"/>
        </w:rPr>
      </w:pPr>
      <w:r>
        <w:rPr>
          <w:rFonts w:eastAsia="Arial" w:cs="Arial"/>
          <w:sz w:val="20"/>
          <w:szCs w:val="20"/>
        </w:rPr>
        <w:t xml:space="preserve">Insert language in the Investment Advisory Contract that KCD shall use its best efforts to comply with Client Guidelines; and </w:t>
      </w:r>
    </w:p>
    <w:p>
      <w:pPr>
        <w:numPr>
          <w:ilvl w:val="0"/>
          <w:numId w:val="189"/>
        </w:numPr>
        <w:spacing w:after="200"/>
        <w:ind w:left="720" w:hanging="192"/>
        <w:jc w:val="left"/>
        <w:rPr>
          <w:rFonts w:eastAsia="Arial" w:cs="Arial"/>
          <w:sz w:val="20"/>
          <w:szCs w:val="20"/>
        </w:rPr>
      </w:pPr>
      <w:r>
        <w:rPr>
          <w:rFonts w:eastAsia="Arial" w:cs="Arial"/>
          <w:sz w:val="20"/>
          <w:szCs w:val="20"/>
        </w:rPr>
        <w:t>Make sure any indemnification language in the Investment Advisory Contract excludes any indemnification by KCD for failing to comply with a client investment guideline or restriction.</w:t>
      </w:r>
    </w:p>
    <w:p>
      <w:bookmarkEnd w:id="197"/>
      <w:bookmarkStart w:id="199" w:name="Sec_Chp_061016102249093_061016102249828"/>
    </w:p>
    <w:p>
      <w:pPr>
        <w:pStyle w:val="Heading3"/>
      </w:pPr>
      <w:bookmarkStart w:id="200" w:name="_Toc256000058"/>
      <w:r>
        <w:t>4.3.4 Updating the Investment Advisory Contract</w:t>
      </w:r>
      <w:bookmarkEnd w:id="200"/>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be responsible for making sure that KCD updates its standard Investment Advisory Contract to reflect changes in the law and KCD's business practices. In some cases, KCD will seek existing clients' approval to amend outstanding Investment Advisory Contracts to incorporate these changes in those documents.</w:t>
      </w:r>
    </w:p>
    <w:p>
      <w:bookmarkEnd w:id="199"/>
      <w:bookmarkStart w:id="201" w:name="Sec_Chp_061016102249093_0610161435"/>
    </w:p>
    <w:p>
      <w:pPr>
        <w:pStyle w:val="Heading3"/>
      </w:pPr>
      <w:bookmarkStart w:id="202" w:name="_Toc256000059"/>
      <w:r>
        <w:t>4.3.5 Expenses</w:t>
      </w:r>
      <w:bookmarkEnd w:id="202"/>
    </w:p>
    <w:p/>
    <w:p>
      <w:pPr>
        <w:rPr>
          <w:rFonts w:eastAsia="Arial" w:cs="Arial"/>
          <w:sz w:val="16"/>
          <w:szCs w:val="16"/>
        </w:rPr>
      </w:pPr>
    </w:p>
    <w:p>
      <w:pPr>
        <w:pStyle w:val="normal0"/>
        <w:spacing w:after="200"/>
        <w:rPr>
          <w:rFonts w:eastAsia="Arial" w:cs="Arial"/>
          <w:sz w:val="20"/>
          <w:szCs w:val="20"/>
        </w:rPr>
      </w:pPr>
      <w:r>
        <w:rPr>
          <w:rFonts w:eastAsia="Arial" w:cs="Arial"/>
          <w:sz w:val="20"/>
          <w:szCs w:val="20"/>
        </w:rPr>
        <w:t>Currently, KCD does not charge clients any firm-related expenses.</w:t>
      </w:r>
    </w:p>
    <w:p>
      <w:pPr>
        <w:pStyle w:val="normal0"/>
        <w:spacing w:before="200" w:after="200"/>
        <w:rPr>
          <w:rFonts w:eastAsia="Arial" w:cs="Arial"/>
          <w:sz w:val="20"/>
          <w:szCs w:val="20"/>
        </w:rPr>
      </w:pPr>
      <w:r>
        <w:rPr>
          <w:rFonts w:eastAsia="Arial" w:cs="Arial"/>
          <w:sz w:val="20"/>
          <w:szCs w:val="20"/>
        </w:rPr>
        <w:t>KCD may charge Firm expenses to clients only if:</w:t>
      </w:r>
    </w:p>
    <w:p>
      <w:pPr>
        <w:numPr>
          <w:ilvl w:val="0"/>
          <w:numId w:val="190"/>
        </w:numPr>
        <w:spacing w:before="200"/>
        <w:ind w:left="720" w:hanging="192"/>
        <w:jc w:val="left"/>
        <w:rPr>
          <w:rFonts w:eastAsia="Arial" w:cs="Arial"/>
          <w:sz w:val="20"/>
          <w:szCs w:val="20"/>
        </w:rPr>
      </w:pPr>
      <w:r>
        <w:rPr>
          <w:rFonts w:eastAsia="Arial" w:cs="Arial"/>
          <w:sz w:val="20"/>
          <w:szCs w:val="20"/>
        </w:rPr>
        <w:t>the type and amount of expenses to be charged to clients are appropriate for such clients;</w:t>
      </w:r>
    </w:p>
    <w:p>
      <w:pPr>
        <w:numPr>
          <w:ilvl w:val="0"/>
          <w:numId w:val="190"/>
        </w:numPr>
        <w:ind w:left="720" w:hanging="192"/>
        <w:jc w:val="left"/>
        <w:rPr>
          <w:rFonts w:eastAsia="Arial" w:cs="Arial"/>
          <w:sz w:val="20"/>
          <w:szCs w:val="20"/>
        </w:rPr>
      </w:pPr>
      <w:r>
        <w:rPr>
          <w:rFonts w:eastAsia="Arial" w:cs="Arial"/>
          <w:sz w:val="20"/>
          <w:szCs w:val="20"/>
        </w:rPr>
        <w:t>the type of expenses are not for costs or services necessary for KCD to provide advisory services for which KCD already earns an investment management fee to cover;</w:t>
      </w:r>
    </w:p>
    <w:p>
      <w:pPr>
        <w:numPr>
          <w:ilvl w:val="0"/>
          <w:numId w:val="190"/>
        </w:numPr>
        <w:ind w:left="720" w:hanging="192"/>
        <w:jc w:val="left"/>
        <w:rPr>
          <w:rFonts w:eastAsia="Arial" w:cs="Arial"/>
          <w:sz w:val="20"/>
          <w:szCs w:val="20"/>
        </w:rPr>
      </w:pPr>
      <w:r>
        <w:rPr>
          <w:rFonts w:eastAsia="Arial" w:cs="Arial"/>
          <w:sz w:val="20"/>
          <w:szCs w:val="20"/>
        </w:rPr>
        <w:t>the investment advisory agreement between KCD and each client contains a provision identifying the type of expenses to be paid by the client;</w:t>
      </w:r>
    </w:p>
    <w:p>
      <w:pPr>
        <w:numPr>
          <w:ilvl w:val="0"/>
          <w:numId w:val="190"/>
        </w:numPr>
        <w:ind w:left="720" w:hanging="192"/>
        <w:jc w:val="left"/>
        <w:rPr>
          <w:rFonts w:eastAsia="Arial" w:cs="Arial"/>
          <w:sz w:val="20"/>
          <w:szCs w:val="20"/>
        </w:rPr>
      </w:pPr>
      <w:r>
        <w:rPr>
          <w:rFonts w:eastAsia="Arial" w:cs="Arial"/>
          <w:sz w:val="20"/>
          <w:szCs w:val="20"/>
        </w:rPr>
        <w:t>KCD makes full, clear and accurate disclosures in the Part 2A of its Form ADV regarding its expense practices;</w:t>
      </w:r>
    </w:p>
    <w:p>
      <w:pPr>
        <w:numPr>
          <w:ilvl w:val="0"/>
          <w:numId w:val="190"/>
        </w:numPr>
        <w:ind w:left="720" w:hanging="192"/>
        <w:jc w:val="left"/>
        <w:rPr>
          <w:rFonts w:eastAsia="Arial" w:cs="Arial"/>
          <w:sz w:val="20"/>
          <w:szCs w:val="20"/>
        </w:rPr>
      </w:pPr>
      <w:r>
        <w:rPr>
          <w:rFonts w:eastAsia="Arial" w:cs="Arial"/>
          <w:sz w:val="20"/>
          <w:szCs w:val="20"/>
        </w:rPr>
        <w:t>the conflicts of interest associated with such expense practices have been identified and addressed;</w:t>
      </w:r>
    </w:p>
    <w:p>
      <w:pPr>
        <w:numPr>
          <w:ilvl w:val="0"/>
          <w:numId w:val="190"/>
        </w:numPr>
        <w:ind w:left="720" w:hanging="192"/>
        <w:jc w:val="left"/>
        <w:rPr>
          <w:rFonts w:eastAsia="Arial" w:cs="Arial"/>
          <w:sz w:val="20"/>
          <w:szCs w:val="20"/>
        </w:rPr>
      </w:pPr>
      <w:r>
        <w:rPr>
          <w:rFonts w:eastAsia="Arial" w:cs="Arial"/>
          <w:sz w:val="20"/>
          <w:szCs w:val="20"/>
        </w:rPr>
        <w:t>such expenses are allocated fairly across clients (</w:t>
      </w:r>
      <w:r>
        <w:rPr>
          <w:rStyle w:val="Emphasis"/>
          <w:rFonts w:eastAsia="Arial" w:cs="Arial"/>
          <w:i/>
          <w:iCs/>
          <w:sz w:val="20"/>
          <w:szCs w:val="20"/>
        </w:rPr>
        <w:t>e.g.,</w:t>
      </w:r>
      <w:r>
        <w:rPr>
          <w:rFonts w:eastAsia="Arial" w:cs="Arial"/>
          <w:sz w:val="20"/>
          <w:szCs w:val="20"/>
        </w:rPr>
        <w:t xml:space="preserve"> pro rata based on each client's assets under management with KCD);</w:t>
      </w:r>
    </w:p>
    <w:p>
      <w:pPr>
        <w:numPr>
          <w:ilvl w:val="0"/>
          <w:numId w:val="190"/>
        </w:numPr>
        <w:ind w:left="720" w:hanging="192"/>
        <w:jc w:val="left"/>
        <w:rPr>
          <w:rFonts w:eastAsia="Arial" w:cs="Arial"/>
          <w:sz w:val="20"/>
          <w:szCs w:val="20"/>
        </w:rPr>
      </w:pPr>
      <w:r>
        <w:rPr>
          <w:rFonts w:eastAsia="Arial" w:cs="Arial"/>
          <w:sz w:val="20"/>
          <w:szCs w:val="20"/>
        </w:rPr>
        <w:t>if certain expenses are not allocated to all clients pro rata based on each client's assets under management with KCD, those expenses not allocated to particular clients will be borne by KCD and under no circumstances borne by the other clients; and</w:t>
      </w:r>
    </w:p>
    <w:p>
      <w:pPr>
        <w:numPr>
          <w:ilvl w:val="0"/>
          <w:numId w:val="190"/>
        </w:numPr>
        <w:spacing w:after="200"/>
        <w:ind w:left="720" w:hanging="192"/>
        <w:jc w:val="left"/>
        <w:rPr>
          <w:rFonts w:eastAsia="Arial" w:cs="Arial"/>
          <w:sz w:val="20"/>
          <w:szCs w:val="20"/>
        </w:rPr>
      </w:pPr>
      <w:r>
        <w:rPr>
          <w:rFonts w:eastAsia="Arial" w:cs="Arial"/>
          <w:sz w:val="20"/>
          <w:szCs w:val="20"/>
        </w:rPr>
        <w:t>KCD ensures that its expense practices are consistent with disclosure about such practices and investment advisory agreement contractual provisions governing such practices.</w:t>
      </w:r>
    </w:p>
    <w:p>
      <w:bookmarkEnd w:id="201"/>
      <w:bookmarkStart w:id="203" w:name="Sec_Chp_061016102249093_0610161435436436"/>
    </w:p>
    <w:p>
      <w:pPr>
        <w:pStyle w:val="Heading3"/>
      </w:pPr>
      <w:bookmarkStart w:id="204" w:name="_Toc256000060"/>
      <w:r>
        <w:t>4.3.6 Assignments</w:t>
      </w:r>
      <w:bookmarkEnd w:id="204"/>
    </w:p>
    <w:p/>
    <w:p>
      <w:pPr>
        <w:rPr>
          <w:rFonts w:eastAsia="Arial" w:cs="Arial"/>
          <w:sz w:val="16"/>
          <w:szCs w:val="16"/>
        </w:rPr>
      </w:pPr>
      <w:r>
        <w:rPr>
          <w:rFonts w:eastAsia="Arial" w:cs="Arial"/>
          <w:sz w:val="16"/>
          <w:szCs w:val="16"/>
        </w:rPr>
        <w:t>[Advisers Act Section 205(a)(2)]</w:t>
      </w:r>
    </w:p>
    <w:p/>
    <w:p>
      <w:pPr>
        <w:pStyle w:val="normal0"/>
        <w:spacing w:after="200"/>
        <w:rPr>
          <w:rFonts w:eastAsia="Arial" w:cs="Arial"/>
          <w:sz w:val="20"/>
          <w:szCs w:val="20"/>
        </w:rPr>
      </w:pPr>
      <w:r>
        <w:rPr>
          <w:rFonts w:eastAsia="Arial" w:cs="Arial"/>
          <w:sz w:val="20"/>
          <w:szCs w:val="20"/>
        </w:rPr>
        <w:t>KCD will not assign an investment advisory contract of any client without complying with the following procedures. KCD or its owners may inadvertently assign client advisory contracts by engaging in certain transactions, including selling KCD or a significant ownership interest in KCD.</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An "assignment" is any direct or indirect transfer or hypothecation of an investment advisory contract by the assignor or of a controlling block of the assignor's outstanding voting securities by a security holder of the assignor. "Control" is: (1) the power to exercise a controlling influence over the management or policies of a company, unless such power is solely the result of an official position with such company; and (2) a change of 25% or more of the company's stock or partnership interest (unless facts rebuts that such shift of 25% ownership interest constitutes a change of control).</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shall consult with outside counsel prior to definitively concluding whether an assignment of an advisory contract or contracts will or have occurred. Certain mergers or reorganizations may not trigger an assignment of an advisory contract.</w:t>
      </w:r>
    </w:p>
    <w:p>
      <w:pPr>
        <w:pStyle w:val="normal0"/>
        <w:spacing w:before="200" w:after="200"/>
        <w:rPr>
          <w:rFonts w:eastAsia="Arial" w:cs="Arial"/>
          <w:sz w:val="20"/>
          <w:szCs w:val="20"/>
        </w:rPr>
      </w:pPr>
      <w:r>
        <w:rPr>
          <w:rFonts w:eastAsia="Arial" w:cs="Arial"/>
          <w:sz w:val="20"/>
          <w:szCs w:val="20"/>
        </w:rPr>
        <w:t>If an assignment has occurred resulting in the termination of advisory contract(s), KCD shall:</w:t>
      </w:r>
    </w:p>
    <w:p>
      <w:pPr>
        <w:numPr>
          <w:ilvl w:val="0"/>
          <w:numId w:val="191"/>
        </w:numPr>
        <w:spacing w:before="200"/>
        <w:ind w:left="720" w:hanging="192"/>
        <w:jc w:val="left"/>
        <w:rPr>
          <w:rFonts w:eastAsia="Arial" w:cs="Arial"/>
          <w:sz w:val="20"/>
          <w:szCs w:val="20"/>
        </w:rPr>
      </w:pPr>
      <w:r>
        <w:rPr>
          <w:rFonts w:eastAsia="Arial" w:cs="Arial"/>
          <w:sz w:val="20"/>
          <w:szCs w:val="20"/>
        </w:rPr>
        <w:t>Enter into new advisory contracts with the applicable clients; or</w:t>
      </w:r>
    </w:p>
    <w:p>
      <w:pPr>
        <w:numPr>
          <w:ilvl w:val="0"/>
          <w:numId w:val="191"/>
        </w:numPr>
        <w:spacing w:after="200"/>
        <w:ind w:left="720" w:hanging="192"/>
        <w:jc w:val="left"/>
        <w:rPr>
          <w:rFonts w:eastAsia="Arial" w:cs="Arial"/>
          <w:sz w:val="20"/>
          <w:szCs w:val="20"/>
        </w:rPr>
      </w:pPr>
      <w:r>
        <w:rPr>
          <w:rFonts w:eastAsia="Arial" w:cs="Arial"/>
          <w:sz w:val="20"/>
          <w:szCs w:val="20"/>
        </w:rPr>
        <w:t>Obtain consent from applicable clients to the new advisory contracts in a manner consistent with law and applicable SEC positions.</w:t>
      </w:r>
    </w:p>
    <w:p>
      <w:pPr>
        <w:pStyle w:val="normal0"/>
        <w:spacing w:before="200" w:after="200"/>
        <w:rPr>
          <w:rFonts w:eastAsia="Arial" w:cs="Arial"/>
          <w:sz w:val="20"/>
          <w:szCs w:val="20"/>
        </w:rPr>
      </w:pPr>
      <w:r>
        <w:rPr>
          <w:rFonts w:eastAsia="Arial" w:cs="Arial"/>
          <w:sz w:val="20"/>
          <w:szCs w:val="20"/>
        </w:rPr>
        <w:t>KCD shall consult with outside counsel prior to taking action with respect to any assigned advisory contract.</w:t>
      </w:r>
    </w:p>
    <w:p>
      <w:bookmarkEnd w:id="203"/>
    </w:p>
    <w:p>
      <w:pPr>
        <w:pStyle w:val="Heading3"/>
      </w:pPr>
      <w:bookmarkStart w:id="205" w:name="_Toc256000061"/>
      <w:r>
        <w:t>4.3.7 Contract Provisions</w:t>
      </w:r>
      <w:bookmarkEnd w:id="205"/>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KCD will review each client advisory contract or a random sample of advisory contracts to ensure that KCD has complied and continues to be in compliance with each of the provisions of the advisory contracts. Where possible, KCD shall attempt to have each client advisory contract contain the same provisions to facilitate compliance and the goal of treating each client the same.</w:t>
      </w:r>
    </w:p>
    <w:p>
      <w:pPr>
        <w:pStyle w:val="normal0"/>
        <w:spacing w:before="200" w:after="200"/>
        <w:rPr>
          <w:rFonts w:eastAsia="Arial" w:cs="Arial"/>
          <w:sz w:val="20"/>
          <w:szCs w:val="20"/>
        </w:rPr>
      </w:pPr>
      <w:r>
        <w:rPr>
          <w:rFonts w:eastAsia="Arial" w:cs="Arial"/>
          <w:sz w:val="20"/>
          <w:szCs w:val="20"/>
        </w:rPr>
        <w:t>If KCD uses a standard advisory contract, KCD shall maintain a list of advisory client contracts that contain provisions that materially differ from KCD's standard advisory contract provisions and what those provisions are. Periodically, KCD will review each such provision for compliance with special emphasis on reviewing contracts that contain fee provisions that deviate from KCD's standard fee schedule.</w:t>
      </w:r>
    </w:p>
    <w:p>
      <w:bookmarkStart w:id="206" w:name="Sec_Chp_061016102249093_0610161435436437"/>
    </w:p>
    <w:p>
      <w:pPr>
        <w:pStyle w:val="Heading3"/>
      </w:pPr>
      <w:bookmarkStart w:id="207" w:name="_Toc256000062"/>
      <w:r>
        <w:t>4.3.8 Advisory Fee Billing</w:t>
      </w:r>
      <w:bookmarkEnd w:id="207"/>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verify the advisory fee it charges clients by:</w:t>
      </w:r>
    </w:p>
    <w:p>
      <w:pPr>
        <w:numPr>
          <w:ilvl w:val="0"/>
          <w:numId w:val="192"/>
        </w:numPr>
        <w:spacing w:before="200"/>
        <w:ind w:left="720" w:hanging="192"/>
        <w:jc w:val="left"/>
        <w:rPr>
          <w:rFonts w:eastAsia="Arial" w:cs="Arial"/>
          <w:sz w:val="20"/>
          <w:szCs w:val="20"/>
        </w:rPr>
      </w:pPr>
      <w:r>
        <w:rPr>
          <w:rFonts w:eastAsia="Arial" w:cs="Arial"/>
          <w:sz w:val="20"/>
          <w:szCs w:val="20"/>
        </w:rPr>
        <w:t>Sampling a statistically relevant number of client accounts previously billed to ensure that fees charged match with fees disclosed in the client advisory agreements and KCD's Form ADV;</w:t>
      </w:r>
    </w:p>
    <w:p>
      <w:pPr>
        <w:numPr>
          <w:ilvl w:val="0"/>
          <w:numId w:val="192"/>
        </w:numPr>
        <w:ind w:left="720" w:hanging="192"/>
        <w:jc w:val="left"/>
        <w:rPr>
          <w:rFonts w:eastAsia="Arial" w:cs="Arial"/>
          <w:sz w:val="20"/>
          <w:szCs w:val="20"/>
        </w:rPr>
      </w:pPr>
      <w:r>
        <w:rPr>
          <w:rFonts w:eastAsia="Arial" w:cs="Arial"/>
          <w:sz w:val="20"/>
          <w:szCs w:val="20"/>
        </w:rPr>
        <w:t>Ensuring that the timing of the billing period is consistent with what is disclosed in the client advisory agreements and KCD's Form ADV (</w:t>
      </w:r>
      <w:r>
        <w:rPr>
          <w:rStyle w:val="Emphasis"/>
          <w:rFonts w:eastAsia="Arial" w:cs="Arial"/>
          <w:i/>
          <w:iCs/>
          <w:sz w:val="20"/>
          <w:szCs w:val="20"/>
        </w:rPr>
        <w:t>e.g.,</w:t>
      </w:r>
      <w:r>
        <w:rPr>
          <w:rFonts w:eastAsia="Arial" w:cs="Arial"/>
          <w:sz w:val="20"/>
          <w:szCs w:val="20"/>
        </w:rPr>
        <w:t xml:space="preserve"> monthly or quarterly);</w:t>
      </w:r>
    </w:p>
    <w:p>
      <w:pPr>
        <w:numPr>
          <w:ilvl w:val="0"/>
          <w:numId w:val="192"/>
        </w:numPr>
        <w:ind w:left="720" w:hanging="192"/>
        <w:jc w:val="left"/>
        <w:rPr>
          <w:rFonts w:eastAsia="Arial" w:cs="Arial"/>
          <w:sz w:val="20"/>
          <w:szCs w:val="20"/>
        </w:rPr>
      </w:pPr>
      <w:r>
        <w:rPr>
          <w:rFonts w:eastAsia="Arial" w:cs="Arial"/>
          <w:sz w:val="20"/>
          <w:szCs w:val="20"/>
        </w:rPr>
        <w:t>Verifying whether clients are either being billed in advance or arrears, whichever way as stated in the client's advisory agreements and KCD's Form ADV;</w:t>
      </w:r>
    </w:p>
    <w:p>
      <w:pPr>
        <w:numPr>
          <w:ilvl w:val="0"/>
          <w:numId w:val="192"/>
        </w:numPr>
        <w:ind w:left="720" w:hanging="192"/>
        <w:jc w:val="left"/>
        <w:rPr>
          <w:rFonts w:eastAsia="Arial" w:cs="Arial"/>
          <w:sz w:val="20"/>
          <w:szCs w:val="20"/>
        </w:rPr>
      </w:pPr>
      <w:r>
        <w:rPr>
          <w:rFonts w:eastAsia="Arial" w:cs="Arial"/>
          <w:sz w:val="20"/>
          <w:szCs w:val="20"/>
        </w:rPr>
        <w:t>If KCD bills in advance, verifying that the bill for a client terminating his or her advisory contract with KCD for the final month was pro-rated for the number of days in that month he or she was a client;</w:t>
      </w:r>
    </w:p>
    <w:p>
      <w:pPr>
        <w:numPr>
          <w:ilvl w:val="0"/>
          <w:numId w:val="192"/>
        </w:numPr>
        <w:ind w:left="720" w:hanging="192"/>
        <w:jc w:val="left"/>
        <w:rPr>
          <w:rFonts w:eastAsia="Arial" w:cs="Arial"/>
          <w:sz w:val="20"/>
          <w:szCs w:val="20"/>
        </w:rPr>
      </w:pPr>
      <w:r>
        <w:rPr>
          <w:rFonts w:eastAsia="Arial" w:cs="Arial"/>
          <w:sz w:val="20"/>
          <w:szCs w:val="20"/>
        </w:rPr>
        <w:t>For new clients added mid-billing cycle, verifying that the new client's bill was pro-rated to only include those days in the month that he or she was a client;</w:t>
      </w:r>
    </w:p>
    <w:p>
      <w:pPr>
        <w:numPr>
          <w:ilvl w:val="0"/>
          <w:numId w:val="192"/>
        </w:numPr>
        <w:ind w:left="720" w:hanging="192"/>
        <w:jc w:val="left"/>
        <w:rPr>
          <w:rFonts w:eastAsia="Arial" w:cs="Arial"/>
          <w:sz w:val="20"/>
          <w:szCs w:val="20"/>
        </w:rPr>
      </w:pPr>
      <w:r>
        <w:rPr>
          <w:rFonts w:eastAsia="Arial" w:cs="Arial"/>
          <w:sz w:val="20"/>
          <w:szCs w:val="20"/>
        </w:rPr>
        <w:t>Verifying that no client was charged an advisory fee higher than what was agreed upon as reflected in the client's advisory agreement with KCD;</w:t>
      </w:r>
    </w:p>
    <w:p>
      <w:pPr>
        <w:numPr>
          <w:ilvl w:val="0"/>
          <w:numId w:val="192"/>
        </w:numPr>
        <w:ind w:left="720" w:hanging="192"/>
        <w:jc w:val="left"/>
        <w:rPr>
          <w:rFonts w:eastAsia="Arial" w:cs="Arial"/>
          <w:sz w:val="20"/>
          <w:szCs w:val="20"/>
        </w:rPr>
      </w:pPr>
      <w:r>
        <w:rPr>
          <w:rFonts w:eastAsia="Arial" w:cs="Arial"/>
          <w:sz w:val="20"/>
          <w:szCs w:val="20"/>
        </w:rPr>
        <w:t>Ensuring that any discount arrangements were properly factored into the amount of the client's bill (</w:t>
      </w:r>
      <w:r>
        <w:rPr>
          <w:rStyle w:val="Emphasis"/>
          <w:rFonts w:eastAsia="Arial" w:cs="Arial"/>
          <w:i/>
          <w:iCs/>
          <w:sz w:val="20"/>
          <w:szCs w:val="20"/>
        </w:rPr>
        <w:t>e.g.,</w:t>
      </w:r>
      <w:r>
        <w:rPr>
          <w:rFonts w:eastAsia="Arial" w:cs="Arial"/>
          <w:sz w:val="20"/>
          <w:szCs w:val="20"/>
        </w:rPr>
        <w:t xml:space="preserve"> a discount arrangement related to the aggregate assets under management in a household);</w:t>
      </w:r>
    </w:p>
    <w:p>
      <w:pPr>
        <w:numPr>
          <w:ilvl w:val="0"/>
          <w:numId w:val="192"/>
        </w:numPr>
        <w:ind w:left="720" w:hanging="192"/>
        <w:jc w:val="left"/>
        <w:rPr>
          <w:rFonts w:eastAsia="Arial" w:cs="Arial"/>
          <w:sz w:val="20"/>
          <w:szCs w:val="20"/>
        </w:rPr>
      </w:pPr>
      <w:r>
        <w:rPr>
          <w:rFonts w:eastAsia="Arial" w:cs="Arial"/>
          <w:sz w:val="20"/>
          <w:szCs w:val="20"/>
        </w:rPr>
        <w:t>If a tiered or breakpoint fee structure based on assets under management of the client or clients and immediate family or other related accounts is in place, verifying the correct amounts are charged taking into account the growth or reduction of the client's and all other relevant accounts' assets under management, and;</w:t>
      </w:r>
    </w:p>
    <w:p>
      <w:pPr>
        <w:numPr>
          <w:ilvl w:val="0"/>
          <w:numId w:val="192"/>
        </w:numPr>
        <w:spacing w:after="200"/>
        <w:ind w:left="720" w:hanging="192"/>
        <w:jc w:val="left"/>
        <w:rPr>
          <w:rFonts w:eastAsia="Arial" w:cs="Arial"/>
          <w:sz w:val="20"/>
          <w:szCs w:val="20"/>
        </w:rPr>
      </w:pPr>
      <w:r>
        <w:rPr>
          <w:rFonts w:eastAsia="Arial" w:cs="Arial"/>
          <w:sz w:val="20"/>
          <w:szCs w:val="20"/>
        </w:rPr>
        <w:t>Reviewing unique billing arrangements that vary from KCD's standard fee arrangements to verify KCD's bills for such arrangements are correct;</w:t>
      </w:r>
    </w:p>
    <w:p>
      <w:bookmarkEnd w:id="206"/>
      <w:bookmarkStart w:id="208" w:name="Sec_Chp_061016102249093_061016102249843"/>
    </w:p>
    <w:p>
      <w:pPr>
        <w:pStyle w:val="Heading2"/>
      </w:pPr>
      <w:bookmarkStart w:id="209" w:name="_Toc256000063"/>
      <w:r>
        <w:t>4.4 Form ADV Disclosure</w:t>
      </w:r>
      <w:bookmarkEnd w:id="209"/>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recognizes that a client who is fully aware of the method and amount of its compensation is in the best position to make an informed decision regarding whether to retain KCD for advisory services. As required by Part 2A of Form ADV, KCD will include a schedule of its fees and how such fees are calculated in the Firm's Brochure. KCD will also disclose any other direct or indirect compensation that it or any of its employees earn in connection with providing advisory services to a client (</w:t>
      </w:r>
      <w:r>
        <w:rPr>
          <w:rStyle w:val="Emphasis"/>
          <w:rFonts w:eastAsia="Arial" w:cs="Arial"/>
          <w:i/>
          <w:iCs/>
          <w:sz w:val="20"/>
          <w:szCs w:val="20"/>
        </w:rPr>
        <w:t>e.g.,</w:t>
      </w:r>
      <w:r>
        <w:rPr>
          <w:rFonts w:eastAsia="Arial" w:cs="Arial"/>
          <w:sz w:val="20"/>
          <w:szCs w:val="20"/>
        </w:rPr>
        <w:t xml:space="preserve"> collected expenses from a client for third-party execution and clearing services that exceeded the actual fee charged for those services by the outside clearing broker and 12b-1 fees). The types of expenses incurred in the provision of advisory services assumed by the adviser and those expenses allocated to the client will be disclosed in KCD's Brochure.</w:t>
      </w:r>
    </w:p>
    <w:p>
      <w:pPr>
        <w:pStyle w:val="normal0"/>
        <w:spacing w:before="200" w:after="200"/>
        <w:rPr>
          <w:rFonts w:eastAsia="Arial" w:cs="Arial"/>
          <w:sz w:val="20"/>
          <w:szCs w:val="20"/>
        </w:rPr>
      </w:pPr>
      <w:r>
        <w:rPr>
          <w:rFonts w:eastAsia="Arial" w:cs="Arial"/>
          <w:sz w:val="20"/>
          <w:szCs w:val="20"/>
        </w:rPr>
        <w:t>If KCD charges a performance fee, it shall disclose in its Brochure (Part 2A):</w:t>
      </w:r>
    </w:p>
    <w:p>
      <w:pPr>
        <w:numPr>
          <w:ilvl w:val="0"/>
          <w:numId w:val="193"/>
        </w:numPr>
        <w:spacing w:before="200"/>
        <w:ind w:left="720" w:hanging="192"/>
        <w:jc w:val="left"/>
        <w:rPr>
          <w:rFonts w:eastAsia="Arial" w:cs="Arial"/>
          <w:sz w:val="20"/>
          <w:szCs w:val="20"/>
        </w:rPr>
      </w:pPr>
      <w:r>
        <w:rPr>
          <w:rFonts w:eastAsia="Arial" w:cs="Arial"/>
          <w:sz w:val="20"/>
          <w:szCs w:val="20"/>
        </w:rPr>
        <w:t>The performance fee arrangement may create an incentive for KCD to make more risky or speculative investments than would be made under an ordinary fee arrangement;</w:t>
      </w:r>
    </w:p>
    <w:p>
      <w:pPr>
        <w:numPr>
          <w:ilvl w:val="0"/>
          <w:numId w:val="193"/>
        </w:numPr>
        <w:ind w:left="720" w:hanging="192"/>
        <w:jc w:val="left"/>
        <w:rPr>
          <w:rFonts w:eastAsia="Arial" w:cs="Arial"/>
          <w:sz w:val="20"/>
          <w:szCs w:val="20"/>
        </w:rPr>
      </w:pPr>
      <w:r>
        <w:rPr>
          <w:rFonts w:eastAsia="Arial" w:cs="Arial"/>
          <w:sz w:val="20"/>
          <w:szCs w:val="20"/>
        </w:rPr>
        <w:t>The periods that will be used to measure investment performance, including how the selection of such periods may influence the computation of the fee;</w:t>
      </w:r>
    </w:p>
    <w:p>
      <w:pPr>
        <w:numPr>
          <w:ilvl w:val="0"/>
          <w:numId w:val="193"/>
        </w:numPr>
        <w:ind w:left="720" w:hanging="192"/>
        <w:jc w:val="left"/>
        <w:rPr>
          <w:rFonts w:eastAsia="Arial" w:cs="Arial"/>
          <w:sz w:val="20"/>
          <w:szCs w:val="20"/>
        </w:rPr>
      </w:pPr>
      <w:r>
        <w:rPr>
          <w:rFonts w:eastAsia="Arial" w:cs="Arial"/>
          <w:sz w:val="20"/>
          <w:szCs w:val="20"/>
        </w:rPr>
        <w:t>The nature of any index that may be used to measure the performance and any material differences between the objective of the index and KCD's investment objective; and</w:t>
      </w:r>
    </w:p>
    <w:p>
      <w:pPr>
        <w:numPr>
          <w:ilvl w:val="0"/>
          <w:numId w:val="193"/>
        </w:numPr>
        <w:spacing w:after="200"/>
        <w:ind w:left="720" w:hanging="192"/>
        <w:jc w:val="left"/>
        <w:rPr>
          <w:rFonts w:eastAsia="Arial" w:cs="Arial"/>
          <w:sz w:val="20"/>
          <w:szCs w:val="20"/>
        </w:rPr>
      </w:pPr>
      <w:r>
        <w:rPr>
          <w:rFonts w:eastAsia="Arial" w:cs="Arial"/>
          <w:sz w:val="20"/>
          <w:szCs w:val="20"/>
        </w:rPr>
        <w:t>Any conflicts of interest that arise when KCD values illiquid securities in a client's portfolio that is subject to the performance fee.</w:t>
      </w:r>
    </w:p>
    <w:p>
      <w:pPr>
        <w:pStyle w:val="normal0"/>
        <w:spacing w:before="200" w:after="200"/>
        <w:rPr>
          <w:rFonts w:eastAsia="Arial" w:cs="Arial"/>
          <w:sz w:val="20"/>
          <w:szCs w:val="20"/>
        </w:rPr>
      </w:pPr>
      <w:r>
        <w:rPr>
          <w:rFonts w:eastAsia="Arial" w:cs="Arial"/>
          <w:sz w:val="20"/>
          <w:szCs w:val="20"/>
        </w:rPr>
        <w:t>Periodically, KCD will verify that it has not charged advisory or other fees inconsistent with its fee disclosure including, for example, charging a fee exceeding the disclosed maximum fee.</w:t>
      </w:r>
    </w:p>
    <w:p>
      <w:bookmarkEnd w:id="208"/>
      <w:bookmarkStart w:id="210" w:name="Sec_Chp_061016102249093_061016102249859"/>
    </w:p>
    <w:p>
      <w:pPr>
        <w:pStyle w:val="Heading2"/>
      </w:pPr>
      <w:bookmarkStart w:id="211" w:name="_Toc256000064"/>
      <w:r>
        <w:t>4.5 Books and Records</w:t>
      </w:r>
      <w:bookmarkEnd w:id="211"/>
    </w:p>
    <w:p/>
    <w:p>
      <w:pPr>
        <w:rPr>
          <w:rFonts w:eastAsia="Arial" w:cs="Arial"/>
          <w:sz w:val="16"/>
          <w:szCs w:val="16"/>
        </w:rPr>
      </w:pPr>
      <w:r>
        <w:rPr>
          <w:rFonts w:eastAsia="Arial" w:cs="Arial"/>
          <w:sz w:val="16"/>
          <w:szCs w:val="16"/>
        </w:rPr>
        <w:t>[Investment Advisers Act of 1940 Rule 204-2(a)(10)]</w:t>
      </w:r>
    </w:p>
    <w:p/>
    <w:p>
      <w:pPr>
        <w:pStyle w:val="normal0"/>
        <w:spacing w:after="200"/>
        <w:rPr>
          <w:rFonts w:eastAsia="Arial" w:cs="Arial"/>
          <w:sz w:val="20"/>
          <w:szCs w:val="20"/>
        </w:rPr>
      </w:pPr>
      <w:r>
        <w:rPr>
          <w:rFonts w:eastAsia="Arial" w:cs="Arial"/>
          <w:sz w:val="20"/>
          <w:szCs w:val="20"/>
        </w:rPr>
        <w:t>KCD shall file an original of each executed Investment Advisory Contract in its books and records (Rule 204-2(a)(10)). KCD also shall maintain, in its books and records, documents indicating that clients received bills, calculations of fees, and other information regarding KCD's advisory fee.</w:t>
      </w:r>
    </w:p>
    <w:p>
      <w:pPr>
        <w:rPr>
          <w:rFonts w:ascii="Times New Roman" w:eastAsia="Times New Roman" w:hAnsi="Times New Roman" w:cs="Times New Roman"/>
          <w:sz w:val="24"/>
        </w:rPr>
      </w:pPr>
      <w:bookmarkEnd w:id="210"/>
    </w:p>
    <w:p>
      <w:r>
        <w:rPr>
          <w:rFonts w:ascii="Times New Roman" w:eastAsia="Times New Roman" w:hAnsi="Times New Roman" w:cs="Times New Roman"/>
          <w:sz w:val="24"/>
        </w:rPr>
        <w:br w:type="page"/>
      </w:r>
    </w:p>
    <w:p>
      <w:pPr>
        <w:pStyle w:val="Heading1"/>
      </w:pPr>
      <w:bookmarkStart w:id="212" w:name="_Toc256000065"/>
      <w:r>
        <w:t>5 INVESTMENT MANAGEMENT</w:t>
      </w:r>
      <w:bookmarkEnd w:id="212"/>
    </w:p>
    <w:p>
      <w:bookmarkStart w:id="213" w:name="Sec_Chp_061016102250093_061016102250140"/>
    </w:p>
    <w:p>
      <w:pPr>
        <w:pStyle w:val="Heading2"/>
      </w:pPr>
      <w:bookmarkStart w:id="214" w:name="_Toc256000066"/>
      <w:r>
        <w:t>Introduction</w:t>
      </w:r>
      <w:bookmarkEnd w:id="214"/>
    </w:p>
    <w:p/>
    <w:p>
      <w:pPr>
        <w:rPr>
          <w:rFonts w:eastAsia="Arial" w:cs="Arial"/>
          <w:sz w:val="16"/>
          <w:szCs w:val="16"/>
        </w:rPr>
      </w:pPr>
      <w:r>
        <w:rPr>
          <w:rFonts w:eastAsia="Arial" w:cs="Arial"/>
          <w:sz w:val="16"/>
          <w:szCs w:val="16"/>
        </w:rPr>
        <w:t>[Investment Company Act of 1940 Rule 3a-4; Investment Advisers Act of 1940 Rule 206(4)-6; ERISA]</w:t>
      </w:r>
    </w:p>
    <w:p/>
    <w:p>
      <w:pPr>
        <w:pStyle w:val="normal0"/>
        <w:spacing w:after="200"/>
        <w:rPr>
          <w:rFonts w:eastAsia="Arial" w:cs="Arial"/>
          <w:sz w:val="20"/>
          <w:szCs w:val="20"/>
        </w:rPr>
      </w:pPr>
      <w:r>
        <w:rPr>
          <w:rFonts w:eastAsia="Arial" w:cs="Arial"/>
          <w:sz w:val="20"/>
          <w:szCs w:val="20"/>
        </w:rPr>
        <w:t xml:space="preserve">Investment advisers are fiduciaries that owe their clients a number of duties. </w:t>
      </w:r>
      <w:r>
        <w:rPr>
          <w:rFonts w:eastAsia="Arial" w:cs="Arial"/>
          <w:sz w:val="20"/>
          <w:szCs w:val="20"/>
          <w:u w:val="single"/>
        </w:rPr>
        <w:t>See SEC v. Capital Gains Research Bureau, Inc.</w:t>
      </w:r>
      <w:r>
        <w:rPr>
          <w:rFonts w:eastAsia="Arial" w:cs="Arial"/>
          <w:sz w:val="20"/>
          <w:szCs w:val="20"/>
        </w:rPr>
        <w:t>, 375 U.S. 180 (1963). In the view of the SEC, an investment adviser should continuously occupy an impartial and disinterested position with respect to the management of client accounts. In addition, an adviser may only recommend investments that are suitable to a client, based on the client's particular circumstances and needs. On June 5, 2019, the SEC adopted the "Commission Interpretation Regarding Standard of Conduct for Investment Advisers," which provides the standard of conduct for investment advisers under the Investment Advisers Act of 1940.</w:t>
      </w:r>
    </w:p>
    <w:p>
      <w:pPr>
        <w:pStyle w:val="normal0"/>
        <w:spacing w:before="200" w:after="200"/>
        <w:rPr>
          <w:rFonts w:eastAsia="Arial" w:cs="Arial"/>
          <w:sz w:val="20"/>
          <w:szCs w:val="20"/>
        </w:rPr>
      </w:pPr>
      <w:r>
        <w:rPr>
          <w:rFonts w:eastAsia="Arial" w:cs="Arial"/>
          <w:sz w:val="20"/>
          <w:szCs w:val="20"/>
        </w:rPr>
        <w:t>On a number of occasions, the SEC staff has reminded the investment advisory industry about the importance of properly investing clients' cash. An investment adviser can be found negligent or to have breached its fiduciary duty to a client if it causes the client to maintain excessive amounts of cash in his or her account.</w:t>
      </w:r>
    </w:p>
    <w:p>
      <w:pPr>
        <w:pStyle w:val="normal0"/>
        <w:spacing w:before="200" w:after="200"/>
        <w:rPr>
          <w:rFonts w:eastAsia="Arial" w:cs="Arial"/>
          <w:sz w:val="20"/>
          <w:szCs w:val="20"/>
        </w:rPr>
      </w:pPr>
      <w:r>
        <w:rPr>
          <w:rFonts w:eastAsia="Arial" w:cs="Arial"/>
          <w:sz w:val="20"/>
          <w:szCs w:val="20"/>
        </w:rPr>
        <w:t xml:space="preserve">Some investment advisers manage accounts of employee benefit plans, including: </w:t>
      </w:r>
    </w:p>
    <w:p>
      <w:pPr>
        <w:numPr>
          <w:ilvl w:val="0"/>
          <w:numId w:val="194"/>
        </w:numPr>
        <w:spacing w:before="200"/>
        <w:ind w:left="720" w:hanging="192"/>
        <w:jc w:val="left"/>
        <w:rPr>
          <w:rFonts w:eastAsia="Arial" w:cs="Arial"/>
          <w:sz w:val="20"/>
          <w:szCs w:val="20"/>
        </w:rPr>
      </w:pPr>
      <w:r>
        <w:rPr>
          <w:rFonts w:eastAsia="Arial" w:cs="Arial"/>
          <w:sz w:val="20"/>
          <w:szCs w:val="20"/>
        </w:rPr>
        <w:t xml:space="preserve">Pension plans; </w:t>
      </w:r>
    </w:p>
    <w:p>
      <w:pPr>
        <w:numPr>
          <w:ilvl w:val="0"/>
          <w:numId w:val="194"/>
        </w:numPr>
        <w:ind w:left="720" w:hanging="192"/>
        <w:jc w:val="left"/>
        <w:rPr>
          <w:rFonts w:eastAsia="Arial" w:cs="Arial"/>
          <w:sz w:val="20"/>
          <w:szCs w:val="20"/>
        </w:rPr>
      </w:pPr>
      <w:r>
        <w:rPr>
          <w:rFonts w:eastAsia="Arial" w:cs="Arial"/>
          <w:sz w:val="20"/>
          <w:szCs w:val="20"/>
        </w:rPr>
        <w:t xml:space="preserve">401(k) plans; </w:t>
      </w:r>
    </w:p>
    <w:p>
      <w:pPr>
        <w:numPr>
          <w:ilvl w:val="0"/>
          <w:numId w:val="194"/>
        </w:numPr>
        <w:ind w:left="720" w:hanging="192"/>
        <w:jc w:val="left"/>
        <w:rPr>
          <w:rFonts w:eastAsia="Arial" w:cs="Arial"/>
          <w:sz w:val="20"/>
          <w:szCs w:val="20"/>
        </w:rPr>
      </w:pPr>
      <w:r>
        <w:rPr>
          <w:rFonts w:eastAsia="Arial" w:cs="Arial"/>
          <w:sz w:val="20"/>
          <w:szCs w:val="20"/>
        </w:rPr>
        <w:t xml:space="preserve">Profit-sharing plans; and </w:t>
      </w:r>
    </w:p>
    <w:p>
      <w:pPr>
        <w:numPr>
          <w:ilvl w:val="0"/>
          <w:numId w:val="194"/>
        </w:numPr>
        <w:spacing w:after="200"/>
        <w:ind w:left="720" w:hanging="192"/>
        <w:jc w:val="left"/>
        <w:rPr>
          <w:rFonts w:eastAsia="Arial" w:cs="Arial"/>
          <w:sz w:val="20"/>
          <w:szCs w:val="20"/>
        </w:rPr>
      </w:pPr>
      <w:r>
        <w:rPr>
          <w:rFonts w:eastAsia="Arial" w:cs="Arial"/>
          <w:sz w:val="20"/>
          <w:szCs w:val="20"/>
        </w:rPr>
        <w:t xml:space="preserve">Welfare benefit plans. </w:t>
      </w:r>
    </w:p>
    <w:p>
      <w:pPr>
        <w:pStyle w:val="normal0"/>
        <w:spacing w:before="200" w:after="200"/>
        <w:rPr>
          <w:rFonts w:eastAsia="Arial" w:cs="Arial"/>
          <w:sz w:val="20"/>
          <w:szCs w:val="20"/>
        </w:rPr>
      </w:pPr>
      <w:r>
        <w:rPr>
          <w:rFonts w:eastAsia="Arial" w:cs="Arial"/>
          <w:sz w:val="20"/>
          <w:szCs w:val="20"/>
        </w:rPr>
        <w:t>ERISA protects participants in employee benefit plans, especially from unscrupulous acts by the plan's trustee, administrator or investment adviser. The U.S. Department of Labor administers and enforces ERISA. Managers of ERISA accounts are subject to a higher fiduciary duty than managers of ordinary accounts and must comply with a number of rules adopted by the Department of Labor under ERISA.</w:t>
      </w:r>
    </w:p>
    <w:p>
      <w:pPr>
        <w:pStyle w:val="normal0"/>
        <w:spacing w:before="200" w:after="200"/>
        <w:rPr>
          <w:rFonts w:eastAsia="Arial" w:cs="Arial"/>
          <w:sz w:val="20"/>
          <w:szCs w:val="20"/>
        </w:rPr>
      </w:pPr>
      <w:r>
        <w:rPr>
          <w:rFonts w:eastAsia="Arial" w:cs="Arial"/>
          <w:sz w:val="20"/>
          <w:szCs w:val="20"/>
        </w:rPr>
        <w:t xml:space="preserve">Valuation of client assets is a key part of investment management services. Advisory firms typically use market quotations to value client portfolio securities if market quotations are readily available. Otherwise, securities and assets in a client's portfolio are valued at their "fair value," which is determined in good faith by the advisory firm. </w:t>
      </w:r>
    </w:p>
    <w:p>
      <w:pPr>
        <w:pStyle w:val="normal0"/>
        <w:spacing w:before="200" w:after="200"/>
        <w:rPr>
          <w:rFonts w:eastAsia="Arial" w:cs="Arial"/>
          <w:sz w:val="20"/>
          <w:szCs w:val="20"/>
        </w:rPr>
      </w:pPr>
      <w:r>
        <w:rPr>
          <w:rFonts w:eastAsia="Arial" w:cs="Arial"/>
          <w:sz w:val="20"/>
          <w:szCs w:val="20"/>
        </w:rPr>
        <w:t xml:space="preserve">Rule 206(4)-6 under the Investment Advisers Act of 1940 and certain state laws require an investment adviser, if it exercises voting authority over client proxies, to adopt policies and procedures reasonably designed to ensure that the investment adviser votes proxies in the best interests of clients, to disclose to clients information about those policies and procedures, and to disclose to clients how they may obtain information on how the adviser has voted their proxies. </w:t>
      </w:r>
    </w:p>
    <w:p>
      <w:pPr>
        <w:pStyle w:val="normal0"/>
        <w:spacing w:before="200" w:after="200"/>
        <w:rPr>
          <w:rFonts w:eastAsia="Arial" w:cs="Arial"/>
          <w:sz w:val="20"/>
          <w:szCs w:val="20"/>
        </w:rPr>
      </w:pPr>
      <w:r>
        <w:rPr>
          <w:rFonts w:eastAsia="Arial" w:cs="Arial"/>
          <w:sz w:val="20"/>
          <w:szCs w:val="20"/>
        </w:rPr>
        <w:t xml:space="preserve">Investment advisers that manage a number of accounts in a similar manner must be concerned that they do not create an "inadvertent investment company." Rule 3a-4 under the Investment Company Act of 1940 exempts a group of separate accounts that consist of similar portfolio securities from the definition of investment company (and thus from registration as such with the SEC) if the conditions of the Rule are met. </w:t>
      </w:r>
    </w:p>
    <w:p>
      <w:bookmarkEnd w:id="213"/>
      <w:bookmarkStart w:id="215" w:name="Sec_Chp_061016102250093_061016102250156"/>
    </w:p>
    <w:p>
      <w:pPr>
        <w:pStyle w:val="Heading2"/>
      </w:pPr>
      <w:bookmarkStart w:id="216" w:name="_Toc256000067"/>
      <w:r>
        <w:t>5.1 Compliance Reference Chart</w:t>
      </w:r>
      <w:bookmarkEnd w:id="216"/>
    </w:p>
    <w:p/>
    <w:p>
      <w:pPr>
        <w:rPr>
          <w:rFonts w:eastAsia="Arial" w:cs="Arial"/>
          <w:sz w:val="16"/>
          <w:szCs w:val="16"/>
        </w:rPr>
      </w:pPr>
      <w:r>
        <w:rPr>
          <w:rFonts w:eastAsia="Arial" w:cs="Arial"/>
          <w:sz w:val="16"/>
          <w:szCs w:val="16"/>
        </w:rPr>
        <w:t>[Investment Company Act of 1940 Rule 3a-4; Investment Advisers Act of 1940 Rule 206(4)-6; Investment Advisers Act of 1940 Section 206; ERISA]</w:t>
      </w:r>
    </w:p>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19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Chief Compliance Officer </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19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Investments</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197"/>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a KCD Adviser Representative makes an investment recommendation</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19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 206 of the Investment Advisers Act of 1940</w:t>
            </w:r>
          </w:p>
          <w:p>
            <w:pPr>
              <w:numPr>
                <w:ilvl w:val="0"/>
                <w:numId w:val="19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206(4)-6 under the Investment Advisers Act of 1940</w:t>
            </w:r>
          </w:p>
          <w:p>
            <w:pPr>
              <w:numPr>
                <w:ilvl w:val="0"/>
                <w:numId w:val="19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3a-4 under the Investment Company Act of 1940</w:t>
            </w:r>
          </w:p>
          <w:p>
            <w:pPr>
              <w:numPr>
                <w:ilvl w:val="0"/>
                <w:numId w:val="19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ERISA</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19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 Research Related Records</w:t>
            </w:r>
          </w:p>
          <w:p>
            <w:pPr>
              <w:numPr>
                <w:ilvl w:val="0"/>
                <w:numId w:val="19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Proxy Voting Related Records</w:t>
            </w:r>
          </w:p>
          <w:p>
            <w:pPr>
              <w:numPr>
                <w:ilvl w:val="0"/>
                <w:numId w:val="19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Portfolio Security Valuation Related Records</w:t>
            </w:r>
          </w:p>
          <w:p>
            <w:pPr>
              <w:numPr>
                <w:ilvl w:val="0"/>
                <w:numId w:val="19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Discretionary Authority Records</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20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Investment Management Procedures annually.</w:t>
            </w:r>
          </w:p>
        </w:tc>
      </w:tr>
    </w:tbl>
    <w:p>
      <w:bookmarkEnd w:id="215"/>
      <w:bookmarkStart w:id="217" w:name="Sec_Chp_061016102250093_061016102250203"/>
    </w:p>
    <w:p>
      <w:pPr>
        <w:pStyle w:val="Heading2"/>
      </w:pPr>
      <w:bookmarkStart w:id="218" w:name="_Toc256000068"/>
      <w:r>
        <w:t>5.2 Policy</w:t>
      </w:r>
      <w:bookmarkEnd w:id="218"/>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recommend to a client the purchase or sale of a security only if KCD has reasonable grounds for believing that the recommendation is suitable for such client, to value client securities accurately, and to ensure that clients are aware of their right to vote proxies of securities held in their account, and where clients have delegated proxy voting to KCD, to vote such proxies in a manner that is consistent with the interests of the clients.</w:t>
      </w:r>
    </w:p>
    <w:p>
      <w:bookmarkEnd w:id="217"/>
      <w:bookmarkStart w:id="219" w:name="Sec_Chp_061016102250093_061016102250218"/>
    </w:p>
    <w:p>
      <w:pPr>
        <w:pStyle w:val="Heading2"/>
      </w:pPr>
      <w:bookmarkStart w:id="220" w:name="_Toc256000069"/>
      <w:r>
        <w:t>5.3 Procedures</w:t>
      </w:r>
      <w:bookmarkEnd w:id="220"/>
      <w:r>
        <w:t xml:space="preserve"> </w:t>
      </w:r>
    </w:p>
    <w:p/>
    <w:p>
      <w:pPr>
        <w:rPr>
          <w:rFonts w:eastAsia="Arial" w:cs="Arial"/>
          <w:sz w:val="16"/>
          <w:szCs w:val="16"/>
        </w:rPr>
      </w:pPr>
    </w:p>
    <w:p>
      <w:bookmarkEnd w:id="219"/>
      <w:bookmarkStart w:id="221" w:name="Sec_Chp_061016102250093_061016102250234"/>
    </w:p>
    <w:p>
      <w:pPr>
        <w:pStyle w:val="Heading3"/>
      </w:pPr>
      <w:bookmarkStart w:id="222" w:name="_Toc256000070"/>
      <w:r>
        <w:t>5.3.1 Fiduciary Duties Owed to Clients</w:t>
      </w:r>
      <w:bookmarkEnd w:id="222"/>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owes a fiduciary duty to each of its clients. This duty is akin to the "prudent man rule" applicable to a trustee, exercising that degree of care with respect to the client's affairs that a "prudent man" would observe with respect to his own. This duty is particularly evident where the client has given discretionary authority over his or her account to KCD. Consistent with this fiduciary duty, KCD must eliminate or at least expose all conflicts of interest that might incline it consciously or unconsciously to render advice that is not disinterested. See </w:t>
      </w:r>
      <w:r>
        <w:rPr>
          <w:rFonts w:eastAsia="Arial" w:cs="Arial"/>
          <w:i/>
          <w:iCs/>
          <w:sz w:val="20"/>
          <w:szCs w:val="20"/>
        </w:rPr>
        <w:t>SEC v. Capital Gains Research Bureau, 375 U.S. 18 (1963)</w:t>
      </w:r>
      <w:r>
        <w:rPr>
          <w:rFonts w:eastAsia="Arial" w:cs="Arial"/>
          <w:sz w:val="20"/>
          <w:szCs w:val="20"/>
        </w:rPr>
        <w:t xml:space="preserve">. </w:t>
      </w:r>
    </w:p>
    <w:p>
      <w:pPr>
        <w:pStyle w:val="normal0"/>
        <w:spacing w:before="200" w:after="200"/>
        <w:rPr>
          <w:rFonts w:eastAsia="Arial" w:cs="Arial"/>
          <w:sz w:val="20"/>
          <w:szCs w:val="20"/>
        </w:rPr>
      </w:pPr>
      <w:r>
        <w:rPr>
          <w:rFonts w:eastAsia="Arial" w:cs="Arial"/>
          <w:sz w:val="20"/>
          <w:szCs w:val="20"/>
        </w:rPr>
        <w:t>In fulfilling its fiduciary duty to clients, KCD will comply with the SEC's "Interpretation Regarding Standard of Conduct for Investment Advisers," Investment Advisers Act Rel. No. 5248 (June 5, 2019) ("Investment Adviser Standard of Conduct").</w:t>
      </w:r>
    </w:p>
    <w:p>
      <w:pPr>
        <w:pStyle w:val="normal0"/>
        <w:spacing w:before="200" w:after="200"/>
        <w:rPr>
          <w:rFonts w:eastAsia="Arial" w:cs="Arial"/>
          <w:sz w:val="20"/>
          <w:szCs w:val="20"/>
        </w:rPr>
      </w:pPr>
      <w:r>
        <w:rPr>
          <w:rFonts w:eastAsia="Arial" w:cs="Arial"/>
          <w:sz w:val="20"/>
          <w:szCs w:val="20"/>
        </w:rPr>
        <w:t xml:space="preserve">In order to carry out their general fiduciary duties to clients, KCD and each Adviser Representative shall have the following specific duties: </w:t>
      </w:r>
    </w:p>
    <w:p>
      <w:pPr>
        <w:numPr>
          <w:ilvl w:val="0"/>
          <w:numId w:val="201"/>
        </w:numPr>
        <w:spacing w:before="200"/>
        <w:ind w:left="720" w:hanging="267"/>
        <w:jc w:val="left"/>
        <w:rPr>
          <w:rFonts w:eastAsia="Arial" w:cs="Arial"/>
          <w:sz w:val="20"/>
          <w:szCs w:val="20"/>
        </w:rPr>
      </w:pPr>
      <w:r>
        <w:rPr>
          <w:rFonts w:eastAsia="Arial" w:cs="Arial"/>
          <w:sz w:val="20"/>
          <w:szCs w:val="20"/>
        </w:rPr>
        <w:t xml:space="preserve">avoid all conflicts of interest and potential conflicts of interest, and, if unavoidable, fully disclose the material facts of each and every conflict of interest and mitigate material conflicts of interest; </w:t>
      </w:r>
    </w:p>
    <w:p>
      <w:pPr>
        <w:numPr>
          <w:ilvl w:val="0"/>
          <w:numId w:val="201"/>
        </w:numPr>
        <w:ind w:left="720" w:hanging="267"/>
        <w:jc w:val="left"/>
        <w:rPr>
          <w:rFonts w:eastAsia="Arial" w:cs="Arial"/>
          <w:sz w:val="20"/>
          <w:szCs w:val="20"/>
        </w:rPr>
      </w:pPr>
      <w:r>
        <w:rPr>
          <w:rFonts w:eastAsia="Arial" w:cs="Arial"/>
          <w:sz w:val="20"/>
          <w:szCs w:val="20"/>
        </w:rPr>
        <w:t xml:space="preserve">exercise the utmost and undivided loyalty to the client; </w:t>
      </w:r>
    </w:p>
    <w:p>
      <w:pPr>
        <w:numPr>
          <w:ilvl w:val="0"/>
          <w:numId w:val="201"/>
        </w:numPr>
        <w:ind w:left="720" w:hanging="267"/>
        <w:jc w:val="left"/>
        <w:rPr>
          <w:rFonts w:eastAsia="Arial" w:cs="Arial"/>
          <w:sz w:val="20"/>
          <w:szCs w:val="20"/>
        </w:rPr>
      </w:pPr>
      <w:r>
        <w:rPr>
          <w:rFonts w:eastAsia="Arial" w:cs="Arial"/>
          <w:sz w:val="20"/>
          <w:szCs w:val="20"/>
        </w:rPr>
        <w:t>monitor client's circumstances and investments over the course of relationship;</w:t>
      </w:r>
    </w:p>
    <w:p>
      <w:pPr>
        <w:numPr>
          <w:ilvl w:val="0"/>
          <w:numId w:val="201"/>
        </w:numPr>
        <w:ind w:left="720" w:hanging="267"/>
        <w:jc w:val="left"/>
        <w:rPr>
          <w:rFonts w:eastAsia="Arial" w:cs="Arial"/>
          <w:sz w:val="20"/>
          <w:szCs w:val="20"/>
        </w:rPr>
      </w:pPr>
      <w:r>
        <w:rPr>
          <w:rFonts w:eastAsia="Arial" w:cs="Arial"/>
          <w:sz w:val="20"/>
          <w:szCs w:val="20"/>
        </w:rPr>
        <w:t>as frequently as necessary, make a reasonable inquiry into the client's financial situation, level of financial sophistication, investment experience and investment objectives, as they may change over time;</w:t>
      </w:r>
    </w:p>
    <w:p>
      <w:pPr>
        <w:numPr>
          <w:ilvl w:val="0"/>
          <w:numId w:val="201"/>
        </w:numPr>
        <w:ind w:left="720" w:hanging="267"/>
        <w:jc w:val="left"/>
        <w:rPr>
          <w:rFonts w:eastAsia="Arial" w:cs="Arial"/>
          <w:sz w:val="20"/>
          <w:szCs w:val="20"/>
        </w:rPr>
      </w:pPr>
      <w:r>
        <w:rPr>
          <w:rFonts w:eastAsia="Arial" w:cs="Arial"/>
          <w:sz w:val="20"/>
          <w:szCs w:val="20"/>
        </w:rPr>
        <w:t>act prudently with the care, skill and judgment of a professional;</w:t>
      </w:r>
    </w:p>
    <w:p>
      <w:pPr>
        <w:numPr>
          <w:ilvl w:val="0"/>
          <w:numId w:val="201"/>
        </w:numPr>
        <w:ind w:left="720" w:hanging="267"/>
        <w:jc w:val="left"/>
        <w:rPr>
          <w:rFonts w:eastAsia="Arial" w:cs="Arial"/>
          <w:sz w:val="20"/>
          <w:szCs w:val="20"/>
        </w:rPr>
      </w:pPr>
      <w:r>
        <w:rPr>
          <w:rFonts w:eastAsia="Arial" w:cs="Arial"/>
          <w:sz w:val="20"/>
          <w:szCs w:val="20"/>
        </w:rPr>
        <w:t xml:space="preserve">recommend suitable investments and otherwise providing personalized advice to clients including having a reasonable basis for advice in the best interest of the client based upon the client's profile; </w:t>
      </w:r>
    </w:p>
    <w:p>
      <w:pPr>
        <w:numPr>
          <w:ilvl w:val="0"/>
          <w:numId w:val="201"/>
        </w:numPr>
        <w:ind w:left="720" w:hanging="267"/>
        <w:jc w:val="left"/>
        <w:rPr>
          <w:rFonts w:eastAsia="Arial" w:cs="Arial"/>
          <w:sz w:val="20"/>
          <w:szCs w:val="20"/>
        </w:rPr>
      </w:pPr>
      <w:r>
        <w:rPr>
          <w:rFonts w:eastAsia="Arial" w:cs="Arial"/>
          <w:sz w:val="20"/>
          <w:szCs w:val="20"/>
        </w:rPr>
        <w:t xml:space="preserve">obtain best execution on client trades; </w:t>
      </w:r>
    </w:p>
    <w:p>
      <w:pPr>
        <w:numPr>
          <w:ilvl w:val="0"/>
          <w:numId w:val="201"/>
        </w:numPr>
        <w:ind w:left="720" w:hanging="267"/>
        <w:jc w:val="left"/>
        <w:rPr>
          <w:rFonts w:eastAsia="Arial" w:cs="Arial"/>
          <w:sz w:val="20"/>
          <w:szCs w:val="20"/>
        </w:rPr>
      </w:pPr>
      <w:r>
        <w:rPr>
          <w:rFonts w:eastAsia="Arial" w:cs="Arial"/>
          <w:sz w:val="20"/>
          <w:szCs w:val="20"/>
        </w:rPr>
        <w:t>obtain client consent prior to making principal trades with a client;</w:t>
      </w:r>
    </w:p>
    <w:p>
      <w:pPr>
        <w:numPr>
          <w:ilvl w:val="0"/>
          <w:numId w:val="201"/>
        </w:numPr>
        <w:ind w:left="720" w:hanging="267"/>
        <w:jc w:val="left"/>
        <w:rPr>
          <w:rFonts w:eastAsia="Arial" w:cs="Arial"/>
          <w:sz w:val="20"/>
          <w:szCs w:val="20"/>
        </w:rPr>
      </w:pPr>
      <w:r>
        <w:rPr>
          <w:rFonts w:eastAsia="Arial" w:cs="Arial"/>
          <w:sz w:val="20"/>
          <w:szCs w:val="20"/>
        </w:rPr>
        <w:t>never engage in scalping (</w:t>
      </w:r>
      <w:r>
        <w:rPr>
          <w:rFonts w:eastAsia="Arial" w:cs="Arial"/>
          <w:i/>
          <w:iCs/>
          <w:sz w:val="20"/>
          <w:szCs w:val="20"/>
        </w:rPr>
        <w:t>i.e.,</w:t>
      </w:r>
      <w:r>
        <w:rPr>
          <w:rFonts w:eastAsia="Arial" w:cs="Arial"/>
          <w:sz w:val="20"/>
          <w:szCs w:val="20"/>
        </w:rPr>
        <w:t xml:space="preserve"> engaging in a trade of a security in the adviser's account in advance of a client's trade in the same security in a manner that is a disadvantage to the client);</w:t>
      </w:r>
    </w:p>
    <w:p>
      <w:pPr>
        <w:numPr>
          <w:ilvl w:val="0"/>
          <w:numId w:val="201"/>
        </w:numPr>
        <w:ind w:left="720" w:hanging="378"/>
        <w:jc w:val="left"/>
        <w:rPr>
          <w:rFonts w:eastAsia="Arial" w:cs="Arial"/>
          <w:sz w:val="20"/>
          <w:szCs w:val="20"/>
        </w:rPr>
      </w:pPr>
      <w:r>
        <w:rPr>
          <w:rFonts w:eastAsia="Arial" w:cs="Arial"/>
          <w:sz w:val="20"/>
          <w:szCs w:val="20"/>
        </w:rPr>
        <w:t>treat each client fairly and perform services for them, including trading his or her accounts, in an equitable manner;</w:t>
      </w:r>
    </w:p>
    <w:p>
      <w:pPr>
        <w:numPr>
          <w:ilvl w:val="0"/>
          <w:numId w:val="201"/>
        </w:numPr>
        <w:ind w:left="720" w:hanging="378"/>
        <w:jc w:val="left"/>
        <w:rPr>
          <w:rFonts w:eastAsia="Arial" w:cs="Arial"/>
          <w:sz w:val="20"/>
          <w:szCs w:val="20"/>
        </w:rPr>
      </w:pPr>
      <w:r>
        <w:rPr>
          <w:rFonts w:eastAsia="Arial" w:cs="Arial"/>
          <w:sz w:val="20"/>
          <w:szCs w:val="20"/>
        </w:rPr>
        <w:t>communicate clearly and accurately;</w:t>
      </w:r>
    </w:p>
    <w:p>
      <w:pPr>
        <w:numPr>
          <w:ilvl w:val="0"/>
          <w:numId w:val="201"/>
        </w:numPr>
        <w:ind w:left="720" w:hanging="378"/>
        <w:jc w:val="left"/>
        <w:rPr>
          <w:rFonts w:eastAsia="Arial" w:cs="Arial"/>
          <w:sz w:val="20"/>
          <w:szCs w:val="20"/>
        </w:rPr>
      </w:pPr>
      <w:r>
        <w:rPr>
          <w:rFonts w:eastAsia="Arial" w:cs="Arial"/>
          <w:sz w:val="20"/>
          <w:szCs w:val="20"/>
        </w:rPr>
        <w:t>provide accurate information about the total fees and expenses paid by the client;</w:t>
      </w:r>
    </w:p>
    <w:p>
      <w:pPr>
        <w:numPr>
          <w:ilvl w:val="0"/>
          <w:numId w:val="201"/>
        </w:numPr>
        <w:ind w:left="720" w:hanging="378"/>
        <w:jc w:val="left"/>
        <w:rPr>
          <w:rFonts w:eastAsia="Arial" w:cs="Arial"/>
          <w:sz w:val="20"/>
          <w:szCs w:val="20"/>
        </w:rPr>
      </w:pPr>
      <w:r>
        <w:rPr>
          <w:rFonts w:eastAsia="Arial" w:cs="Arial"/>
          <w:sz w:val="20"/>
          <w:szCs w:val="20"/>
        </w:rPr>
        <w:t>receive only reasonable gifts, entertainment and other benefits from service providers, including broker-dealers executing client trades;</w:t>
      </w:r>
    </w:p>
    <w:p>
      <w:pPr>
        <w:numPr>
          <w:ilvl w:val="0"/>
          <w:numId w:val="201"/>
        </w:numPr>
        <w:ind w:left="720" w:hanging="378"/>
        <w:jc w:val="left"/>
        <w:rPr>
          <w:rFonts w:eastAsia="Arial" w:cs="Arial"/>
          <w:sz w:val="20"/>
          <w:szCs w:val="20"/>
        </w:rPr>
      </w:pPr>
      <w:r>
        <w:rPr>
          <w:rFonts w:eastAsia="Arial" w:cs="Arial"/>
          <w:sz w:val="20"/>
          <w:szCs w:val="20"/>
        </w:rPr>
        <w:t>maintain a high level of competence regarding investment management knowledge and skills; and</w:t>
      </w:r>
    </w:p>
    <w:p>
      <w:pPr>
        <w:numPr>
          <w:ilvl w:val="0"/>
          <w:numId w:val="201"/>
        </w:numPr>
        <w:spacing w:after="200"/>
        <w:ind w:left="720" w:hanging="378"/>
        <w:jc w:val="left"/>
        <w:rPr>
          <w:rFonts w:eastAsia="Arial" w:cs="Arial"/>
          <w:sz w:val="20"/>
          <w:szCs w:val="20"/>
        </w:rPr>
      </w:pPr>
      <w:r>
        <w:rPr>
          <w:rFonts w:eastAsia="Arial" w:cs="Arial"/>
          <w:sz w:val="20"/>
          <w:szCs w:val="20"/>
        </w:rPr>
        <w:t>ensure that clients are offered or have access to all necessary investment products, funds and other investment management services that can be tailored to the needs of the client.</w:t>
      </w:r>
    </w:p>
    <w:p>
      <w:bookmarkEnd w:id="221"/>
    </w:p>
    <w:p>
      <w:pPr>
        <w:pStyle w:val="Heading4"/>
      </w:pPr>
      <w:r>
        <w:t>5.3.1.1 Duty of Care</w:t>
      </w:r>
    </w:p>
    <w:p/>
    <w:p>
      <w:pPr>
        <w:rPr>
          <w:rFonts w:eastAsia="Arial" w:cs="Arial"/>
          <w:sz w:val="16"/>
          <w:szCs w:val="16"/>
        </w:rPr>
      </w:pPr>
      <w:r>
        <w:rPr>
          <w:rFonts w:eastAsia="Arial" w:cs="Arial"/>
          <w:sz w:val="16"/>
          <w:szCs w:val="16"/>
        </w:rPr>
        <w:t>[Form CRS Relationship Summary, Amendments to Form ADV, Investment Advisers Act Rel. No. 5247 (June 5, 2019); Commission Interpretation Regarding Standard of Conduct for Investment Advisers, Investment Advisers Act Rel. No. 5248 (June 5, 2019)]</w:t>
      </w:r>
    </w:p>
    <w:p/>
    <w:p>
      <w:pPr>
        <w:pStyle w:val="normal0"/>
        <w:spacing w:after="200"/>
        <w:rPr>
          <w:rFonts w:eastAsia="Arial" w:cs="Arial"/>
          <w:sz w:val="20"/>
          <w:szCs w:val="20"/>
        </w:rPr>
      </w:pPr>
      <w:r>
        <w:rPr>
          <w:rFonts w:eastAsia="Arial" w:cs="Arial"/>
          <w:sz w:val="20"/>
          <w:szCs w:val="20"/>
        </w:rPr>
        <w:t>KCD and its investment adviser representatives, as fiduciaries, will exercise a duty of care at all times when providing investment advisory services to clients including, among other things:</w:t>
      </w:r>
    </w:p>
    <w:p>
      <w:pPr>
        <w:numPr>
          <w:ilvl w:val="0"/>
          <w:numId w:val="202"/>
        </w:numPr>
        <w:spacing w:before="200"/>
        <w:ind w:left="720" w:hanging="192"/>
        <w:jc w:val="left"/>
        <w:rPr>
          <w:rFonts w:eastAsia="Arial" w:cs="Arial"/>
          <w:sz w:val="20"/>
          <w:szCs w:val="20"/>
        </w:rPr>
      </w:pPr>
      <w:r>
        <w:rPr>
          <w:rFonts w:eastAsia="Arial" w:cs="Arial"/>
          <w:sz w:val="20"/>
          <w:szCs w:val="20"/>
        </w:rPr>
        <w:t>the duty to provide advice that is in the best interest of the client;</w:t>
      </w:r>
    </w:p>
    <w:p>
      <w:pPr>
        <w:numPr>
          <w:ilvl w:val="0"/>
          <w:numId w:val="202"/>
        </w:numPr>
        <w:ind w:left="720" w:hanging="192"/>
        <w:jc w:val="left"/>
        <w:rPr>
          <w:rFonts w:eastAsia="Arial" w:cs="Arial"/>
          <w:sz w:val="20"/>
          <w:szCs w:val="20"/>
        </w:rPr>
      </w:pPr>
      <w:r>
        <w:rPr>
          <w:rFonts w:eastAsia="Arial" w:cs="Arial"/>
          <w:sz w:val="20"/>
          <w:szCs w:val="20"/>
        </w:rPr>
        <w:t>the duty to seek best execution of a client's transactions where the adviser has the responsibility to select broker-dealers to execute client trades; and</w:t>
      </w:r>
    </w:p>
    <w:p>
      <w:pPr>
        <w:numPr>
          <w:ilvl w:val="0"/>
          <w:numId w:val="202"/>
        </w:numPr>
        <w:spacing w:after="200"/>
        <w:ind w:left="720" w:hanging="192"/>
        <w:jc w:val="left"/>
        <w:rPr>
          <w:rFonts w:eastAsia="Arial" w:cs="Arial"/>
          <w:sz w:val="20"/>
          <w:szCs w:val="20"/>
        </w:rPr>
      </w:pPr>
      <w:r>
        <w:rPr>
          <w:rFonts w:eastAsia="Arial" w:cs="Arial"/>
          <w:sz w:val="20"/>
          <w:szCs w:val="20"/>
        </w:rPr>
        <w:t>the duty to provide advice and monitoring over the course of the relationship.</w:t>
      </w:r>
    </w:p>
    <w:p/>
    <w:p>
      <w:pPr>
        <w:pStyle w:val="Heading5"/>
      </w:pPr>
      <w:r>
        <w:t>5.3.1.1.1 Advice in the Best Interest of the Client</w:t>
      </w:r>
    </w:p>
    <w:p/>
    <w:p>
      <w:pPr>
        <w:rPr>
          <w:rFonts w:eastAsia="Arial" w:cs="Arial"/>
          <w:sz w:val="16"/>
          <w:szCs w:val="16"/>
        </w:rPr>
      </w:pPr>
      <w:r>
        <w:rPr>
          <w:rFonts w:eastAsia="Arial" w:cs="Arial"/>
          <w:sz w:val="16"/>
          <w:szCs w:val="16"/>
        </w:rPr>
        <w:t>[Form CRS Relationship Summary, Amendments to Form ADV, Investment Advisers Act Rel. No. 5247 (June 5, 2019); Commission Interpretation Regarding Standard of Conduct for Investment Advisers, Investment Advisers Act Rel. No. 5248 (June 5, 2019)]</w:t>
      </w:r>
    </w:p>
    <w:p/>
    <w:p>
      <w:pPr>
        <w:pStyle w:val="normal0"/>
        <w:spacing w:after="200"/>
        <w:rPr>
          <w:rFonts w:eastAsia="Arial" w:cs="Arial"/>
          <w:sz w:val="20"/>
          <w:szCs w:val="20"/>
        </w:rPr>
      </w:pPr>
      <w:r>
        <w:rPr>
          <w:rFonts w:eastAsia="Arial" w:cs="Arial"/>
          <w:sz w:val="20"/>
          <w:szCs w:val="20"/>
        </w:rPr>
        <w:t>In fulfilling its duty to provide investment advice that is in the best interest of the client, KCD will obtain information from the client and take other actions so that it has a reasonable understanding of the client's objectives. The basis for such a reasonable understanding generally will include an understanding of the client's investment profile and an understanding of his or her investment mandate.</w:t>
      </w:r>
    </w:p>
    <w:p>
      <w:pPr>
        <w:pStyle w:val="normal0"/>
        <w:spacing w:before="200" w:after="200"/>
        <w:rPr>
          <w:rFonts w:eastAsia="Arial" w:cs="Arial"/>
          <w:sz w:val="20"/>
          <w:szCs w:val="20"/>
        </w:rPr>
      </w:pPr>
      <w:r>
        <w:rPr>
          <w:rFonts w:eastAsia="Arial" w:cs="Arial"/>
          <w:sz w:val="20"/>
          <w:szCs w:val="20"/>
        </w:rPr>
        <w:t>When fulfilling its duty to provide investment advice that is in the best interest of the client, KCD will:</w:t>
      </w:r>
    </w:p>
    <w:p>
      <w:pPr>
        <w:numPr>
          <w:ilvl w:val="0"/>
          <w:numId w:val="203"/>
        </w:numPr>
        <w:spacing w:before="200"/>
        <w:ind w:left="720" w:hanging="192"/>
        <w:jc w:val="left"/>
        <w:rPr>
          <w:rFonts w:eastAsia="Arial" w:cs="Arial"/>
          <w:sz w:val="20"/>
          <w:szCs w:val="20"/>
        </w:rPr>
      </w:pPr>
      <w:r>
        <w:rPr>
          <w:rFonts w:eastAsia="Arial" w:cs="Arial"/>
          <w:sz w:val="20"/>
          <w:szCs w:val="20"/>
        </w:rPr>
        <w:t>understand the risks, rewards, and costs associated with the investment advice; and</w:t>
      </w:r>
    </w:p>
    <w:p>
      <w:pPr>
        <w:numPr>
          <w:ilvl w:val="0"/>
          <w:numId w:val="203"/>
        </w:numPr>
        <w:ind w:left="720" w:hanging="192"/>
        <w:jc w:val="left"/>
        <w:rPr>
          <w:rFonts w:eastAsia="Arial" w:cs="Arial"/>
          <w:sz w:val="20"/>
          <w:szCs w:val="20"/>
        </w:rPr>
      </w:pPr>
      <w:r>
        <w:rPr>
          <w:rFonts w:eastAsia="Arial" w:cs="Arial"/>
          <w:sz w:val="20"/>
          <w:szCs w:val="20"/>
        </w:rPr>
        <w:t>have a reasonable basis to believe that the investment advice and investment recommendations: (i) are in the client's best interest based on such client's investment profile; and (ii) do not place the interests of KCD ahead of the client. This includes:</w:t>
      </w:r>
    </w:p>
    <w:p>
      <w:pPr>
        <w:numPr>
          <w:ilvl w:val="1"/>
          <w:numId w:val="203"/>
        </w:numPr>
        <w:ind w:left="1440" w:hanging="220"/>
        <w:jc w:val="left"/>
        <w:rPr>
          <w:rFonts w:eastAsia="Arial" w:cs="Arial"/>
          <w:sz w:val="20"/>
          <w:szCs w:val="20"/>
        </w:rPr>
      </w:pPr>
      <w:r>
        <w:rPr>
          <w:rFonts w:eastAsia="Arial" w:cs="Arial"/>
          <w:sz w:val="20"/>
          <w:szCs w:val="20"/>
        </w:rPr>
        <w:t>ensuring that KCD does not prioritize its own financial gains or interests over those of the client;</w:t>
      </w:r>
    </w:p>
    <w:p>
      <w:pPr>
        <w:numPr>
          <w:ilvl w:val="1"/>
          <w:numId w:val="203"/>
        </w:numPr>
        <w:ind w:left="1440" w:hanging="220"/>
        <w:jc w:val="left"/>
        <w:rPr>
          <w:rFonts w:eastAsia="Arial" w:cs="Arial"/>
          <w:sz w:val="20"/>
          <w:szCs w:val="20"/>
        </w:rPr>
      </w:pPr>
      <w:r>
        <w:rPr>
          <w:rFonts w:eastAsia="Arial" w:cs="Arial"/>
          <w:sz w:val="20"/>
          <w:szCs w:val="20"/>
        </w:rPr>
        <w:t>avoiding transactions that are excessive most notably when an affiliated broker-dealer is executing the trades based on such investment advice;</w:t>
      </w:r>
    </w:p>
    <w:p>
      <w:pPr>
        <w:numPr>
          <w:ilvl w:val="1"/>
          <w:numId w:val="203"/>
        </w:numPr>
        <w:ind w:left="1440" w:hanging="220"/>
        <w:jc w:val="left"/>
        <w:rPr>
          <w:rFonts w:eastAsia="Arial" w:cs="Arial"/>
          <w:sz w:val="20"/>
          <w:szCs w:val="20"/>
        </w:rPr>
      </w:pPr>
      <w:r>
        <w:rPr>
          <w:rFonts w:eastAsia="Arial" w:cs="Arial"/>
          <w:sz w:val="20"/>
          <w:szCs w:val="20"/>
        </w:rPr>
        <w:t>monitoring KCD's investment advisory representatives who are also dually licensed as registered representatives of broker-dealers and who receive compensation or other financial incentives that may create conflicts of interest that must be addressed (</w:t>
      </w:r>
      <w:r>
        <w:rPr>
          <w:rFonts w:eastAsia="Arial" w:cs="Arial"/>
          <w:i/>
          <w:iCs/>
          <w:sz w:val="20"/>
          <w:szCs w:val="20"/>
        </w:rPr>
        <w:t>e.g.</w:t>
      </w:r>
      <w:r>
        <w:rPr>
          <w:rFonts w:eastAsia="Arial" w:cs="Arial"/>
          <w:sz w:val="20"/>
          <w:szCs w:val="20"/>
        </w:rPr>
        <w:t>, account recommendations and allocations) to ensure such incentives do not influence investment recommendations and decisions made for clients including recommending or investing in those products over others that might be less costly or more suitable for the client but offer lower commissions;</w:t>
      </w:r>
    </w:p>
    <w:p>
      <w:pPr>
        <w:numPr>
          <w:ilvl w:val="1"/>
          <w:numId w:val="203"/>
        </w:numPr>
        <w:ind w:left="1440" w:hanging="220"/>
        <w:jc w:val="left"/>
        <w:rPr>
          <w:rFonts w:eastAsia="Arial" w:cs="Arial"/>
          <w:sz w:val="20"/>
          <w:szCs w:val="20"/>
        </w:rPr>
      </w:pPr>
      <w:r>
        <w:rPr>
          <w:rFonts w:eastAsia="Arial" w:cs="Arial"/>
          <w:sz w:val="20"/>
          <w:szCs w:val="20"/>
        </w:rPr>
        <w:t>avoiding inherently risky products such as volatility-linked and leveraged ETFs;</w:t>
      </w:r>
    </w:p>
    <w:p>
      <w:pPr>
        <w:numPr>
          <w:ilvl w:val="1"/>
          <w:numId w:val="203"/>
        </w:numPr>
        <w:ind w:left="1440" w:hanging="220"/>
        <w:jc w:val="left"/>
        <w:rPr>
          <w:rFonts w:eastAsia="Arial" w:cs="Arial"/>
          <w:sz w:val="20"/>
          <w:szCs w:val="20"/>
        </w:rPr>
      </w:pPr>
      <w:r>
        <w:rPr>
          <w:rFonts w:eastAsia="Arial" w:cs="Arial"/>
          <w:sz w:val="20"/>
          <w:szCs w:val="20"/>
        </w:rPr>
        <w:t>ensuring that clients are not recommended a more expensive share class of a mutual fund when a less expensive share class of the same fund is available and appropriate for the client; and</w:t>
      </w:r>
    </w:p>
    <w:p>
      <w:pPr>
        <w:numPr>
          <w:ilvl w:val="1"/>
          <w:numId w:val="203"/>
        </w:numPr>
        <w:spacing w:after="200"/>
        <w:ind w:left="1440" w:hanging="220"/>
        <w:jc w:val="left"/>
        <w:rPr>
          <w:rFonts w:eastAsia="Arial" w:cs="Arial"/>
          <w:sz w:val="20"/>
          <w:szCs w:val="20"/>
        </w:rPr>
      </w:pPr>
      <w:r>
        <w:rPr>
          <w:rFonts w:eastAsia="Arial" w:cs="Arial"/>
          <w:sz w:val="20"/>
          <w:szCs w:val="20"/>
        </w:rPr>
        <w:t>not recommending proprietary funds or products of KCD or affiliates when more funds or products not related to the adviser or affiliates are more suitable.</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bCs/>
                <w:i w:val="0"/>
                <w:iCs w:val="0"/>
                <w:smallCaps w:val="0"/>
                <w:color w:val="000000"/>
                <w:sz w:val="20"/>
              </w:rPr>
              <w:t>Best interest:</w:t>
            </w:r>
            <w:r>
              <w:rPr>
                <w:rFonts w:eastAsia="Arial" w:cs="Arial"/>
                <w:b w:val="0"/>
                <w:bCs w:val="0"/>
                <w:i w:val="0"/>
                <w:iCs w:val="0"/>
                <w:smallCaps w:val="0"/>
                <w:color w:val="000000"/>
                <w:sz w:val="20"/>
              </w:rPr>
              <w:t xml:space="preserve"> The term "best interest" is explained through SEC guidance and interpretations and is not expressly defined. Whether an investment adviser has acted in the client's best interest in compliance will turn on an objective assessment of the facts and circumstances. While broker-dealers, not investment advisers, are subject to rules called "Regulation Best Interest (BI)," investment advisers must act in the best interests of their clients.</w:t>
            </w:r>
          </w:p>
        </w:tc>
      </w:tr>
    </w:tbl>
    <w:p>
      <w:pPr>
        <w:pStyle w:val="normal0"/>
        <w:spacing w:before="200" w:after="200"/>
        <w:rPr>
          <w:rFonts w:eastAsia="Arial" w:cs="Arial"/>
          <w:sz w:val="20"/>
          <w:szCs w:val="20"/>
        </w:rPr>
      </w:pPr>
      <w:r>
        <w:rPr>
          <w:rFonts w:eastAsia="Arial" w:cs="Arial"/>
          <w:sz w:val="20"/>
          <w:szCs w:val="20"/>
        </w:rPr>
        <w:br/>
      </w:r>
      <w:r>
        <w:rPr>
          <w:rFonts w:eastAsia="Arial" w:cs="Arial"/>
          <w:b/>
          <w:bCs/>
          <w:sz w:val="20"/>
          <w:szCs w:val="20"/>
        </w:rPr>
        <w:t>Reasonable Inquiry into the Client's Objective</w:t>
      </w:r>
    </w:p>
    <w:p>
      <w:pPr>
        <w:pStyle w:val="normal0"/>
        <w:spacing w:before="200" w:after="200"/>
        <w:rPr>
          <w:rFonts w:eastAsia="Arial" w:cs="Arial"/>
          <w:sz w:val="20"/>
          <w:szCs w:val="20"/>
        </w:rPr>
      </w:pPr>
      <w:r>
        <w:rPr>
          <w:rFonts w:eastAsia="Arial" w:cs="Arial"/>
          <w:sz w:val="20"/>
          <w:szCs w:val="20"/>
        </w:rPr>
        <w:t>KCD and its investment adviser representative will make a reasonable inquiry into each client's objectives, and such inquiry will vary based on the specific facts and circumstances, including the nature of the client, the scope of the adviser-client relationship, and the nature and complexity of the anticipated investment advice.</w:t>
      </w:r>
    </w:p>
    <w:p>
      <w:pPr>
        <w:pStyle w:val="normal0"/>
        <w:spacing w:before="200" w:after="200"/>
        <w:rPr>
          <w:rFonts w:eastAsia="Arial" w:cs="Arial"/>
          <w:sz w:val="20"/>
          <w:szCs w:val="20"/>
        </w:rPr>
      </w:pPr>
      <w:r>
        <w:rPr>
          <w:rFonts w:eastAsia="Arial" w:cs="Arial"/>
          <w:sz w:val="20"/>
          <w:szCs w:val="20"/>
          <w:u w:val="single"/>
        </w:rPr>
        <w:t>Retail Clients</w:t>
      </w:r>
    </w:p>
    <w:p>
      <w:pPr>
        <w:pStyle w:val="normal0"/>
        <w:spacing w:before="200" w:after="200"/>
        <w:rPr>
          <w:rFonts w:eastAsia="Arial" w:cs="Arial"/>
          <w:sz w:val="20"/>
          <w:szCs w:val="20"/>
        </w:rPr>
      </w:pPr>
      <w:r>
        <w:rPr>
          <w:rFonts w:eastAsia="Arial" w:cs="Arial"/>
          <w:sz w:val="20"/>
          <w:szCs w:val="20"/>
        </w:rPr>
        <w:t xml:space="preserve">At a minimum, KCD and its investment adviser representative will follow the procedures set forth in the chapter </w:t>
      </w:r>
      <w:r>
        <w:rPr>
          <w:rFonts w:eastAsia="Arial" w:cs="Arial"/>
          <w:i/>
          <w:iCs/>
          <w:sz w:val="20"/>
          <w:szCs w:val="20"/>
        </w:rPr>
        <w:t>NEW CLIENTS AND ANTI-MONEY LAUNDERING</w:t>
      </w:r>
      <w:r>
        <w:rPr>
          <w:rFonts w:eastAsia="Arial" w:cs="Arial"/>
          <w:sz w:val="20"/>
          <w:szCs w:val="20"/>
        </w:rPr>
        <w:t xml:space="preserve"> and additionally make a reasonable inquiry into each retail client's:</w:t>
      </w:r>
    </w:p>
    <w:p>
      <w:pPr>
        <w:numPr>
          <w:ilvl w:val="0"/>
          <w:numId w:val="204"/>
        </w:numPr>
        <w:spacing w:before="200"/>
        <w:ind w:left="720" w:hanging="192"/>
        <w:jc w:val="left"/>
        <w:rPr>
          <w:rFonts w:eastAsia="Arial" w:cs="Arial"/>
          <w:sz w:val="20"/>
          <w:szCs w:val="20"/>
        </w:rPr>
      </w:pPr>
      <w:r>
        <w:rPr>
          <w:rFonts w:eastAsia="Arial" w:cs="Arial"/>
          <w:sz w:val="20"/>
          <w:szCs w:val="20"/>
        </w:rPr>
        <w:t>financial situation;</w:t>
      </w:r>
    </w:p>
    <w:p>
      <w:pPr>
        <w:numPr>
          <w:ilvl w:val="0"/>
          <w:numId w:val="204"/>
        </w:numPr>
        <w:ind w:left="720" w:hanging="192"/>
        <w:jc w:val="left"/>
        <w:rPr>
          <w:rFonts w:eastAsia="Arial" w:cs="Arial"/>
          <w:sz w:val="20"/>
          <w:szCs w:val="20"/>
        </w:rPr>
      </w:pPr>
      <w:r>
        <w:rPr>
          <w:rFonts w:eastAsia="Arial" w:cs="Arial"/>
          <w:sz w:val="20"/>
          <w:szCs w:val="20"/>
        </w:rPr>
        <w:t>level of financial sophistication;</w:t>
      </w:r>
    </w:p>
    <w:p>
      <w:pPr>
        <w:numPr>
          <w:ilvl w:val="0"/>
          <w:numId w:val="204"/>
        </w:numPr>
        <w:ind w:left="720" w:hanging="192"/>
        <w:jc w:val="left"/>
        <w:rPr>
          <w:rFonts w:eastAsia="Arial" w:cs="Arial"/>
          <w:sz w:val="20"/>
          <w:szCs w:val="20"/>
        </w:rPr>
      </w:pPr>
      <w:r>
        <w:rPr>
          <w:rFonts w:eastAsia="Arial" w:cs="Arial"/>
          <w:sz w:val="20"/>
          <w:szCs w:val="20"/>
        </w:rPr>
        <w:t>investment experience; and</w:t>
      </w:r>
    </w:p>
    <w:p>
      <w:pPr>
        <w:numPr>
          <w:ilvl w:val="0"/>
          <w:numId w:val="204"/>
        </w:numPr>
        <w:spacing w:after="200"/>
        <w:ind w:left="720" w:hanging="192"/>
        <w:jc w:val="left"/>
        <w:rPr>
          <w:rFonts w:eastAsia="Arial" w:cs="Arial"/>
          <w:sz w:val="20"/>
          <w:szCs w:val="20"/>
        </w:rPr>
      </w:pPr>
      <w:r>
        <w:rPr>
          <w:rFonts w:eastAsia="Arial" w:cs="Arial"/>
          <w:sz w:val="20"/>
          <w:szCs w:val="20"/>
        </w:rPr>
        <w:t>financial goals (collectively, client's "investment profile").</w:t>
      </w:r>
    </w:p>
    <w:p>
      <w:pPr>
        <w:pStyle w:val="normal0"/>
        <w:spacing w:before="200" w:after="200"/>
        <w:rPr>
          <w:rFonts w:eastAsia="Arial" w:cs="Arial"/>
          <w:sz w:val="20"/>
          <w:szCs w:val="20"/>
        </w:rPr>
      </w:pPr>
      <w:r>
        <w:rPr>
          <w:rFonts w:eastAsia="Arial" w:cs="Arial"/>
          <w:sz w:val="20"/>
          <w:szCs w:val="20"/>
        </w:rPr>
        <w:t>If KCD is formulating a comprehensive financial plan for a retail client, it at a minimum will ascertain the retail client's current:</w:t>
      </w:r>
    </w:p>
    <w:p>
      <w:pPr>
        <w:numPr>
          <w:ilvl w:val="0"/>
          <w:numId w:val="205"/>
        </w:numPr>
        <w:spacing w:before="200"/>
        <w:ind w:left="720" w:hanging="192"/>
        <w:jc w:val="left"/>
        <w:rPr>
          <w:rFonts w:eastAsia="Arial" w:cs="Arial"/>
          <w:sz w:val="20"/>
          <w:szCs w:val="20"/>
        </w:rPr>
      </w:pPr>
      <w:r>
        <w:rPr>
          <w:rFonts w:eastAsia="Arial" w:cs="Arial"/>
          <w:sz w:val="20"/>
          <w:szCs w:val="20"/>
        </w:rPr>
        <w:t>income;</w:t>
      </w:r>
    </w:p>
    <w:p>
      <w:pPr>
        <w:numPr>
          <w:ilvl w:val="0"/>
          <w:numId w:val="205"/>
        </w:numPr>
        <w:ind w:left="720" w:hanging="192"/>
        <w:jc w:val="left"/>
        <w:rPr>
          <w:rFonts w:eastAsia="Arial" w:cs="Arial"/>
          <w:sz w:val="20"/>
          <w:szCs w:val="20"/>
        </w:rPr>
      </w:pPr>
      <w:r>
        <w:rPr>
          <w:rFonts w:eastAsia="Arial" w:cs="Arial"/>
          <w:sz w:val="20"/>
          <w:szCs w:val="20"/>
        </w:rPr>
        <w:t>investments;</w:t>
      </w:r>
    </w:p>
    <w:p>
      <w:pPr>
        <w:numPr>
          <w:ilvl w:val="0"/>
          <w:numId w:val="205"/>
        </w:numPr>
        <w:ind w:left="720" w:hanging="192"/>
        <w:jc w:val="left"/>
        <w:rPr>
          <w:rFonts w:eastAsia="Arial" w:cs="Arial"/>
          <w:sz w:val="20"/>
          <w:szCs w:val="20"/>
        </w:rPr>
      </w:pPr>
      <w:r>
        <w:rPr>
          <w:rFonts w:eastAsia="Arial" w:cs="Arial"/>
          <w:sz w:val="20"/>
          <w:szCs w:val="20"/>
        </w:rPr>
        <w:t>assets and debts;</w:t>
      </w:r>
    </w:p>
    <w:p>
      <w:pPr>
        <w:numPr>
          <w:ilvl w:val="0"/>
          <w:numId w:val="205"/>
        </w:numPr>
        <w:ind w:left="720" w:hanging="192"/>
        <w:jc w:val="left"/>
        <w:rPr>
          <w:rFonts w:eastAsia="Arial" w:cs="Arial"/>
          <w:sz w:val="20"/>
          <w:szCs w:val="20"/>
        </w:rPr>
      </w:pPr>
      <w:r>
        <w:rPr>
          <w:rFonts w:eastAsia="Arial" w:cs="Arial"/>
          <w:sz w:val="20"/>
          <w:szCs w:val="20"/>
        </w:rPr>
        <w:t>marital status;</w:t>
      </w:r>
    </w:p>
    <w:p>
      <w:pPr>
        <w:numPr>
          <w:ilvl w:val="0"/>
          <w:numId w:val="205"/>
        </w:numPr>
        <w:ind w:left="720" w:hanging="192"/>
        <w:jc w:val="left"/>
        <w:rPr>
          <w:rFonts w:eastAsia="Arial" w:cs="Arial"/>
          <w:sz w:val="20"/>
          <w:szCs w:val="20"/>
        </w:rPr>
      </w:pPr>
      <w:r>
        <w:rPr>
          <w:rFonts w:eastAsia="Arial" w:cs="Arial"/>
          <w:sz w:val="20"/>
          <w:szCs w:val="20"/>
        </w:rPr>
        <w:t>tax status;</w:t>
      </w:r>
    </w:p>
    <w:p>
      <w:pPr>
        <w:numPr>
          <w:ilvl w:val="0"/>
          <w:numId w:val="205"/>
        </w:numPr>
        <w:ind w:left="720" w:hanging="192"/>
        <w:jc w:val="left"/>
        <w:rPr>
          <w:rFonts w:eastAsia="Arial" w:cs="Arial"/>
          <w:sz w:val="20"/>
          <w:szCs w:val="20"/>
        </w:rPr>
      </w:pPr>
      <w:r>
        <w:rPr>
          <w:rFonts w:eastAsia="Arial" w:cs="Arial"/>
          <w:sz w:val="20"/>
          <w:szCs w:val="20"/>
        </w:rPr>
        <w:t>insurance policies; and</w:t>
      </w:r>
    </w:p>
    <w:p>
      <w:pPr>
        <w:numPr>
          <w:ilvl w:val="0"/>
          <w:numId w:val="205"/>
        </w:numPr>
        <w:spacing w:after="200"/>
        <w:ind w:left="720" w:hanging="192"/>
        <w:jc w:val="left"/>
        <w:rPr>
          <w:rFonts w:eastAsia="Arial" w:cs="Arial"/>
          <w:sz w:val="20"/>
          <w:szCs w:val="20"/>
        </w:rPr>
      </w:pPr>
      <w:r>
        <w:rPr>
          <w:rFonts w:eastAsia="Arial" w:cs="Arial"/>
          <w:sz w:val="20"/>
          <w:szCs w:val="20"/>
        </w:rPr>
        <w:t>financial goals.</w:t>
      </w:r>
    </w:p>
    <w:p>
      <w:pPr>
        <w:pStyle w:val="normal0"/>
        <w:spacing w:before="200" w:after="200"/>
        <w:rPr>
          <w:rFonts w:eastAsia="Arial" w:cs="Arial"/>
          <w:sz w:val="20"/>
          <w:szCs w:val="20"/>
        </w:rPr>
      </w:pPr>
      <w:r>
        <w:rPr>
          <w:rFonts w:eastAsia="Arial" w:cs="Arial"/>
          <w:sz w:val="20"/>
          <w:szCs w:val="20"/>
          <w:u w:val="single"/>
        </w:rPr>
        <w:t>Institutional Clients</w:t>
      </w:r>
    </w:p>
    <w:p>
      <w:pPr>
        <w:pStyle w:val="normal0"/>
        <w:spacing w:before="200" w:after="200"/>
        <w:rPr>
          <w:rFonts w:eastAsia="Arial" w:cs="Arial"/>
          <w:sz w:val="20"/>
          <w:szCs w:val="20"/>
        </w:rPr>
      </w:pPr>
      <w:r>
        <w:rPr>
          <w:rFonts w:eastAsia="Arial" w:cs="Arial"/>
          <w:sz w:val="20"/>
          <w:szCs w:val="20"/>
        </w:rPr>
        <w:t xml:space="preserve">At a minimum, KCD and its investment adviser representative will follow the procedures set forth in the chapter </w:t>
      </w:r>
      <w:r>
        <w:rPr>
          <w:rFonts w:eastAsia="Arial" w:cs="Arial"/>
          <w:i/>
          <w:iCs/>
          <w:sz w:val="20"/>
          <w:szCs w:val="20"/>
        </w:rPr>
        <w:t>NEW CLIENTS AND ANTI-MONEY LAUNDERING</w:t>
      </w:r>
      <w:r>
        <w:rPr>
          <w:rFonts w:eastAsia="Arial" w:cs="Arial"/>
          <w:sz w:val="20"/>
          <w:szCs w:val="20"/>
        </w:rPr>
        <w:t xml:space="preserve"> and additionally make a reasonable inquiry in providing investment advice to institutional clients about the specific investment mandates from those clients.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in its Interpretation Regarding Standard of Conduct for Investment Advisers provided the following examples regarding the inquiry an investment adviser with an institutional client must make:</w:t>
            </w:r>
          </w:p>
          <w:p>
            <w:pPr>
              <w:numPr>
                <w:ilvl w:val="0"/>
                <w:numId w:val="206"/>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 investment adviser engaged to advise on an institutional client's investment grade bond portfolio would need to gain a reasonable understanding of the client's objectives within that bond portfolio, but not the client's objectives within its entire investment portfolio; and</w:t>
            </w:r>
          </w:p>
          <w:p>
            <w:pPr>
              <w:numPr>
                <w:ilvl w:val="0"/>
                <w:numId w:val="20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 investment adviser whose client is a registered investment company or a private fund would need to have a reasonable understanding of the fund's investment guidelines and objectives.</w:t>
            </w:r>
          </w:p>
          <w:p>
            <w:pPr>
              <w:rPr>
                <w:rFonts w:eastAsia="Arial" w:cs="Arial"/>
                <w:b w:val="0"/>
                <w:bCs w:val="0"/>
                <w:i w:val="0"/>
                <w:iCs w:val="0"/>
                <w:smallCaps w:val="0"/>
                <w:color w:val="000000"/>
                <w:sz w:val="24"/>
              </w:rPr>
            </w:pP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u w:val="single"/>
        </w:rPr>
        <w:t>Updating Client Information</w:t>
      </w:r>
    </w:p>
    <w:p>
      <w:pPr>
        <w:pStyle w:val="normal0"/>
        <w:spacing w:before="200" w:after="200"/>
        <w:rPr>
          <w:rFonts w:eastAsia="Arial" w:cs="Arial"/>
          <w:sz w:val="20"/>
          <w:szCs w:val="20"/>
        </w:rPr>
      </w:pPr>
      <w:r>
        <w:rPr>
          <w:rFonts w:eastAsia="Arial" w:cs="Arial"/>
          <w:sz w:val="20"/>
          <w:szCs w:val="20"/>
        </w:rPr>
        <w:t xml:space="preserve">At a minimum, KCD and its investment adviser representative will follow the procedures set forth in the chapter </w:t>
      </w:r>
      <w:r>
        <w:rPr>
          <w:rFonts w:eastAsia="Arial" w:cs="Arial"/>
          <w:i/>
          <w:iCs/>
          <w:sz w:val="20"/>
          <w:szCs w:val="20"/>
        </w:rPr>
        <w:t>EXISTING CLIENTS AND PRIVACY PROCEDURES</w:t>
      </w:r>
      <w:r>
        <w:rPr>
          <w:rFonts w:eastAsia="Arial" w:cs="Arial"/>
          <w:sz w:val="20"/>
          <w:szCs w:val="20"/>
        </w:rPr>
        <w:t xml:space="preserve"> to update each client's investment profile in order to maintain a reasonable understanding of the client's objectives and adjust the advice to reflect any changed circumstances.</w:t>
      </w:r>
    </w:p>
    <w:p>
      <w:pPr>
        <w:pStyle w:val="normal0"/>
        <w:spacing w:before="200" w:after="200"/>
        <w:rPr>
          <w:rFonts w:eastAsia="Arial" w:cs="Arial"/>
          <w:sz w:val="20"/>
          <w:szCs w:val="20"/>
        </w:rPr>
      </w:pPr>
      <w:r>
        <w:rPr>
          <w:rFonts w:eastAsia="Arial" w:cs="Arial"/>
          <w:sz w:val="20"/>
          <w:szCs w:val="20"/>
        </w:rPr>
        <w:t>The frequency with which KCD will update a client's investment profile in order to consider changes to any advice the adviser provides will turn on the facts and circumstances of the client, including whether KCD is aware of events that have occurred that could render inaccurate or incomplete the investment profile on which the adviser currently bases its advice.</w:t>
      </w:r>
    </w:p>
    <w:p>
      <w:pPr>
        <w:pStyle w:val="normal0"/>
        <w:spacing w:before="200" w:after="200"/>
        <w:rPr>
          <w:rFonts w:eastAsia="Arial" w:cs="Arial"/>
          <w:sz w:val="20"/>
          <w:szCs w:val="20"/>
        </w:rPr>
      </w:pPr>
      <w:r>
        <w:rPr>
          <w:rFonts w:eastAsia="Arial" w:cs="Arial"/>
          <w:sz w:val="20"/>
          <w:szCs w:val="20"/>
        </w:rPr>
        <w:t>Updating client information is not necessary:</w:t>
      </w:r>
    </w:p>
    <w:p>
      <w:pPr>
        <w:numPr>
          <w:ilvl w:val="0"/>
          <w:numId w:val="207"/>
        </w:numPr>
        <w:spacing w:before="200"/>
        <w:ind w:left="720" w:hanging="192"/>
        <w:jc w:val="left"/>
        <w:rPr>
          <w:rFonts w:eastAsia="Arial" w:cs="Arial"/>
          <w:sz w:val="20"/>
          <w:szCs w:val="20"/>
        </w:rPr>
      </w:pPr>
      <w:r>
        <w:rPr>
          <w:rFonts w:eastAsia="Arial" w:cs="Arial"/>
          <w:sz w:val="20"/>
          <w:szCs w:val="20"/>
        </w:rPr>
        <w:t>in situations where KCD provides one-time investment advice; and</w:t>
      </w:r>
    </w:p>
    <w:p>
      <w:pPr>
        <w:numPr>
          <w:ilvl w:val="0"/>
          <w:numId w:val="207"/>
        </w:numPr>
        <w:spacing w:after="200"/>
        <w:ind w:left="720" w:hanging="192"/>
        <w:jc w:val="left"/>
        <w:rPr>
          <w:rFonts w:eastAsia="Arial" w:cs="Arial"/>
          <w:sz w:val="20"/>
          <w:szCs w:val="20"/>
        </w:rPr>
      </w:pPr>
      <w:r>
        <w:rPr>
          <w:rFonts w:eastAsia="Arial" w:cs="Arial"/>
          <w:sz w:val="20"/>
          <w:szCs w:val="20"/>
        </w:rPr>
        <w:t>when KCD, acting on specific investment mandates for institutional clients, particularly funds, except as may be set forth in the advisory agreement between KCD and the institutional client.</w:t>
      </w:r>
    </w:p>
    <w:p>
      <w:pPr>
        <w:pStyle w:val="normal0"/>
        <w:spacing w:before="200" w:after="200"/>
        <w:rPr>
          <w:rFonts w:eastAsia="Arial" w:cs="Arial"/>
          <w:sz w:val="20"/>
          <w:szCs w:val="20"/>
        </w:rPr>
      </w:pPr>
      <w:r>
        <w:rPr>
          <w:rFonts w:eastAsia="Arial" w:cs="Arial"/>
          <w:b/>
          <w:bCs/>
          <w:sz w:val="20"/>
          <w:szCs w:val="20"/>
        </w:rPr>
        <w:t>Reasonable Belief that Investment Advice is in Client's Best Interest</w:t>
      </w:r>
    </w:p>
    <w:p>
      <w:pPr>
        <w:pStyle w:val="normal0"/>
        <w:spacing w:before="200" w:after="200"/>
        <w:rPr>
          <w:rFonts w:eastAsia="Arial" w:cs="Arial"/>
          <w:sz w:val="20"/>
          <w:szCs w:val="20"/>
        </w:rPr>
      </w:pPr>
      <w:r>
        <w:rPr>
          <w:rFonts w:eastAsia="Arial" w:cs="Arial"/>
          <w:sz w:val="20"/>
          <w:szCs w:val="20"/>
        </w:rPr>
        <w:t>KCD and its investment adviser representative will have a reasonable belief that the advice it provides is in the best interest of each client based on the client's objectives. KCD will conclude whether the advice is in a client's best interest by making such evaluation in the context of the portfolio that the adviser manages for the client and the client's objectives.</w:t>
      </w:r>
    </w:p>
    <w:p>
      <w:pPr>
        <w:pStyle w:val="normal0"/>
        <w:spacing w:before="200" w:after="200"/>
        <w:rPr>
          <w:rFonts w:eastAsia="Arial" w:cs="Arial"/>
          <w:sz w:val="20"/>
          <w:szCs w:val="20"/>
        </w:rPr>
      </w:pPr>
      <w:r>
        <w:rPr>
          <w:rFonts w:eastAsia="Arial" w:cs="Arial"/>
          <w:sz w:val="20"/>
          <w:szCs w:val="20"/>
          <w:u w:val="single"/>
        </w:rPr>
        <w:t>Risk Tolerance and Similar Factors</w:t>
      </w:r>
    </w:p>
    <w:p>
      <w:pPr>
        <w:pStyle w:val="normal0"/>
        <w:spacing w:before="200" w:after="200"/>
        <w:rPr>
          <w:rFonts w:eastAsia="Arial" w:cs="Arial"/>
          <w:sz w:val="20"/>
          <w:szCs w:val="20"/>
        </w:rPr>
      </w:pPr>
      <w:r>
        <w:rPr>
          <w:rFonts w:eastAsia="Arial" w:cs="Arial"/>
          <w:sz w:val="20"/>
          <w:szCs w:val="20"/>
        </w:rPr>
        <w:t>With respect to each investment recommendation, KCD will analyze whether securities and investment products based upon their disclosures and otherwise are suitable based upon the client's investment objectives, risk tolerance, and financial/personal backgrounds, with emphasis on:</w:t>
      </w:r>
    </w:p>
    <w:p>
      <w:pPr>
        <w:numPr>
          <w:ilvl w:val="0"/>
          <w:numId w:val="208"/>
        </w:numPr>
        <w:spacing w:before="200"/>
        <w:ind w:left="720" w:hanging="267"/>
        <w:jc w:val="left"/>
        <w:rPr>
          <w:rFonts w:eastAsia="Arial" w:cs="Arial"/>
          <w:sz w:val="20"/>
          <w:szCs w:val="20"/>
        </w:rPr>
      </w:pPr>
      <w:r>
        <w:rPr>
          <w:rFonts w:eastAsia="Arial" w:cs="Arial"/>
          <w:sz w:val="20"/>
          <w:szCs w:val="20"/>
        </w:rPr>
        <w:t>recommendations to older investors and those saving for retirement;</w:t>
      </w:r>
    </w:p>
    <w:p>
      <w:pPr>
        <w:numPr>
          <w:ilvl w:val="0"/>
          <w:numId w:val="208"/>
        </w:numPr>
        <w:ind w:left="720" w:hanging="267"/>
        <w:jc w:val="left"/>
        <w:rPr>
          <w:rFonts w:eastAsia="Arial" w:cs="Arial"/>
          <w:sz w:val="20"/>
          <w:szCs w:val="20"/>
        </w:rPr>
      </w:pPr>
      <w:r>
        <w:rPr>
          <w:rFonts w:eastAsia="Arial" w:cs="Arial"/>
          <w:sz w:val="20"/>
          <w:szCs w:val="20"/>
        </w:rPr>
        <w:t>recommendations involving private funds, registered funds and separately managed account programs sponsored by KCD (</w:t>
      </w:r>
      <w:r>
        <w:rPr>
          <w:rFonts w:eastAsia="Arial" w:cs="Arial"/>
          <w:i/>
          <w:iCs/>
          <w:sz w:val="20"/>
          <w:szCs w:val="20"/>
        </w:rPr>
        <w:t>e.g.</w:t>
      </w:r>
      <w:r>
        <w:rPr>
          <w:rFonts w:eastAsia="Arial" w:cs="Arial"/>
          <w:sz w:val="20"/>
          <w:szCs w:val="20"/>
        </w:rPr>
        <w:t>, reviewing for favoritism in investment); and</w:t>
      </w:r>
    </w:p>
    <w:p>
      <w:pPr>
        <w:numPr>
          <w:ilvl w:val="0"/>
          <w:numId w:val="208"/>
        </w:numPr>
        <w:spacing w:after="200"/>
        <w:ind w:left="720" w:hanging="267"/>
        <w:jc w:val="left"/>
        <w:rPr>
          <w:rFonts w:eastAsia="Arial" w:cs="Arial"/>
          <w:sz w:val="20"/>
          <w:szCs w:val="20"/>
        </w:rPr>
      </w:pPr>
      <w:r>
        <w:rPr>
          <w:rFonts w:eastAsia="Arial" w:cs="Arial"/>
          <w:sz w:val="20"/>
          <w:szCs w:val="20"/>
        </w:rPr>
        <w:t>recommendations of certain products that may be particularly sensitive to market volatility.</w:t>
      </w:r>
    </w:p>
    <w:p>
      <w:pPr>
        <w:pStyle w:val="normal0"/>
        <w:spacing w:before="200" w:after="200"/>
        <w:rPr>
          <w:rFonts w:eastAsia="Arial" w:cs="Arial"/>
          <w:sz w:val="20"/>
          <w:szCs w:val="20"/>
        </w:rPr>
      </w:pPr>
      <w:r>
        <w:rPr>
          <w:rFonts w:eastAsia="Arial" w:cs="Arial"/>
          <w:sz w:val="20"/>
          <w:szCs w:val="20"/>
          <w:u w:val="single"/>
        </w:rPr>
        <w:t>Complex Products</w:t>
      </w:r>
    </w:p>
    <w:p>
      <w:pPr>
        <w:pStyle w:val="normal0"/>
        <w:spacing w:before="200" w:after="200"/>
        <w:rPr>
          <w:rFonts w:eastAsia="Arial" w:cs="Arial"/>
          <w:sz w:val="20"/>
          <w:szCs w:val="20"/>
        </w:rPr>
      </w:pPr>
      <w:r>
        <w:rPr>
          <w:rFonts w:eastAsia="Arial" w:cs="Arial"/>
          <w:sz w:val="20"/>
          <w:szCs w:val="20"/>
        </w:rPr>
        <w:t>When KCD assesses whether high risk products are in a client's best interest, KCD will apply heightened scrutiny to whether such investments fall within the client's risk tolerance and objectives.</w:t>
      </w:r>
    </w:p>
    <w:p>
      <w:pPr>
        <w:pStyle w:val="normal0"/>
        <w:spacing w:before="200" w:after="200"/>
        <w:rPr>
          <w:rFonts w:eastAsia="Arial" w:cs="Arial"/>
          <w:sz w:val="20"/>
          <w:szCs w:val="20"/>
        </w:rPr>
      </w:pPr>
      <w:r>
        <w:rPr>
          <w:rFonts w:eastAsia="Arial" w:cs="Arial"/>
          <w:sz w:val="20"/>
          <w:szCs w:val="20"/>
        </w:rPr>
        <w:t>KCD independently will investigate complex investment products (</w:t>
      </w:r>
      <w:r>
        <w:rPr>
          <w:rFonts w:eastAsia="Arial" w:cs="Arial"/>
          <w:i/>
          <w:iCs/>
          <w:sz w:val="20"/>
          <w:szCs w:val="20"/>
        </w:rPr>
        <w:t>e.g.</w:t>
      </w:r>
      <w:r>
        <w:rPr>
          <w:rFonts w:eastAsia="Arial" w:cs="Arial"/>
          <w:sz w:val="20"/>
          <w:szCs w:val="20"/>
        </w:rPr>
        <w:t>, exchange traded funds (ETF) wrappers on less liquid underlying strategies, leveraged and/or inverse ETFs and closed-end funds that make private equity type investments or invest in private equity vehicles) before recommending them to clients and if it elects to recommend them to clients, it will ensure that such products are suitable for the client including factoring in the sophistication of the client. When making such investigation, KCD will consider the product's:</w:t>
      </w:r>
    </w:p>
    <w:p>
      <w:pPr>
        <w:numPr>
          <w:ilvl w:val="0"/>
          <w:numId w:val="209"/>
        </w:numPr>
        <w:spacing w:before="200"/>
        <w:ind w:left="720" w:hanging="192"/>
        <w:jc w:val="left"/>
        <w:rPr>
          <w:rFonts w:eastAsia="Arial" w:cs="Arial"/>
          <w:sz w:val="20"/>
          <w:szCs w:val="20"/>
        </w:rPr>
      </w:pPr>
      <w:r>
        <w:rPr>
          <w:rFonts w:eastAsia="Arial" w:cs="Arial"/>
          <w:sz w:val="20"/>
          <w:szCs w:val="20"/>
        </w:rPr>
        <w:t>material features;</w:t>
      </w:r>
    </w:p>
    <w:p>
      <w:pPr>
        <w:numPr>
          <w:ilvl w:val="0"/>
          <w:numId w:val="209"/>
        </w:numPr>
        <w:ind w:left="720" w:hanging="192"/>
        <w:jc w:val="left"/>
        <w:rPr>
          <w:rFonts w:eastAsia="Arial" w:cs="Arial"/>
          <w:sz w:val="20"/>
          <w:szCs w:val="20"/>
        </w:rPr>
      </w:pPr>
      <w:r>
        <w:rPr>
          <w:rFonts w:eastAsia="Arial" w:cs="Arial"/>
          <w:sz w:val="20"/>
          <w:szCs w:val="20"/>
        </w:rPr>
        <w:t>strategy or investment objective (if it is a fund);</w:t>
      </w:r>
    </w:p>
    <w:p>
      <w:pPr>
        <w:numPr>
          <w:ilvl w:val="0"/>
          <w:numId w:val="209"/>
        </w:numPr>
        <w:ind w:left="720" w:hanging="192"/>
        <w:jc w:val="left"/>
        <w:rPr>
          <w:rFonts w:eastAsia="Arial" w:cs="Arial"/>
          <w:sz w:val="20"/>
          <w:szCs w:val="20"/>
        </w:rPr>
      </w:pPr>
      <w:r>
        <w:rPr>
          <w:rFonts w:eastAsia="Arial" w:cs="Arial"/>
          <w:sz w:val="20"/>
          <w:szCs w:val="20"/>
        </w:rPr>
        <w:t>characteristics (including any special or unusual features);</w:t>
      </w:r>
    </w:p>
    <w:p>
      <w:pPr>
        <w:numPr>
          <w:ilvl w:val="0"/>
          <w:numId w:val="209"/>
        </w:numPr>
        <w:ind w:left="720" w:hanging="192"/>
        <w:jc w:val="left"/>
        <w:rPr>
          <w:rFonts w:eastAsia="Arial" w:cs="Arial"/>
          <w:sz w:val="20"/>
          <w:szCs w:val="20"/>
        </w:rPr>
      </w:pPr>
      <w:r>
        <w:rPr>
          <w:rFonts w:eastAsia="Arial" w:cs="Arial"/>
          <w:sz w:val="20"/>
          <w:szCs w:val="20"/>
        </w:rPr>
        <w:t>liquidity;</w:t>
      </w:r>
    </w:p>
    <w:p>
      <w:pPr>
        <w:numPr>
          <w:ilvl w:val="0"/>
          <w:numId w:val="209"/>
        </w:numPr>
        <w:ind w:left="720" w:hanging="192"/>
        <w:jc w:val="left"/>
        <w:rPr>
          <w:rFonts w:eastAsia="Arial" w:cs="Arial"/>
          <w:sz w:val="20"/>
          <w:szCs w:val="20"/>
        </w:rPr>
      </w:pPr>
      <w:r>
        <w:rPr>
          <w:rFonts w:eastAsia="Arial" w:cs="Arial"/>
          <w:sz w:val="20"/>
          <w:szCs w:val="20"/>
        </w:rPr>
        <w:t>risks and potential benefits;</w:t>
      </w:r>
    </w:p>
    <w:p>
      <w:pPr>
        <w:numPr>
          <w:ilvl w:val="0"/>
          <w:numId w:val="209"/>
        </w:numPr>
        <w:ind w:left="720" w:hanging="192"/>
        <w:jc w:val="left"/>
        <w:rPr>
          <w:rFonts w:eastAsia="Arial" w:cs="Arial"/>
          <w:sz w:val="20"/>
          <w:szCs w:val="20"/>
        </w:rPr>
      </w:pPr>
      <w:r>
        <w:rPr>
          <w:rFonts w:eastAsia="Arial" w:cs="Arial"/>
          <w:sz w:val="20"/>
          <w:szCs w:val="20"/>
        </w:rPr>
        <w:t>volatility;</w:t>
      </w:r>
    </w:p>
    <w:p>
      <w:pPr>
        <w:numPr>
          <w:ilvl w:val="0"/>
          <w:numId w:val="209"/>
        </w:numPr>
        <w:ind w:left="720" w:hanging="192"/>
        <w:jc w:val="left"/>
        <w:rPr>
          <w:rFonts w:eastAsia="Arial" w:cs="Arial"/>
          <w:sz w:val="20"/>
          <w:szCs w:val="20"/>
        </w:rPr>
      </w:pPr>
      <w:r>
        <w:rPr>
          <w:rFonts w:eastAsia="Arial" w:cs="Arial"/>
          <w:sz w:val="20"/>
          <w:szCs w:val="20"/>
        </w:rPr>
        <w:t>discounts of share price to net asset value per share;</w:t>
      </w:r>
    </w:p>
    <w:p>
      <w:pPr>
        <w:numPr>
          <w:ilvl w:val="0"/>
          <w:numId w:val="209"/>
        </w:numPr>
        <w:ind w:left="720" w:hanging="192"/>
        <w:jc w:val="left"/>
        <w:rPr>
          <w:rFonts w:eastAsia="Arial" w:cs="Arial"/>
          <w:sz w:val="20"/>
          <w:szCs w:val="20"/>
        </w:rPr>
      </w:pPr>
      <w:r>
        <w:rPr>
          <w:rFonts w:eastAsia="Arial" w:cs="Arial"/>
          <w:sz w:val="20"/>
          <w:szCs w:val="20"/>
        </w:rPr>
        <w:t>likely performance in a variety of market and economic conditions; and</w:t>
      </w:r>
    </w:p>
    <w:p>
      <w:pPr>
        <w:numPr>
          <w:ilvl w:val="0"/>
          <w:numId w:val="209"/>
        </w:numPr>
        <w:spacing w:after="200"/>
        <w:ind w:left="720" w:hanging="192"/>
        <w:jc w:val="left"/>
        <w:rPr>
          <w:rFonts w:eastAsia="Arial" w:cs="Arial"/>
          <w:sz w:val="20"/>
          <w:szCs w:val="20"/>
        </w:rPr>
      </w:pPr>
      <w:r>
        <w:rPr>
          <w:rFonts w:eastAsia="Arial" w:cs="Arial"/>
          <w:sz w:val="20"/>
          <w:szCs w:val="20"/>
        </w:rPr>
        <w:t>cost of exit.</w:t>
      </w:r>
    </w:p>
    <w:p>
      <w:pPr>
        <w:pStyle w:val="normal0"/>
        <w:spacing w:before="200" w:after="200"/>
        <w:rPr>
          <w:rFonts w:eastAsia="Arial" w:cs="Arial"/>
          <w:sz w:val="20"/>
          <w:szCs w:val="20"/>
        </w:rPr>
      </w:pPr>
      <w:r>
        <w:rPr>
          <w:rFonts w:eastAsia="Arial" w:cs="Arial"/>
          <w:sz w:val="20"/>
          <w:szCs w:val="20"/>
        </w:rPr>
        <w:t>With respect to volatility, KCD, as frequently as necessary, will review each client's investments in volatile instruments and during such review reach a reasonable basis to conclude that holding the volatile instrument for extended time periods is suitable for such client. KCD will review and consider the disclosure document or other disclosure information about such volatile instrument including the risks of holding the instrument for extended periods. Depending on the nature of the volatile instrument, KCD recognizes that an extended period may be a matter of days.</w:t>
      </w:r>
    </w:p>
    <w:p>
      <w:pPr>
        <w:pStyle w:val="normal0"/>
        <w:spacing w:before="200" w:after="200"/>
        <w:rPr>
          <w:rFonts w:eastAsia="Arial" w:cs="Arial"/>
          <w:sz w:val="20"/>
          <w:szCs w:val="20"/>
        </w:rPr>
      </w:pPr>
      <w:r>
        <w:rPr>
          <w:rFonts w:eastAsia="Arial" w:cs="Arial"/>
          <w:sz w:val="20"/>
          <w:szCs w:val="20"/>
        </w:rPr>
        <w:t>KCD will document the recommendation, particularly where a recommendation may seem inconsistent with the client's objectives on its face.</w:t>
      </w:r>
    </w:p>
    <w:p>
      <w:pPr>
        <w:pStyle w:val="normal0"/>
        <w:spacing w:before="200" w:after="200"/>
        <w:rPr>
          <w:rFonts w:eastAsia="Arial" w:cs="Arial"/>
          <w:sz w:val="20"/>
          <w:szCs w:val="20"/>
        </w:rPr>
      </w:pPr>
      <w:r>
        <w:rPr>
          <w:rFonts w:eastAsia="Arial" w:cs="Arial"/>
          <w:sz w:val="20"/>
          <w:szCs w:val="20"/>
          <w:u w:val="single"/>
        </w:rPr>
        <w:t>Investment Product Cost</w:t>
      </w:r>
    </w:p>
    <w:p>
      <w:pPr>
        <w:pStyle w:val="normal0"/>
        <w:spacing w:before="200" w:after="200"/>
        <w:rPr>
          <w:rFonts w:eastAsia="Arial" w:cs="Arial"/>
          <w:sz w:val="20"/>
          <w:szCs w:val="20"/>
        </w:rPr>
      </w:pPr>
      <w:r>
        <w:rPr>
          <w:rFonts w:eastAsia="Arial" w:cs="Arial"/>
          <w:sz w:val="20"/>
          <w:szCs w:val="20"/>
        </w:rPr>
        <w:t>KCD will consider the cost of the investment product recommended for a client as a factor with respect to whether it is in the best interest of the client. When making this determination, KCD:</w:t>
      </w:r>
    </w:p>
    <w:p>
      <w:pPr>
        <w:numPr>
          <w:ilvl w:val="0"/>
          <w:numId w:val="210"/>
        </w:numPr>
        <w:spacing w:before="200"/>
        <w:ind w:left="720" w:hanging="192"/>
        <w:jc w:val="left"/>
        <w:rPr>
          <w:rFonts w:eastAsia="Arial" w:cs="Arial"/>
          <w:sz w:val="20"/>
          <w:szCs w:val="20"/>
        </w:rPr>
      </w:pPr>
      <w:r>
        <w:rPr>
          <w:rFonts w:eastAsia="Arial" w:cs="Arial"/>
          <w:sz w:val="20"/>
          <w:szCs w:val="20"/>
        </w:rPr>
        <w:t>will not invest client's assets in the lowest cost investment product and do no additional investigation as to whether it is the best product for the client; and</w:t>
      </w:r>
    </w:p>
    <w:p>
      <w:pPr>
        <w:numPr>
          <w:ilvl w:val="0"/>
          <w:numId w:val="210"/>
        </w:numPr>
        <w:spacing w:after="200"/>
        <w:ind w:left="720" w:hanging="192"/>
        <w:jc w:val="left"/>
        <w:rPr>
          <w:rFonts w:eastAsia="Arial" w:cs="Arial"/>
          <w:sz w:val="20"/>
          <w:szCs w:val="20"/>
        </w:rPr>
      </w:pPr>
      <w:r>
        <w:rPr>
          <w:rFonts w:eastAsia="Arial" w:cs="Arial"/>
          <w:sz w:val="20"/>
          <w:szCs w:val="20"/>
        </w:rPr>
        <w:t>may recommend a higher-cost investment or strategy if KCD reasonably concludes that there are other factors about the investment or strategy that outweigh cost and make the investment or strategy in the best interest of the client, in light of that client's objectives.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has stated that while cost must be considered, it should never be the only consideration. Cost is only one of many important factors to be considered regarding the recommendation and that the standard does not necessarily require the "lowest cost option." KCD and IARs need to consider costs in light of other factors and the client's investment profile.</w:t>
            </w:r>
          </w:p>
        </w:tc>
      </w:tr>
    </w:tbl>
    <w:p>
      <w:pPr>
        <w:pStyle w:val="normal0"/>
        <w:spacing w:before="200" w:after="200"/>
        <w:rPr>
          <w:rFonts w:eastAsia="Arial" w:cs="Arial"/>
          <w:sz w:val="20"/>
          <w:szCs w:val="20"/>
        </w:rPr>
      </w:pPr>
      <w:r>
        <w:rPr>
          <w:rFonts w:eastAsia="Arial" w:cs="Arial"/>
          <w:sz w:val="20"/>
          <w:szCs w:val="20"/>
        </w:rPr>
        <w:br/>
      </w:r>
      <w:r>
        <w:rPr>
          <w:rFonts w:eastAsia="Arial" w:cs="Arial"/>
          <w:sz w:val="20"/>
          <w:szCs w:val="20"/>
          <w:u w:val="single"/>
        </w:rPr>
        <w:t>Account Type</w:t>
      </w:r>
    </w:p>
    <w:p>
      <w:pPr>
        <w:pStyle w:val="normal0"/>
        <w:spacing w:before="200" w:after="200"/>
        <w:rPr>
          <w:rFonts w:eastAsia="Arial" w:cs="Arial"/>
          <w:sz w:val="20"/>
          <w:szCs w:val="20"/>
        </w:rPr>
      </w:pPr>
      <w:r>
        <w:rPr>
          <w:rFonts w:eastAsia="Arial" w:cs="Arial"/>
          <w:sz w:val="20"/>
          <w:szCs w:val="20"/>
        </w:rPr>
        <w:t>If KCD makes available more than one type of account (</w:t>
      </w:r>
      <w:r>
        <w:rPr>
          <w:rFonts w:eastAsia="Arial" w:cs="Arial"/>
          <w:i/>
          <w:iCs/>
          <w:sz w:val="20"/>
          <w:szCs w:val="20"/>
        </w:rPr>
        <w:t>e.g.,</w:t>
      </w:r>
      <w:r>
        <w:rPr>
          <w:rFonts w:eastAsia="Arial" w:cs="Arial"/>
          <w:sz w:val="20"/>
          <w:szCs w:val="20"/>
        </w:rPr>
        <w:t xml:space="preserve"> a standard account, a wrap account, an IRA account and a retirement account), KCD will recommend the account type best suited for the client. In providing advice about account type, KCD will consider all types of accounts offered by the adviser and acknowledge to a client when the account types the adviser offers are not in the client's best interest.</w:t>
      </w:r>
    </w:p>
    <w:p>
      <w:pPr>
        <w:pStyle w:val="normal0"/>
        <w:spacing w:before="200" w:after="200"/>
        <w:rPr>
          <w:rFonts w:eastAsia="Arial" w:cs="Arial"/>
          <w:sz w:val="20"/>
          <w:szCs w:val="20"/>
        </w:rPr>
      </w:pPr>
      <w:r>
        <w:rPr>
          <w:rFonts w:eastAsia="Arial" w:cs="Arial"/>
          <w:sz w:val="20"/>
          <w:szCs w:val="20"/>
        </w:rPr>
        <w:t>KCD will make the above considerations regarding the appropriate account when:</w:t>
      </w:r>
    </w:p>
    <w:p>
      <w:pPr>
        <w:numPr>
          <w:ilvl w:val="0"/>
          <w:numId w:val="211"/>
        </w:numPr>
        <w:spacing w:before="200"/>
        <w:ind w:left="720" w:hanging="192"/>
        <w:jc w:val="left"/>
        <w:rPr>
          <w:rFonts w:eastAsia="Arial" w:cs="Arial"/>
          <w:sz w:val="20"/>
          <w:szCs w:val="20"/>
        </w:rPr>
      </w:pPr>
      <w:r>
        <w:rPr>
          <w:rFonts w:eastAsia="Arial" w:cs="Arial"/>
          <w:sz w:val="20"/>
          <w:szCs w:val="20"/>
        </w:rPr>
        <w:t>opening a client account;</w:t>
      </w:r>
    </w:p>
    <w:p>
      <w:pPr>
        <w:numPr>
          <w:ilvl w:val="0"/>
          <w:numId w:val="211"/>
        </w:numPr>
        <w:ind w:left="720" w:hanging="192"/>
        <w:jc w:val="left"/>
        <w:rPr>
          <w:rFonts w:eastAsia="Arial" w:cs="Arial"/>
          <w:sz w:val="20"/>
          <w:szCs w:val="20"/>
        </w:rPr>
      </w:pPr>
      <w:r>
        <w:rPr>
          <w:rFonts w:eastAsia="Arial" w:cs="Arial"/>
          <w:sz w:val="20"/>
          <w:szCs w:val="20"/>
        </w:rPr>
        <w:t>deciding between a commission-based brokerage account or a fee-based advisory account; and</w:t>
      </w:r>
    </w:p>
    <w:p>
      <w:pPr>
        <w:numPr>
          <w:ilvl w:val="0"/>
          <w:numId w:val="211"/>
        </w:numPr>
        <w:spacing w:after="200"/>
        <w:ind w:left="720" w:hanging="192"/>
        <w:jc w:val="left"/>
        <w:rPr>
          <w:rFonts w:eastAsia="Arial" w:cs="Arial"/>
          <w:sz w:val="20"/>
          <w:szCs w:val="20"/>
        </w:rPr>
      </w:pPr>
      <w:r>
        <w:rPr>
          <w:rFonts w:eastAsia="Arial" w:cs="Arial"/>
          <w:sz w:val="20"/>
          <w:szCs w:val="20"/>
        </w:rPr>
        <w:t>providing advice about whether to roll over assets from one account (</w:t>
      </w:r>
      <w:r>
        <w:rPr>
          <w:rFonts w:eastAsia="Arial" w:cs="Arial"/>
          <w:i/>
          <w:iCs/>
          <w:sz w:val="20"/>
          <w:szCs w:val="20"/>
        </w:rPr>
        <w:t>e.g.,</w:t>
      </w:r>
      <w:r>
        <w:rPr>
          <w:rFonts w:eastAsia="Arial" w:cs="Arial"/>
          <w:sz w:val="20"/>
          <w:szCs w:val="20"/>
        </w:rPr>
        <w:t xml:space="preserve"> a retirement account) into a new or existing account that KCD or an affiliate of KCD manages.</w:t>
      </w:r>
    </w:p>
    <w:p>
      <w:pPr>
        <w:pStyle w:val="normal0"/>
        <w:spacing w:before="200" w:after="200"/>
        <w:rPr>
          <w:rFonts w:eastAsia="Arial" w:cs="Arial"/>
          <w:sz w:val="20"/>
          <w:szCs w:val="20"/>
        </w:rPr>
      </w:pPr>
      <w:r>
        <w:rPr>
          <w:rFonts w:eastAsia="Arial" w:cs="Arial"/>
          <w:sz w:val="20"/>
          <w:szCs w:val="20"/>
        </w:rPr>
        <w:t>KCD will have a reasonable basis for recommending types of accounts (margin, brokerage or advisory, IRAs,</w:t>
      </w:r>
      <w:r>
        <w:rPr>
          <w:rFonts w:eastAsia="Arial" w:cs="Arial"/>
          <w:i/>
          <w:iCs/>
          <w:sz w:val="20"/>
          <w:szCs w:val="20"/>
        </w:rPr>
        <w:t xml:space="preserve"> etc.</w:t>
      </w:r>
      <w:r>
        <w:rPr>
          <w:rFonts w:eastAsia="Arial" w:cs="Arial"/>
          <w:sz w:val="20"/>
          <w:szCs w:val="20"/>
        </w:rPr>
        <w:t>) to a client. In making such recommendations, KCD shall consider at a minimum:</w:t>
      </w:r>
    </w:p>
    <w:p>
      <w:pPr>
        <w:numPr>
          <w:ilvl w:val="0"/>
          <w:numId w:val="212"/>
        </w:numPr>
        <w:spacing w:before="200"/>
        <w:ind w:left="720" w:hanging="192"/>
        <w:jc w:val="left"/>
        <w:rPr>
          <w:rFonts w:eastAsia="Arial" w:cs="Arial"/>
          <w:sz w:val="20"/>
          <w:szCs w:val="20"/>
        </w:rPr>
      </w:pPr>
      <w:r>
        <w:rPr>
          <w:rFonts w:eastAsia="Arial" w:cs="Arial"/>
          <w:sz w:val="20"/>
          <w:szCs w:val="20"/>
        </w:rPr>
        <w:t>services and products provided in the account;</w:t>
      </w:r>
    </w:p>
    <w:p>
      <w:pPr>
        <w:numPr>
          <w:ilvl w:val="0"/>
          <w:numId w:val="212"/>
        </w:numPr>
        <w:ind w:left="720" w:hanging="192"/>
        <w:jc w:val="left"/>
        <w:rPr>
          <w:rFonts w:eastAsia="Arial" w:cs="Arial"/>
          <w:sz w:val="20"/>
          <w:szCs w:val="20"/>
        </w:rPr>
      </w:pPr>
      <w:r>
        <w:rPr>
          <w:rFonts w:eastAsia="Arial" w:cs="Arial"/>
          <w:sz w:val="20"/>
          <w:szCs w:val="20"/>
        </w:rPr>
        <w:t>projected cost of the account;</w:t>
      </w:r>
    </w:p>
    <w:p>
      <w:pPr>
        <w:numPr>
          <w:ilvl w:val="0"/>
          <w:numId w:val="212"/>
        </w:numPr>
        <w:ind w:left="720" w:hanging="192"/>
        <w:jc w:val="left"/>
        <w:rPr>
          <w:rFonts w:eastAsia="Arial" w:cs="Arial"/>
          <w:sz w:val="20"/>
          <w:szCs w:val="20"/>
        </w:rPr>
      </w:pPr>
      <w:r>
        <w:rPr>
          <w:rFonts w:eastAsia="Arial" w:cs="Arial"/>
          <w:sz w:val="20"/>
          <w:szCs w:val="20"/>
        </w:rPr>
        <w:t>alternative account types available;</w:t>
      </w:r>
    </w:p>
    <w:p>
      <w:pPr>
        <w:numPr>
          <w:ilvl w:val="0"/>
          <w:numId w:val="212"/>
        </w:numPr>
        <w:ind w:left="720" w:hanging="192"/>
        <w:jc w:val="left"/>
        <w:rPr>
          <w:rFonts w:eastAsia="Arial" w:cs="Arial"/>
          <w:sz w:val="20"/>
          <w:szCs w:val="20"/>
        </w:rPr>
      </w:pPr>
      <w:r>
        <w:rPr>
          <w:rFonts w:eastAsia="Arial" w:cs="Arial"/>
          <w:sz w:val="20"/>
          <w:szCs w:val="20"/>
        </w:rPr>
        <w:t>services the client requests; and</w:t>
      </w:r>
    </w:p>
    <w:p>
      <w:pPr>
        <w:numPr>
          <w:ilvl w:val="0"/>
          <w:numId w:val="212"/>
        </w:numPr>
        <w:spacing w:after="200"/>
        <w:ind w:left="720" w:hanging="192"/>
        <w:jc w:val="left"/>
        <w:rPr>
          <w:rFonts w:eastAsia="Arial" w:cs="Arial"/>
          <w:sz w:val="20"/>
          <w:szCs w:val="20"/>
        </w:rPr>
      </w:pPr>
      <w:r>
        <w:rPr>
          <w:rFonts w:eastAsia="Arial" w:cs="Arial"/>
          <w:sz w:val="20"/>
          <w:szCs w:val="20"/>
        </w:rPr>
        <w:t>the client's investment profile.</w:t>
      </w:r>
    </w:p>
    <w:p>
      <w:pPr>
        <w:pStyle w:val="normal0"/>
        <w:spacing w:before="200" w:after="200"/>
        <w:rPr>
          <w:rFonts w:eastAsia="Arial" w:cs="Arial"/>
          <w:sz w:val="20"/>
          <w:szCs w:val="20"/>
        </w:rPr>
      </w:pPr>
      <w:r>
        <w:rPr>
          <w:rFonts w:eastAsia="Arial" w:cs="Arial"/>
          <w:sz w:val="20"/>
          <w:szCs w:val="20"/>
        </w:rPr>
        <w:t>When recommending a particular IRA account (including rollovers or transfers of assets in a workplace retirement plan account to an IRA), KCD and IAR will consider:</w:t>
      </w:r>
    </w:p>
    <w:p>
      <w:pPr>
        <w:numPr>
          <w:ilvl w:val="0"/>
          <w:numId w:val="213"/>
        </w:numPr>
        <w:spacing w:before="200"/>
        <w:ind w:left="720" w:hanging="192"/>
        <w:jc w:val="left"/>
        <w:rPr>
          <w:rFonts w:eastAsia="Arial" w:cs="Arial"/>
          <w:sz w:val="20"/>
          <w:szCs w:val="20"/>
        </w:rPr>
      </w:pPr>
      <w:r>
        <w:rPr>
          <w:rFonts w:eastAsia="Arial" w:cs="Arial"/>
          <w:sz w:val="20"/>
          <w:szCs w:val="20"/>
        </w:rPr>
        <w:t>fees and expenses;</w:t>
      </w:r>
    </w:p>
    <w:p>
      <w:pPr>
        <w:numPr>
          <w:ilvl w:val="0"/>
          <w:numId w:val="213"/>
        </w:numPr>
        <w:ind w:left="720" w:hanging="192"/>
        <w:jc w:val="left"/>
        <w:rPr>
          <w:rFonts w:eastAsia="Arial" w:cs="Arial"/>
          <w:sz w:val="20"/>
          <w:szCs w:val="20"/>
        </w:rPr>
      </w:pPr>
      <w:r>
        <w:rPr>
          <w:rFonts w:eastAsia="Arial" w:cs="Arial"/>
          <w:sz w:val="20"/>
          <w:szCs w:val="20"/>
        </w:rPr>
        <w:t>level of services available;</w:t>
      </w:r>
    </w:p>
    <w:p>
      <w:pPr>
        <w:numPr>
          <w:ilvl w:val="0"/>
          <w:numId w:val="213"/>
        </w:numPr>
        <w:ind w:left="720" w:hanging="192"/>
        <w:jc w:val="left"/>
        <w:rPr>
          <w:rFonts w:eastAsia="Arial" w:cs="Arial"/>
          <w:sz w:val="20"/>
          <w:szCs w:val="20"/>
        </w:rPr>
      </w:pPr>
      <w:r>
        <w:rPr>
          <w:rFonts w:eastAsia="Arial" w:cs="Arial"/>
          <w:sz w:val="20"/>
          <w:szCs w:val="20"/>
        </w:rPr>
        <w:t>ability to take penalty-free withdrawals;</w:t>
      </w:r>
    </w:p>
    <w:p>
      <w:pPr>
        <w:numPr>
          <w:ilvl w:val="0"/>
          <w:numId w:val="213"/>
        </w:numPr>
        <w:ind w:left="720" w:hanging="192"/>
        <w:jc w:val="left"/>
        <w:rPr>
          <w:rFonts w:eastAsia="Arial" w:cs="Arial"/>
          <w:sz w:val="20"/>
          <w:szCs w:val="20"/>
        </w:rPr>
      </w:pPr>
      <w:r>
        <w:rPr>
          <w:rFonts w:eastAsia="Arial" w:cs="Arial"/>
          <w:sz w:val="20"/>
          <w:szCs w:val="20"/>
        </w:rPr>
        <w:t>application of required minimum distributions;</w:t>
      </w:r>
    </w:p>
    <w:p>
      <w:pPr>
        <w:numPr>
          <w:ilvl w:val="0"/>
          <w:numId w:val="213"/>
        </w:numPr>
        <w:ind w:left="720" w:hanging="192"/>
        <w:jc w:val="left"/>
        <w:rPr>
          <w:rFonts w:eastAsia="Arial" w:cs="Arial"/>
          <w:sz w:val="20"/>
          <w:szCs w:val="20"/>
        </w:rPr>
      </w:pPr>
      <w:r>
        <w:rPr>
          <w:rFonts w:eastAsia="Arial" w:cs="Arial"/>
          <w:sz w:val="20"/>
          <w:szCs w:val="20"/>
        </w:rPr>
        <w:t>protections from creditors and legal judgments;</w:t>
      </w:r>
    </w:p>
    <w:p>
      <w:pPr>
        <w:numPr>
          <w:ilvl w:val="0"/>
          <w:numId w:val="213"/>
        </w:numPr>
        <w:ind w:left="720" w:hanging="192"/>
        <w:jc w:val="left"/>
        <w:rPr>
          <w:rFonts w:eastAsia="Arial" w:cs="Arial"/>
          <w:sz w:val="20"/>
          <w:szCs w:val="20"/>
        </w:rPr>
      </w:pPr>
      <w:r>
        <w:rPr>
          <w:rFonts w:eastAsia="Arial" w:cs="Arial"/>
          <w:sz w:val="20"/>
          <w:szCs w:val="20"/>
        </w:rPr>
        <w:t>holdings of employer stock; and</w:t>
      </w:r>
    </w:p>
    <w:p>
      <w:pPr>
        <w:numPr>
          <w:ilvl w:val="0"/>
          <w:numId w:val="213"/>
        </w:numPr>
        <w:spacing w:after="200"/>
        <w:ind w:left="720" w:hanging="192"/>
        <w:jc w:val="left"/>
        <w:rPr>
          <w:rFonts w:eastAsia="Arial" w:cs="Arial"/>
          <w:sz w:val="20"/>
          <w:szCs w:val="20"/>
        </w:rPr>
      </w:pPr>
      <w:r>
        <w:rPr>
          <w:rFonts w:eastAsia="Arial" w:cs="Arial"/>
          <w:sz w:val="20"/>
          <w:szCs w:val="20"/>
        </w:rPr>
        <w:t>any special features of the existing account.</w:t>
      </w:r>
    </w:p>
    <w:p/>
    <w:p>
      <w:pPr>
        <w:pStyle w:val="Heading5"/>
      </w:pPr>
      <w:r>
        <w:t>5.3.1.1.2 Duty to Seek Best Execution</w:t>
      </w:r>
    </w:p>
    <w:p/>
    <w:p>
      <w:pPr>
        <w:rPr>
          <w:rFonts w:eastAsia="Arial" w:cs="Arial"/>
          <w:sz w:val="16"/>
          <w:szCs w:val="16"/>
        </w:rPr>
      </w:pPr>
      <w:r>
        <w:rPr>
          <w:rFonts w:eastAsia="Arial" w:cs="Arial"/>
          <w:sz w:val="16"/>
          <w:szCs w:val="16"/>
        </w:rPr>
        <w:t>[Commission Interpretation Regarding Standard of Conduct for Investment Advisers, Investment Advisers Act Rel. No. 5248 (June 5, 2019)]</w:t>
      </w:r>
    </w:p>
    <w:p/>
    <w:p>
      <w:pPr>
        <w:pStyle w:val="normal0"/>
        <w:spacing w:after="200"/>
        <w:rPr>
          <w:rFonts w:eastAsia="Arial" w:cs="Arial"/>
          <w:sz w:val="20"/>
          <w:szCs w:val="20"/>
        </w:rPr>
      </w:pPr>
      <w:r>
        <w:rPr>
          <w:rFonts w:eastAsia="Arial" w:cs="Arial"/>
          <w:sz w:val="20"/>
          <w:szCs w:val="20"/>
        </w:rPr>
        <w:t xml:space="preserve">KCD and its investment adviser representatives will seek best execution when placing trades for clients pursuant to the procedures set forth in the chapter </w:t>
      </w:r>
      <w:r>
        <w:rPr>
          <w:rStyle w:val="Emphasis"/>
          <w:rFonts w:eastAsia="Arial" w:cs="Arial"/>
          <w:i/>
          <w:iCs/>
          <w:sz w:val="20"/>
          <w:szCs w:val="20"/>
        </w:rPr>
        <w:t>BROKERAGE</w:t>
      </w:r>
      <w:r>
        <w:rPr>
          <w:rFonts w:eastAsia="Arial" w:cs="Arial"/>
          <w:sz w:val="20"/>
          <w:szCs w:val="20"/>
        </w:rPr>
        <w:t>.</w:t>
      </w:r>
    </w:p>
    <w:p>
      <w:pPr>
        <w:spacing w:before="200" w:after="200"/>
        <w:rPr>
          <w:rFonts w:eastAsia="Arial" w:cs="Arial"/>
          <w:sz w:val="20"/>
          <w:szCs w:val="20"/>
        </w:rPr>
      </w:pPr>
      <w:r>
        <w:rPr>
          <w:rFonts w:eastAsia="Arial" w:cs="Arial"/>
          <w:sz w:val="20"/>
          <w:szCs w:val="20"/>
        </w:rPr>
        <w:t>As an introducing Broker Dealer, KCD does not execute any trades whatsoever. We rely on our clearing partners to provide best execution for our clients. To document their compliance with these requirements, our clearing partners provide the following links:</w:t>
      </w:r>
    </w:p>
    <w:p>
      <w:pPr>
        <w:spacing w:before="200" w:after="200"/>
        <w:rPr>
          <w:rFonts w:eastAsia="Arial" w:cs="Arial"/>
          <w:sz w:val="20"/>
          <w:szCs w:val="20"/>
        </w:rPr>
      </w:pPr>
      <w:r>
        <w:rPr>
          <w:rFonts w:eastAsia="Arial" w:cs="Arial"/>
          <w:sz w:val="20"/>
          <w:szCs w:val="20"/>
        </w:rPr>
        <w:t xml:space="preserve">TradePMR: </w:t>
      </w:r>
      <w:hyperlink r:id="rId13" w:history="1">
        <w:r>
          <w:rPr>
            <w:rStyle w:val="Hyperlink"/>
            <w:rFonts w:eastAsia="Arial" w:cs="Arial"/>
            <w:color w:val="0000EE"/>
            <w:sz w:val="20"/>
            <w:szCs w:val="20"/>
            <w:u w:color="0000EE"/>
          </w:rPr>
          <w:t>https://insight2.tradepmr.com/best-execution-and-due-diligence</w:t>
        </w:r>
      </w:hyperlink>
    </w:p>
    <w:p>
      <w:pPr>
        <w:spacing w:before="200" w:after="200"/>
        <w:rPr>
          <w:rFonts w:eastAsia="Arial" w:cs="Arial"/>
          <w:sz w:val="20"/>
          <w:szCs w:val="20"/>
        </w:rPr>
      </w:pPr>
      <w:r>
        <w:rPr>
          <w:rFonts w:eastAsia="Arial" w:cs="Arial"/>
          <w:sz w:val="20"/>
          <w:szCs w:val="20"/>
        </w:rPr>
        <w:t>Hilltop: NMS Equity and Option Order Routing Reports (SEC 606) | FINRA.org</w:t>
      </w:r>
    </w:p>
    <w:p>
      <w:pPr>
        <w:spacing w:before="200" w:after="200"/>
        <w:rPr>
          <w:rFonts w:eastAsia="Arial" w:cs="Arial"/>
          <w:sz w:val="20"/>
          <w:szCs w:val="20"/>
        </w:rPr>
      </w:pPr>
      <w:r>
        <w:rPr>
          <w:rFonts w:eastAsia="Arial" w:cs="Arial"/>
          <w:sz w:val="20"/>
          <w:szCs w:val="20"/>
        </w:rPr>
        <w:t xml:space="preserve">GeoWealth (Schwab) </w:t>
      </w:r>
      <w:hyperlink r:id="rId14" w:history="1">
        <w:r>
          <w:rPr>
            <w:rStyle w:val="Hyperlink"/>
            <w:rFonts w:eastAsia="Arial" w:cs="Arial"/>
            <w:color w:val="0000EE"/>
            <w:sz w:val="20"/>
            <w:szCs w:val="20"/>
            <w:u w:color="0000EE"/>
          </w:rPr>
          <w:t>Order Routing | Charles Schwab</w:t>
        </w:r>
      </w:hyperlink>
    </w:p>
    <w:p>
      <w:pPr>
        <w:spacing w:before="200" w:after="200"/>
        <w:rPr>
          <w:rFonts w:eastAsia="Arial" w:cs="Arial"/>
          <w:sz w:val="20"/>
          <w:szCs w:val="20"/>
        </w:rPr>
      </w:pPr>
      <w:r>
        <w:rPr>
          <w:rFonts w:eastAsia="Arial" w:cs="Arial"/>
          <w:sz w:val="20"/>
          <w:szCs w:val="20"/>
        </w:rPr>
        <w:t xml:space="preserve">SEI is a "Wrap Fee Program" where advisory fee covers multiple services. </w:t>
      </w:r>
      <w:hyperlink r:id="rId15" w:history="1">
        <w:r>
          <w:rPr>
            <w:rStyle w:val="Hyperlink"/>
            <w:rFonts w:eastAsia="Arial" w:cs="Arial"/>
            <w:color w:val="0000EE"/>
            <w:sz w:val="20"/>
            <w:szCs w:val="20"/>
            <w:u w:color="0000EE"/>
          </w:rPr>
          <w:t>https://www.seic.com/ent/login-clients/sei-investments-distribution-co-rule-605-and-606-reports</w:t>
        </w:r>
      </w:hyperlink>
    </w:p>
    <w:p>
      <w:pPr>
        <w:spacing w:before="200" w:after="200"/>
        <w:rPr>
          <w:rFonts w:eastAsia="Arial" w:cs="Arial"/>
          <w:sz w:val="20"/>
          <w:szCs w:val="20"/>
        </w:rPr>
      </w:pPr>
      <w:r>
        <w:rPr>
          <w:rFonts w:eastAsia="Arial" w:cs="Arial"/>
          <w:sz w:val="20"/>
          <w:szCs w:val="20"/>
        </w:rPr>
        <w:t xml:space="preserve">Orion: </w:t>
      </w:r>
      <w:hyperlink r:id="rId16" w:history="1">
        <w:r>
          <w:rPr>
            <w:rStyle w:val="Hyperlink"/>
            <w:rFonts w:eastAsia="Arial" w:cs="Arial"/>
            <w:color w:val="0000EE"/>
            <w:sz w:val="20"/>
            <w:szCs w:val="20"/>
            <w:u w:color="0000EE"/>
          </w:rPr>
          <w:t>https://clearingcustody.fidelity.com/trade-execution-quality</w:t>
        </w:r>
      </w:hyperlink>
    </w:p>
    <w:p>
      <w:pPr>
        <w:spacing w:before="200" w:after="200"/>
        <w:rPr>
          <w:rFonts w:eastAsia="Arial" w:cs="Arial"/>
          <w:sz w:val="20"/>
          <w:szCs w:val="20"/>
        </w:rPr>
      </w:pPr>
      <w:r>
        <w:rPr>
          <w:rFonts w:eastAsia="Arial" w:cs="Arial"/>
          <w:sz w:val="20"/>
          <w:szCs w:val="20"/>
        </w:rPr>
        <w:t>On a quarterly basis, KCD will take a snapshot of each custodian's Best Execution reports and maintain them on our server.</w:t>
      </w:r>
    </w:p>
    <w:p>
      <w:bookmarkStart w:id="223" w:name="Sec_Chp_061016102250093_0610161022502345"/>
    </w:p>
    <w:p>
      <w:pPr>
        <w:pStyle w:val="Heading5"/>
      </w:pPr>
      <w:r>
        <w:t>5.3.1.1.3 Duty to Provide Advice and Monitoring over the Course of the Relationship</w:t>
      </w:r>
    </w:p>
    <w:p/>
    <w:p>
      <w:pPr>
        <w:rPr>
          <w:rFonts w:eastAsia="Arial" w:cs="Arial"/>
          <w:sz w:val="16"/>
          <w:szCs w:val="16"/>
        </w:rPr>
      </w:pPr>
      <w:r>
        <w:rPr>
          <w:rFonts w:eastAsia="Arial" w:cs="Arial"/>
          <w:sz w:val="16"/>
          <w:szCs w:val="16"/>
        </w:rPr>
        <w:t>[Form CRS Relationship Summary, Amendments to Form ADV, Investment Advisers Act Rel. No. 5247 (June 5, 2019); Commission Interpretation Regarding Standard of Conduct for Investment Advisers, Investment Advisers Act Rel. No. 5248 (June 5, 2019)]</w:t>
      </w:r>
    </w:p>
    <w:p/>
    <w:p>
      <w:pPr>
        <w:pStyle w:val="normal0"/>
        <w:spacing w:after="200"/>
        <w:rPr>
          <w:rFonts w:eastAsia="Arial" w:cs="Arial"/>
          <w:sz w:val="20"/>
          <w:szCs w:val="20"/>
        </w:rPr>
      </w:pPr>
      <w:r>
        <w:rPr>
          <w:rFonts w:eastAsia="Arial" w:cs="Arial"/>
          <w:sz w:val="20"/>
          <w:szCs w:val="20"/>
        </w:rPr>
        <w:t>KCD and its investment adviser representatives have a duty to provide advice and monitoring at a frequency that is in the best interest of the client, taking into account the scope of the agreed relationship. The scope of the duty to monitor will be indicated by the duration and nature of the agreed advisory arrangement:</w:t>
      </w:r>
    </w:p>
    <w:p>
      <w:pPr>
        <w:numPr>
          <w:ilvl w:val="0"/>
          <w:numId w:val="214"/>
        </w:numPr>
        <w:spacing w:before="200"/>
        <w:ind w:left="720" w:hanging="192"/>
        <w:jc w:val="left"/>
        <w:rPr>
          <w:rFonts w:eastAsia="Arial" w:cs="Arial"/>
          <w:sz w:val="20"/>
          <w:szCs w:val="20"/>
        </w:rPr>
      </w:pPr>
      <w:r>
        <w:rPr>
          <w:rFonts w:eastAsia="Arial" w:cs="Arial"/>
          <w:sz w:val="20"/>
          <w:szCs w:val="20"/>
        </w:rPr>
        <w:t>when KCD has an ongoing relationship with a client and is compensated with a periodic asset-based fee, KCD's duty to provide advice and monitoring will be relatively extensive as is consistent with the nature of the relationship; and</w:t>
      </w:r>
    </w:p>
    <w:p>
      <w:pPr>
        <w:numPr>
          <w:ilvl w:val="0"/>
          <w:numId w:val="214"/>
        </w:numPr>
        <w:spacing w:after="200"/>
        <w:ind w:left="720" w:hanging="192"/>
        <w:jc w:val="left"/>
        <w:rPr>
          <w:rFonts w:eastAsia="Arial" w:cs="Arial"/>
          <w:sz w:val="20"/>
          <w:szCs w:val="20"/>
        </w:rPr>
      </w:pPr>
      <w:r>
        <w:rPr>
          <w:rFonts w:eastAsia="Arial" w:cs="Arial"/>
          <w:sz w:val="20"/>
          <w:szCs w:val="20"/>
        </w:rPr>
        <w:t>absent an express agreement regarding KCD's monitoring obligation, when KCD and the client have a relationship of limited duration, such as for the provision of a one-time financial plan for a one-time fee, KCD will not have a duty to monitor.</w:t>
      </w:r>
    </w:p>
    <w:p>
      <w:pPr>
        <w:pStyle w:val="normal0"/>
        <w:spacing w:before="200" w:after="200"/>
        <w:rPr>
          <w:rFonts w:eastAsia="Arial" w:cs="Arial"/>
          <w:sz w:val="20"/>
          <w:szCs w:val="20"/>
        </w:rPr>
      </w:pPr>
      <w:r>
        <w:rPr>
          <w:rFonts w:eastAsia="Arial" w:cs="Arial"/>
          <w:sz w:val="20"/>
          <w:szCs w:val="20"/>
        </w:rPr>
        <w:t>KCD's duty to monitor extends to all personalized advice it provides to the client, including an ongoing relationship, an evaluation of whether a client's account or program type (for example, a wrap account) continues to be in the client's best interest.</w:t>
      </w:r>
    </w:p>
    <w:p>
      <w:bookmarkEnd w:id="223"/>
      <w:bookmarkStart w:id="224" w:name="Sec_Chp_061016102250093_0610161022502505"/>
    </w:p>
    <w:p>
      <w:pPr>
        <w:pStyle w:val="Heading3"/>
      </w:pPr>
      <w:bookmarkStart w:id="225" w:name="_Toc256000071"/>
      <w:r>
        <w:t>5.3.2 Fraud</w:t>
      </w:r>
      <w:bookmarkEnd w:id="225"/>
    </w:p>
    <w:p/>
    <w:p>
      <w:pPr>
        <w:rPr>
          <w:rFonts w:eastAsia="Arial" w:cs="Arial"/>
          <w:sz w:val="16"/>
          <w:szCs w:val="16"/>
        </w:rPr>
      </w:pPr>
    </w:p>
    <w:p>
      <w:pPr>
        <w:pStyle w:val="normal0"/>
        <w:spacing w:after="200"/>
        <w:rPr>
          <w:rFonts w:eastAsia="Arial" w:cs="Arial"/>
          <w:sz w:val="20"/>
          <w:szCs w:val="20"/>
        </w:rPr>
      </w:pPr>
      <w:r>
        <w:rPr>
          <w:rFonts w:eastAsia="Arial" w:cs="Arial"/>
          <w:sz w:val="20"/>
          <w:szCs w:val="20"/>
        </w:rPr>
        <w:t>Neither KCD nor any of its Investment Adviser Representatives shall:</w:t>
      </w:r>
    </w:p>
    <w:p>
      <w:pPr>
        <w:numPr>
          <w:ilvl w:val="0"/>
          <w:numId w:val="215"/>
        </w:numPr>
        <w:spacing w:before="200"/>
        <w:ind w:left="720" w:hanging="192"/>
        <w:jc w:val="left"/>
        <w:rPr>
          <w:rFonts w:eastAsia="Arial" w:cs="Arial"/>
          <w:sz w:val="20"/>
          <w:szCs w:val="20"/>
        </w:rPr>
      </w:pPr>
      <w:r>
        <w:rPr>
          <w:rFonts w:eastAsia="Arial" w:cs="Arial"/>
          <w:sz w:val="20"/>
          <w:szCs w:val="20"/>
        </w:rPr>
        <w:t>employ any device, scheme, or artifice to defraud any client or prospective client;</w:t>
      </w:r>
    </w:p>
    <w:p>
      <w:pPr>
        <w:numPr>
          <w:ilvl w:val="0"/>
          <w:numId w:val="215"/>
        </w:numPr>
        <w:ind w:left="720" w:hanging="192"/>
        <w:jc w:val="left"/>
        <w:rPr>
          <w:rFonts w:eastAsia="Arial" w:cs="Arial"/>
          <w:sz w:val="20"/>
          <w:szCs w:val="20"/>
        </w:rPr>
      </w:pPr>
      <w:r>
        <w:rPr>
          <w:rFonts w:eastAsia="Arial" w:cs="Arial"/>
          <w:sz w:val="20"/>
          <w:szCs w:val="20"/>
        </w:rPr>
        <w:t xml:space="preserve">engage in any transaction, practice, or course of business which operates as a fraud or deceit upon any client or prospective client; </w:t>
      </w:r>
    </w:p>
    <w:p>
      <w:pPr>
        <w:numPr>
          <w:ilvl w:val="0"/>
          <w:numId w:val="215"/>
        </w:numPr>
        <w:ind w:left="720" w:hanging="192"/>
        <w:jc w:val="left"/>
        <w:rPr>
          <w:rFonts w:eastAsia="Arial" w:cs="Arial"/>
          <w:sz w:val="20"/>
          <w:szCs w:val="20"/>
        </w:rPr>
      </w:pPr>
      <w:r>
        <w:rPr>
          <w:rFonts w:eastAsia="Arial" w:cs="Arial"/>
          <w:sz w:val="20"/>
          <w:szCs w:val="20"/>
        </w:rPr>
        <w:t>deviate from the policies and procedures of this Compliance Manual when acting as a principal or agent in connection with a client securities trade; or</w:t>
      </w:r>
    </w:p>
    <w:p>
      <w:pPr>
        <w:numPr>
          <w:ilvl w:val="0"/>
          <w:numId w:val="215"/>
        </w:numPr>
        <w:spacing w:after="200"/>
        <w:ind w:left="720" w:hanging="192"/>
        <w:jc w:val="left"/>
        <w:rPr>
          <w:rFonts w:eastAsia="Arial" w:cs="Arial"/>
          <w:sz w:val="20"/>
          <w:szCs w:val="20"/>
        </w:rPr>
      </w:pPr>
      <w:r>
        <w:rPr>
          <w:rFonts w:eastAsia="Arial" w:cs="Arial"/>
          <w:sz w:val="20"/>
          <w:szCs w:val="20"/>
        </w:rPr>
        <w:t xml:space="preserve">engage in any act, practice, or course of business which is fraudulent, deceptive, or manipulative. </w:t>
      </w:r>
    </w:p>
    <w:p>
      <w:bookmarkEnd w:id="224"/>
      <w:bookmarkStart w:id="226" w:name="Sec_Chp_061016102250093_061016102250250"/>
    </w:p>
    <w:p>
      <w:pPr>
        <w:pStyle w:val="Heading3"/>
      </w:pPr>
      <w:bookmarkStart w:id="227" w:name="_Toc256000072"/>
      <w:r>
        <w:t>5.3.3 Suitability</w:t>
      </w:r>
      <w:bookmarkEnd w:id="227"/>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Adviser Representative, prior to making any recommendation to a client, must ensure that the recommendation is suitable for the client.</w:t>
      </w:r>
    </w:p>
    <w:p>
      <w:bookmarkEnd w:id="226"/>
      <w:bookmarkStart w:id="228" w:name="Sec_Chp_061016102250093_061016102250265"/>
    </w:p>
    <w:p>
      <w:pPr>
        <w:pStyle w:val="Heading4"/>
      </w:pPr>
      <w:r>
        <w:t>5.3.3.1 Suitability Determination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Adviser Representative, prior to recommending a trade to a client, must:</w:t>
      </w:r>
    </w:p>
    <w:p>
      <w:pPr>
        <w:numPr>
          <w:ilvl w:val="0"/>
          <w:numId w:val="216"/>
        </w:numPr>
        <w:spacing w:before="200"/>
        <w:ind w:left="720" w:hanging="192"/>
        <w:jc w:val="left"/>
        <w:rPr>
          <w:rFonts w:eastAsia="Arial" w:cs="Arial"/>
          <w:sz w:val="20"/>
          <w:szCs w:val="20"/>
        </w:rPr>
      </w:pPr>
      <w:r>
        <w:rPr>
          <w:rFonts w:eastAsia="Arial" w:cs="Arial"/>
          <w:sz w:val="20"/>
          <w:szCs w:val="20"/>
        </w:rPr>
        <w:t xml:space="preserve">Review information about the client obtained pursuant to the procedures in the "New Clients &amp; Anti-Money Laundering" chapter and updated pursuant to the procedures in the "Existing Client &amp; Privacy" chapter; </w:t>
      </w:r>
    </w:p>
    <w:p>
      <w:pPr>
        <w:numPr>
          <w:ilvl w:val="0"/>
          <w:numId w:val="216"/>
        </w:numPr>
        <w:ind w:left="720" w:hanging="192"/>
        <w:jc w:val="left"/>
        <w:rPr>
          <w:rFonts w:eastAsia="Arial" w:cs="Arial"/>
          <w:sz w:val="20"/>
          <w:szCs w:val="20"/>
        </w:rPr>
      </w:pPr>
      <w:r>
        <w:rPr>
          <w:rFonts w:eastAsia="Arial" w:cs="Arial"/>
          <w:sz w:val="20"/>
          <w:szCs w:val="20"/>
        </w:rPr>
        <w:t xml:space="preserve">Take adequate steps to obtain additional information about such client's financial situation, securities holdings, risk tolerance and other information necessary to make a suitable recommendation, including the particular client's: </w:t>
      </w:r>
    </w:p>
    <w:p>
      <w:pPr>
        <w:numPr>
          <w:ilvl w:val="1"/>
          <w:numId w:val="216"/>
        </w:numPr>
        <w:ind w:left="1440" w:hanging="220"/>
        <w:jc w:val="left"/>
        <w:rPr>
          <w:rFonts w:eastAsia="Arial" w:cs="Arial"/>
          <w:sz w:val="20"/>
          <w:szCs w:val="20"/>
        </w:rPr>
      </w:pPr>
      <w:r>
        <w:rPr>
          <w:rFonts w:eastAsia="Arial" w:cs="Arial"/>
          <w:sz w:val="20"/>
          <w:szCs w:val="20"/>
        </w:rPr>
        <w:t xml:space="preserve">purpose for opening the account; </w:t>
      </w:r>
    </w:p>
    <w:p>
      <w:pPr>
        <w:numPr>
          <w:ilvl w:val="1"/>
          <w:numId w:val="216"/>
        </w:numPr>
        <w:ind w:left="1440" w:hanging="220"/>
        <w:jc w:val="left"/>
        <w:rPr>
          <w:rFonts w:eastAsia="Arial" w:cs="Arial"/>
          <w:sz w:val="20"/>
          <w:szCs w:val="20"/>
        </w:rPr>
      </w:pPr>
      <w:r>
        <w:rPr>
          <w:rFonts w:eastAsia="Arial" w:cs="Arial"/>
          <w:sz w:val="20"/>
          <w:szCs w:val="20"/>
        </w:rPr>
        <w:t xml:space="preserve">marital status; </w:t>
      </w:r>
    </w:p>
    <w:p>
      <w:pPr>
        <w:numPr>
          <w:ilvl w:val="1"/>
          <w:numId w:val="216"/>
        </w:numPr>
        <w:ind w:left="1440" w:hanging="220"/>
        <w:jc w:val="left"/>
        <w:rPr>
          <w:rFonts w:eastAsia="Arial" w:cs="Arial"/>
          <w:sz w:val="20"/>
          <w:szCs w:val="20"/>
        </w:rPr>
      </w:pPr>
      <w:r>
        <w:rPr>
          <w:rFonts w:eastAsia="Arial" w:cs="Arial"/>
          <w:sz w:val="20"/>
          <w:szCs w:val="20"/>
        </w:rPr>
        <w:t>occupation;</w:t>
      </w:r>
    </w:p>
    <w:p>
      <w:pPr>
        <w:numPr>
          <w:ilvl w:val="1"/>
          <w:numId w:val="216"/>
        </w:numPr>
        <w:ind w:left="1440" w:hanging="220"/>
        <w:jc w:val="left"/>
        <w:rPr>
          <w:rFonts w:eastAsia="Arial" w:cs="Arial"/>
          <w:sz w:val="20"/>
          <w:szCs w:val="20"/>
        </w:rPr>
      </w:pPr>
      <w:r>
        <w:rPr>
          <w:rFonts w:eastAsia="Arial" w:cs="Arial"/>
          <w:sz w:val="20"/>
          <w:szCs w:val="20"/>
        </w:rPr>
        <w:t xml:space="preserve">anticipated account activity; </w:t>
      </w:r>
    </w:p>
    <w:p>
      <w:pPr>
        <w:numPr>
          <w:ilvl w:val="1"/>
          <w:numId w:val="216"/>
        </w:numPr>
        <w:ind w:left="1440" w:hanging="220"/>
        <w:jc w:val="left"/>
        <w:rPr>
          <w:rFonts w:eastAsia="Arial" w:cs="Arial"/>
          <w:sz w:val="20"/>
          <w:szCs w:val="20"/>
        </w:rPr>
      </w:pPr>
      <w:r>
        <w:rPr>
          <w:rFonts w:eastAsia="Arial" w:cs="Arial"/>
          <w:sz w:val="20"/>
          <w:szCs w:val="20"/>
        </w:rPr>
        <w:t>annual income;</w:t>
      </w:r>
    </w:p>
    <w:p>
      <w:pPr>
        <w:numPr>
          <w:ilvl w:val="1"/>
          <w:numId w:val="216"/>
        </w:numPr>
        <w:ind w:left="1440" w:hanging="220"/>
        <w:jc w:val="left"/>
        <w:rPr>
          <w:rFonts w:eastAsia="Arial" w:cs="Arial"/>
          <w:sz w:val="20"/>
          <w:szCs w:val="20"/>
        </w:rPr>
      </w:pPr>
      <w:r>
        <w:rPr>
          <w:rFonts w:eastAsia="Arial" w:cs="Arial"/>
          <w:sz w:val="20"/>
          <w:szCs w:val="20"/>
        </w:rPr>
        <w:t>source of wealth (</w:t>
      </w:r>
      <w:r>
        <w:rPr>
          <w:rFonts w:eastAsia="Arial" w:cs="Arial"/>
          <w:i/>
          <w:iCs/>
          <w:sz w:val="20"/>
          <w:szCs w:val="20"/>
        </w:rPr>
        <w:t>i.e.,</w:t>
      </w:r>
      <w:r>
        <w:rPr>
          <w:rFonts w:eastAsia="Arial" w:cs="Arial"/>
          <w:sz w:val="20"/>
          <w:szCs w:val="20"/>
        </w:rPr>
        <w:t xml:space="preserve"> activity that has generated net worth);</w:t>
      </w:r>
    </w:p>
    <w:p>
      <w:pPr>
        <w:numPr>
          <w:ilvl w:val="1"/>
          <w:numId w:val="216"/>
        </w:numPr>
        <w:ind w:left="1440" w:hanging="220"/>
        <w:jc w:val="left"/>
        <w:rPr>
          <w:rFonts w:eastAsia="Arial" w:cs="Arial"/>
          <w:sz w:val="20"/>
          <w:szCs w:val="20"/>
        </w:rPr>
      </w:pPr>
      <w:r>
        <w:rPr>
          <w:rFonts w:eastAsia="Arial" w:cs="Arial"/>
          <w:sz w:val="20"/>
          <w:szCs w:val="20"/>
        </w:rPr>
        <w:t>estimated net worth;</w:t>
      </w:r>
    </w:p>
    <w:p>
      <w:pPr>
        <w:numPr>
          <w:ilvl w:val="1"/>
          <w:numId w:val="216"/>
        </w:numPr>
        <w:ind w:left="1440" w:hanging="220"/>
        <w:jc w:val="left"/>
        <w:rPr>
          <w:rFonts w:eastAsia="Arial" w:cs="Arial"/>
          <w:sz w:val="20"/>
          <w:szCs w:val="20"/>
        </w:rPr>
      </w:pPr>
      <w:r>
        <w:rPr>
          <w:rFonts w:eastAsia="Arial" w:cs="Arial"/>
          <w:sz w:val="20"/>
          <w:szCs w:val="20"/>
        </w:rPr>
        <w:t>investment experience;</w:t>
      </w:r>
    </w:p>
    <w:p>
      <w:pPr>
        <w:numPr>
          <w:ilvl w:val="1"/>
          <w:numId w:val="216"/>
        </w:numPr>
        <w:ind w:left="1440" w:hanging="220"/>
        <w:jc w:val="left"/>
        <w:rPr>
          <w:rFonts w:eastAsia="Arial" w:cs="Arial"/>
          <w:sz w:val="20"/>
          <w:szCs w:val="20"/>
        </w:rPr>
      </w:pPr>
      <w:r>
        <w:rPr>
          <w:rFonts w:eastAsia="Arial" w:cs="Arial"/>
          <w:sz w:val="20"/>
          <w:szCs w:val="20"/>
        </w:rPr>
        <w:t>risk tolerance;</w:t>
      </w:r>
    </w:p>
    <w:p>
      <w:pPr>
        <w:numPr>
          <w:ilvl w:val="1"/>
          <w:numId w:val="216"/>
        </w:numPr>
        <w:ind w:left="1440" w:hanging="220"/>
        <w:jc w:val="left"/>
        <w:rPr>
          <w:rFonts w:eastAsia="Arial" w:cs="Arial"/>
          <w:sz w:val="20"/>
          <w:szCs w:val="20"/>
        </w:rPr>
      </w:pPr>
      <w:r>
        <w:rPr>
          <w:rFonts w:eastAsia="Arial" w:cs="Arial"/>
          <w:sz w:val="20"/>
          <w:szCs w:val="20"/>
        </w:rPr>
        <w:t>investment time horizon;</w:t>
      </w:r>
    </w:p>
    <w:p>
      <w:pPr>
        <w:numPr>
          <w:ilvl w:val="1"/>
          <w:numId w:val="216"/>
        </w:numPr>
        <w:ind w:left="1440" w:hanging="220"/>
        <w:jc w:val="left"/>
        <w:rPr>
          <w:rFonts w:eastAsia="Arial" w:cs="Arial"/>
          <w:sz w:val="20"/>
          <w:szCs w:val="20"/>
        </w:rPr>
      </w:pPr>
      <w:r>
        <w:rPr>
          <w:rFonts w:eastAsia="Arial" w:cs="Arial"/>
          <w:sz w:val="20"/>
          <w:szCs w:val="20"/>
        </w:rPr>
        <w:t>liquidity needs;</w:t>
      </w:r>
    </w:p>
    <w:p>
      <w:pPr>
        <w:numPr>
          <w:ilvl w:val="1"/>
          <w:numId w:val="216"/>
        </w:numPr>
        <w:ind w:left="1440" w:hanging="220"/>
        <w:jc w:val="left"/>
        <w:rPr>
          <w:rFonts w:eastAsia="Arial" w:cs="Arial"/>
          <w:sz w:val="20"/>
          <w:szCs w:val="20"/>
        </w:rPr>
      </w:pPr>
      <w:r>
        <w:rPr>
          <w:rFonts w:eastAsia="Arial" w:cs="Arial"/>
          <w:sz w:val="20"/>
          <w:szCs w:val="20"/>
        </w:rPr>
        <w:t>existing holdings; and</w:t>
      </w:r>
    </w:p>
    <w:p>
      <w:pPr>
        <w:numPr>
          <w:ilvl w:val="1"/>
          <w:numId w:val="216"/>
        </w:numPr>
        <w:ind w:left="1440" w:hanging="220"/>
        <w:jc w:val="left"/>
        <w:rPr>
          <w:rFonts w:eastAsia="Arial" w:cs="Arial"/>
          <w:sz w:val="20"/>
          <w:szCs w:val="20"/>
        </w:rPr>
      </w:pPr>
      <w:r>
        <w:rPr>
          <w:rFonts w:eastAsia="Arial" w:cs="Arial"/>
          <w:sz w:val="20"/>
          <w:szCs w:val="20"/>
        </w:rPr>
        <w:t>source of funds and means of transfer of funds to open the account.</w:t>
      </w:r>
    </w:p>
    <w:p>
      <w:pPr>
        <w:numPr>
          <w:ilvl w:val="0"/>
          <w:numId w:val="216"/>
        </w:numPr>
        <w:ind w:left="720" w:hanging="192"/>
        <w:jc w:val="left"/>
        <w:rPr>
          <w:rFonts w:eastAsia="Arial" w:cs="Arial"/>
          <w:sz w:val="20"/>
          <w:szCs w:val="20"/>
        </w:rPr>
      </w:pPr>
      <w:r>
        <w:rPr>
          <w:rFonts w:eastAsia="Arial" w:cs="Arial"/>
          <w:sz w:val="20"/>
          <w:szCs w:val="20"/>
        </w:rPr>
        <w:t xml:space="preserve">Thoroughly understand the security or financial product being recommended by reviewing and considering information and data from reliable sources supporting the recommendation; </w:t>
      </w:r>
    </w:p>
    <w:p>
      <w:pPr>
        <w:numPr>
          <w:ilvl w:val="0"/>
          <w:numId w:val="216"/>
        </w:numPr>
        <w:ind w:left="720" w:hanging="192"/>
        <w:jc w:val="left"/>
        <w:rPr>
          <w:rFonts w:eastAsia="Arial" w:cs="Arial"/>
          <w:sz w:val="20"/>
          <w:szCs w:val="20"/>
        </w:rPr>
      </w:pPr>
      <w:r>
        <w:rPr>
          <w:rFonts w:eastAsia="Arial" w:cs="Arial"/>
          <w:sz w:val="20"/>
          <w:szCs w:val="20"/>
        </w:rPr>
        <w:t xml:space="preserve">Consider the risk-reducing principal of diversification when selecting types and sectors of investments; </w:t>
      </w:r>
    </w:p>
    <w:p>
      <w:pPr>
        <w:numPr>
          <w:ilvl w:val="0"/>
          <w:numId w:val="216"/>
        </w:numPr>
        <w:ind w:left="720" w:hanging="192"/>
        <w:jc w:val="left"/>
        <w:rPr>
          <w:rFonts w:eastAsia="Arial" w:cs="Arial"/>
          <w:sz w:val="20"/>
          <w:szCs w:val="20"/>
        </w:rPr>
      </w:pPr>
      <w:r>
        <w:rPr>
          <w:rFonts w:eastAsia="Arial" w:cs="Arial"/>
          <w:sz w:val="20"/>
          <w:szCs w:val="20"/>
        </w:rPr>
        <w:t xml:space="preserve">Make an investment recommendation only if it advances the specific objectives and financial situation of the client; and </w:t>
      </w:r>
    </w:p>
    <w:p>
      <w:pPr>
        <w:numPr>
          <w:ilvl w:val="0"/>
          <w:numId w:val="216"/>
        </w:numPr>
        <w:spacing w:after="200"/>
        <w:ind w:left="720" w:hanging="192"/>
        <w:jc w:val="left"/>
        <w:rPr>
          <w:rFonts w:eastAsia="Arial" w:cs="Arial"/>
          <w:sz w:val="20"/>
          <w:szCs w:val="20"/>
        </w:rPr>
      </w:pPr>
      <w:r>
        <w:rPr>
          <w:rFonts w:eastAsia="Arial" w:cs="Arial"/>
          <w:sz w:val="20"/>
          <w:szCs w:val="20"/>
        </w:rPr>
        <w:t>Make known to the client both the positives and negatives of a specific investment recommendation.</w:t>
      </w:r>
    </w:p>
    <w:p>
      <w:bookmarkEnd w:id="228"/>
      <w:bookmarkStart w:id="229" w:name="Sec_Chp_061016102250093_061016102250281"/>
    </w:p>
    <w:p>
      <w:pPr>
        <w:pStyle w:val="Heading4"/>
      </w:pPr>
      <w:r>
        <w:t>5.3.3.2 Mutual Fund Recommendations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Before making an investment recommendation involving mutual fund shares, an Adviser Representative must:</w:t>
      </w:r>
    </w:p>
    <w:p>
      <w:pPr>
        <w:numPr>
          <w:ilvl w:val="0"/>
          <w:numId w:val="217"/>
        </w:numPr>
        <w:spacing w:before="200"/>
        <w:ind w:left="720" w:hanging="192"/>
        <w:jc w:val="left"/>
        <w:rPr>
          <w:rFonts w:eastAsia="Arial" w:cs="Arial"/>
          <w:sz w:val="20"/>
          <w:szCs w:val="20"/>
        </w:rPr>
      </w:pPr>
      <w:r>
        <w:rPr>
          <w:rFonts w:eastAsia="Arial" w:cs="Arial"/>
          <w:sz w:val="20"/>
          <w:szCs w:val="20"/>
        </w:rPr>
        <w:t>carefully review with the client the sales loads and any other charges applicable to the purchase or sale;</w:t>
      </w:r>
    </w:p>
    <w:p>
      <w:pPr>
        <w:numPr>
          <w:ilvl w:val="0"/>
          <w:numId w:val="217"/>
        </w:numPr>
        <w:ind w:left="720" w:hanging="192"/>
        <w:jc w:val="left"/>
        <w:rPr>
          <w:rFonts w:eastAsia="Arial" w:cs="Arial"/>
          <w:sz w:val="20"/>
          <w:szCs w:val="20"/>
        </w:rPr>
      </w:pPr>
      <w:r>
        <w:rPr>
          <w:rFonts w:eastAsia="Arial" w:cs="Arial"/>
          <w:sz w:val="20"/>
          <w:szCs w:val="20"/>
        </w:rPr>
        <w:t>if the mutual fund offers multiple classes of shares, explain the different costs applicable to each class of shares;</w:t>
      </w:r>
    </w:p>
    <w:p>
      <w:pPr>
        <w:numPr>
          <w:ilvl w:val="0"/>
          <w:numId w:val="217"/>
        </w:numPr>
        <w:ind w:left="720" w:hanging="192"/>
        <w:jc w:val="left"/>
        <w:rPr>
          <w:rFonts w:eastAsia="Arial" w:cs="Arial"/>
          <w:sz w:val="20"/>
          <w:szCs w:val="20"/>
        </w:rPr>
      </w:pPr>
      <w:r>
        <w:rPr>
          <w:rFonts w:eastAsia="Arial" w:cs="Arial"/>
          <w:sz w:val="20"/>
          <w:szCs w:val="20"/>
        </w:rPr>
        <w:t>consider any conflicts of interest KCD may have in choosing a mutual fund and/or mutual fund share class, including the ability of KCD to avoid transaction fees that KCD would otherwise pay by selecting a higher cost class of mutual fund class shares for KCD's clients;</w:t>
      </w:r>
    </w:p>
    <w:p>
      <w:pPr>
        <w:numPr>
          <w:ilvl w:val="0"/>
          <w:numId w:val="217"/>
        </w:numPr>
        <w:ind w:left="720" w:hanging="192"/>
        <w:jc w:val="left"/>
        <w:rPr>
          <w:rFonts w:eastAsia="Arial" w:cs="Arial"/>
          <w:sz w:val="20"/>
          <w:szCs w:val="20"/>
        </w:rPr>
      </w:pPr>
      <w:r>
        <w:rPr>
          <w:rFonts w:eastAsia="Arial" w:cs="Arial"/>
          <w:sz w:val="20"/>
          <w:szCs w:val="20"/>
        </w:rPr>
        <w:t>disclose any conflicts of interest KCD may have when selecting mutual funds and mutual fund class shares for clients;</w:t>
      </w:r>
    </w:p>
    <w:p>
      <w:pPr>
        <w:numPr>
          <w:ilvl w:val="0"/>
          <w:numId w:val="217"/>
        </w:numPr>
        <w:ind w:left="720" w:hanging="192"/>
        <w:jc w:val="left"/>
        <w:rPr>
          <w:rFonts w:eastAsia="Arial" w:cs="Arial"/>
          <w:sz w:val="20"/>
          <w:szCs w:val="20"/>
        </w:rPr>
      </w:pPr>
      <w:r>
        <w:rPr>
          <w:rFonts w:eastAsia="Arial" w:cs="Arial"/>
          <w:sz w:val="20"/>
          <w:szCs w:val="20"/>
        </w:rPr>
        <w:t>if recommending switching between mutual funds, explain that the transaction may result in the client paying a sales load or other transaction cost;</w:t>
      </w:r>
    </w:p>
    <w:p>
      <w:pPr>
        <w:numPr>
          <w:ilvl w:val="0"/>
          <w:numId w:val="217"/>
        </w:numPr>
        <w:ind w:left="720" w:hanging="192"/>
        <w:jc w:val="left"/>
        <w:rPr>
          <w:rFonts w:eastAsia="Arial" w:cs="Arial"/>
          <w:sz w:val="20"/>
          <w:szCs w:val="20"/>
        </w:rPr>
      </w:pPr>
      <w:r>
        <w:rPr>
          <w:rFonts w:eastAsia="Arial" w:cs="Arial"/>
          <w:sz w:val="20"/>
          <w:szCs w:val="20"/>
        </w:rPr>
        <w:t>confirm that the investment will not result in the client owning 5% or more of the voting securities of the mutual fund or, if the client is a private fund, owning 3% or more of the voting securities of the mutual fund. (If such thresholds are exceeded, KCD shall review relevant provisions of the Investment Company Act of 1940 and, if necessary, consult with outside counsel regarding any issues raised by that Act); and</w:t>
      </w:r>
    </w:p>
    <w:p>
      <w:pPr>
        <w:numPr>
          <w:ilvl w:val="0"/>
          <w:numId w:val="217"/>
        </w:numPr>
        <w:spacing w:after="200"/>
        <w:ind w:left="720" w:hanging="192"/>
        <w:jc w:val="left"/>
        <w:rPr>
          <w:rFonts w:eastAsia="Arial" w:cs="Arial"/>
          <w:sz w:val="20"/>
          <w:szCs w:val="20"/>
        </w:rPr>
      </w:pPr>
      <w:r>
        <w:rPr>
          <w:rFonts w:eastAsia="Arial" w:cs="Arial"/>
          <w:sz w:val="20"/>
          <w:szCs w:val="20"/>
        </w:rPr>
        <w:t>if KCD has implemented automated rebalancing of accounts that when executed cause clients to incur short-term redemption fees charged by mutual funds, it shall consider whether these automated processes cause clients to pay redemption or other fees, and thus are not in the best interest of such clients.</w:t>
      </w:r>
    </w:p>
    <w:p>
      <w:bookmarkEnd w:id="229"/>
      <w:bookmarkStart w:id="230" w:name="Sec_260714044519267"/>
    </w:p>
    <w:p>
      <w:pPr>
        <w:pStyle w:val="Heading5"/>
      </w:pPr>
      <w:r>
        <w:t>5.3.3.2.1 Commissions Previoously Paid on Mutual Funds Being Transferred</w:t>
      </w:r>
    </w:p>
    <w:p/>
    <w:p>
      <w:pPr>
        <w:rPr>
          <w:rFonts w:eastAsia="Arial" w:cs="Arial"/>
          <w:sz w:val="16"/>
          <w:szCs w:val="16"/>
        </w:rPr>
      </w:pPr>
    </w:p>
    <w:p>
      <w:pPr>
        <w:spacing w:after="200"/>
        <w:rPr>
          <w:rFonts w:eastAsia="Arial" w:cs="Arial"/>
          <w:sz w:val="20"/>
          <w:szCs w:val="20"/>
        </w:rPr>
      </w:pPr>
      <w:r>
        <w:rPr>
          <w:rFonts w:eastAsia="Arial" w:cs="Arial"/>
          <w:sz w:val="20"/>
          <w:szCs w:val="20"/>
        </w:rPr>
        <w:t>For every new Investment Advisory Account being established with existing mutual fund positions that have previously generated a commission, the following must take place:</w:t>
      </w:r>
    </w:p>
    <w:p>
      <w:pPr>
        <w:numPr>
          <w:ilvl w:val="0"/>
          <w:numId w:val="218"/>
        </w:numPr>
        <w:spacing w:before="200" w:after="200"/>
        <w:ind w:left="720" w:hanging="192"/>
        <w:jc w:val="left"/>
        <w:rPr>
          <w:rFonts w:eastAsia="Arial" w:cs="Arial"/>
          <w:sz w:val="20"/>
          <w:szCs w:val="20"/>
        </w:rPr>
      </w:pPr>
      <w:r>
        <w:rPr>
          <w:rFonts w:eastAsia="Arial" w:cs="Arial"/>
          <w:sz w:val="20"/>
          <w:szCs w:val="20"/>
        </w:rPr>
        <w:t>The mutual fund positions must be exchanged (if necessary) into the most beneficial share class for the client.</w:t>
      </w:r>
    </w:p>
    <w:p>
      <w:pPr>
        <w:numPr>
          <w:ilvl w:val="0"/>
          <w:numId w:val="219"/>
        </w:numPr>
        <w:spacing w:before="200" w:after="200"/>
        <w:ind w:left="720" w:hanging="192"/>
        <w:jc w:val="left"/>
        <w:rPr>
          <w:rFonts w:eastAsia="Arial" w:cs="Arial"/>
          <w:sz w:val="20"/>
          <w:szCs w:val="20"/>
        </w:rPr>
      </w:pPr>
      <w:r>
        <w:rPr>
          <w:rFonts w:eastAsia="Arial" w:cs="Arial"/>
          <w:sz w:val="20"/>
          <w:szCs w:val="20"/>
        </w:rPr>
        <w:t>The amount of commission paid and the date commission was generated must be determined</w:t>
      </w:r>
    </w:p>
    <w:p>
      <w:pPr>
        <w:numPr>
          <w:ilvl w:val="0"/>
          <w:numId w:val="220"/>
        </w:numPr>
        <w:spacing w:before="200" w:after="200"/>
        <w:ind w:left="720" w:hanging="192"/>
        <w:jc w:val="left"/>
        <w:rPr>
          <w:rFonts w:eastAsia="Arial" w:cs="Arial"/>
          <w:sz w:val="20"/>
          <w:szCs w:val="20"/>
        </w:rPr>
      </w:pPr>
      <w:r>
        <w:rPr>
          <w:rFonts w:eastAsia="Arial" w:cs="Arial"/>
          <w:sz w:val="20"/>
          <w:szCs w:val="20"/>
        </w:rPr>
        <w:t>The mutual fund position must be excluded from asset value determination until the shares have been held long enough that the commission paid is recouped in excluded fees. For example:</w:t>
      </w:r>
    </w:p>
    <w:p>
      <w:pPr>
        <w:spacing w:before="200" w:after="200"/>
        <w:rPr>
          <w:rFonts w:eastAsia="Arial" w:cs="Arial"/>
          <w:sz w:val="20"/>
          <w:szCs w:val="20"/>
        </w:rPr>
      </w:pPr>
      <w:r>
        <w:rPr>
          <w:rFonts w:eastAsia="Arial" w:cs="Arial"/>
          <w:sz w:val="20"/>
          <w:szCs w:val="20"/>
        </w:rPr>
        <w:t xml:space="preserve">The client paid a 4.00% commission when the mutual fund was purchased two years ago. The annual fee for the account is set at 1.00%. The mutual fund position must be </w:t>
      </w:r>
      <w:r>
        <w:rPr>
          <w:rFonts w:eastAsia="Arial" w:cs="Arial"/>
          <w:sz w:val="20"/>
          <w:szCs w:val="20"/>
        </w:rPr>
        <w:t>excluded from the fee calculation for the next two years.</w:t>
      </w:r>
    </w:p>
    <w:p>
      <w:pPr>
        <w:spacing w:before="200" w:after="200"/>
        <w:rPr>
          <w:rFonts w:eastAsia="Arial" w:cs="Arial"/>
          <w:sz w:val="20"/>
          <w:szCs w:val="20"/>
        </w:rPr>
      </w:pPr>
      <w:r>
        <w:rPr>
          <w:rFonts w:eastAsia="Arial" w:cs="Arial"/>
          <w:sz w:val="20"/>
          <w:szCs w:val="20"/>
        </w:rPr>
        <w:t>If this is the case, the representative must provide written notification of the need to exclude the fund holdings from billing and note the date when the exclusion should be removed. The Compliance Officer must ensure that the correct share class positions have been established, the mutual fund positions are excluded from the fee billing process and the date the positions no longer are required to be excluded from billing is established.</w:t>
      </w:r>
    </w:p>
    <w:p>
      <w:bookmarkEnd w:id="230"/>
      <w:bookmarkStart w:id="231" w:name="Sec_Chp_061016102250093_061016102250296"/>
    </w:p>
    <w:p>
      <w:pPr>
        <w:pStyle w:val="Heading4"/>
      </w:pPr>
      <w:r>
        <w:t>5.3.3.3 ETF Recommendations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Before making an investment recommendation involving exchange-traded fund (ETF) shares, an Adviser Representative must:</w:t>
      </w:r>
    </w:p>
    <w:p>
      <w:pPr>
        <w:numPr>
          <w:ilvl w:val="0"/>
          <w:numId w:val="221"/>
        </w:numPr>
        <w:spacing w:before="200"/>
        <w:ind w:left="720" w:hanging="192"/>
        <w:jc w:val="left"/>
        <w:rPr>
          <w:rFonts w:eastAsia="Arial" w:cs="Arial"/>
          <w:sz w:val="20"/>
          <w:szCs w:val="20"/>
        </w:rPr>
      </w:pPr>
      <w:r>
        <w:rPr>
          <w:rFonts w:eastAsia="Arial" w:cs="Arial"/>
          <w:sz w:val="20"/>
          <w:szCs w:val="20"/>
        </w:rPr>
        <w:t xml:space="preserve">Understand ETFs in general and the characteristics of the particular ETF that the client is considering investing in; </w:t>
      </w:r>
    </w:p>
    <w:p>
      <w:pPr>
        <w:numPr>
          <w:ilvl w:val="0"/>
          <w:numId w:val="221"/>
        </w:numPr>
        <w:ind w:left="720" w:hanging="192"/>
        <w:jc w:val="left"/>
        <w:rPr>
          <w:rFonts w:eastAsia="Arial" w:cs="Arial"/>
          <w:sz w:val="20"/>
          <w:szCs w:val="20"/>
        </w:rPr>
      </w:pPr>
      <w:r>
        <w:rPr>
          <w:rFonts w:eastAsia="Arial" w:cs="Arial"/>
          <w:sz w:val="20"/>
          <w:szCs w:val="20"/>
        </w:rPr>
        <w:t xml:space="preserve">Review the prospectus and Product Description of an ETF prior to recommending that ETF to a client; </w:t>
      </w:r>
    </w:p>
    <w:p>
      <w:pPr>
        <w:numPr>
          <w:ilvl w:val="0"/>
          <w:numId w:val="221"/>
        </w:numPr>
        <w:ind w:left="720" w:hanging="192"/>
        <w:jc w:val="left"/>
        <w:rPr>
          <w:rFonts w:eastAsia="Arial" w:cs="Arial"/>
          <w:sz w:val="20"/>
          <w:szCs w:val="20"/>
        </w:rPr>
      </w:pPr>
      <w:r>
        <w:rPr>
          <w:rFonts w:eastAsia="Arial" w:cs="Arial"/>
          <w:sz w:val="20"/>
          <w:szCs w:val="20"/>
        </w:rPr>
        <w:t xml:space="preserve">Review relevant information on the ETF issuer's or sponsor's web site; </w:t>
      </w:r>
    </w:p>
    <w:p>
      <w:pPr>
        <w:numPr>
          <w:ilvl w:val="0"/>
          <w:numId w:val="221"/>
        </w:numPr>
        <w:ind w:left="720" w:hanging="192"/>
        <w:jc w:val="left"/>
        <w:rPr>
          <w:rFonts w:eastAsia="Arial" w:cs="Arial"/>
          <w:sz w:val="20"/>
          <w:szCs w:val="20"/>
        </w:rPr>
      </w:pPr>
      <w:r>
        <w:rPr>
          <w:rFonts w:eastAsia="Arial" w:cs="Arial"/>
          <w:sz w:val="20"/>
          <w:szCs w:val="20"/>
        </w:rPr>
        <w:t xml:space="preserve">Explain the tax consequences of owning and selling ETF shares (including the fact that if a client sells ETF shares within one year of purchase, any gain will be taxed as ordinary income); </w:t>
      </w:r>
    </w:p>
    <w:p>
      <w:pPr>
        <w:numPr>
          <w:ilvl w:val="0"/>
          <w:numId w:val="221"/>
        </w:numPr>
        <w:ind w:left="720" w:hanging="192"/>
        <w:jc w:val="left"/>
        <w:rPr>
          <w:rFonts w:eastAsia="Arial" w:cs="Arial"/>
          <w:sz w:val="20"/>
          <w:szCs w:val="20"/>
        </w:rPr>
      </w:pPr>
      <w:r>
        <w:rPr>
          <w:rFonts w:eastAsia="Arial" w:cs="Arial"/>
          <w:sz w:val="20"/>
          <w:szCs w:val="20"/>
        </w:rPr>
        <w:t xml:space="preserve">Compare and contrast the ETF investment with an investment in a similar index mutual fund (including a comparison of the different tax consequences); </w:t>
      </w:r>
    </w:p>
    <w:p>
      <w:pPr>
        <w:numPr>
          <w:ilvl w:val="0"/>
          <w:numId w:val="221"/>
        </w:numPr>
        <w:ind w:left="720" w:hanging="192"/>
        <w:jc w:val="left"/>
        <w:rPr>
          <w:rFonts w:eastAsia="Arial" w:cs="Arial"/>
          <w:sz w:val="20"/>
          <w:szCs w:val="20"/>
        </w:rPr>
      </w:pPr>
      <w:r>
        <w:rPr>
          <w:rFonts w:eastAsia="Arial" w:cs="Arial"/>
          <w:sz w:val="20"/>
          <w:szCs w:val="20"/>
        </w:rPr>
        <w:t xml:space="preserve">Find out whether there is a premium or discount of the bid/ask price of the ETF shares and the net asset value per share of the ETF; </w:t>
      </w:r>
    </w:p>
    <w:p>
      <w:pPr>
        <w:numPr>
          <w:ilvl w:val="0"/>
          <w:numId w:val="221"/>
        </w:numPr>
        <w:ind w:left="720" w:hanging="192"/>
        <w:jc w:val="left"/>
        <w:rPr>
          <w:rFonts w:eastAsia="Arial" w:cs="Arial"/>
          <w:sz w:val="20"/>
          <w:szCs w:val="20"/>
        </w:rPr>
      </w:pPr>
      <w:r>
        <w:rPr>
          <w:rFonts w:eastAsia="Arial" w:cs="Arial"/>
          <w:sz w:val="20"/>
          <w:szCs w:val="20"/>
        </w:rPr>
        <w:t>Prior to placing a trade, examine the spread between the bid and ask price of the ETF shares;</w:t>
      </w:r>
    </w:p>
    <w:p>
      <w:pPr>
        <w:numPr>
          <w:ilvl w:val="0"/>
          <w:numId w:val="221"/>
        </w:numPr>
        <w:ind w:left="720" w:hanging="192"/>
        <w:jc w:val="left"/>
        <w:rPr>
          <w:rFonts w:eastAsia="Arial" w:cs="Arial"/>
          <w:sz w:val="20"/>
          <w:szCs w:val="20"/>
        </w:rPr>
      </w:pPr>
      <w:r>
        <w:rPr>
          <w:rFonts w:eastAsia="Arial" w:cs="Arial"/>
          <w:sz w:val="20"/>
          <w:szCs w:val="20"/>
        </w:rPr>
        <w:t xml:space="preserve">Consider the commissions charged to effect the ETF share trade; and </w:t>
      </w:r>
    </w:p>
    <w:p>
      <w:pPr>
        <w:numPr>
          <w:ilvl w:val="0"/>
          <w:numId w:val="221"/>
        </w:numPr>
        <w:spacing w:after="200"/>
        <w:ind w:left="720" w:hanging="192"/>
        <w:jc w:val="left"/>
        <w:rPr>
          <w:rFonts w:eastAsia="Arial" w:cs="Arial"/>
          <w:sz w:val="20"/>
          <w:szCs w:val="20"/>
        </w:rPr>
      </w:pPr>
      <w:r>
        <w:rPr>
          <w:rFonts w:eastAsia="Arial" w:cs="Arial"/>
          <w:sz w:val="20"/>
          <w:szCs w:val="20"/>
        </w:rPr>
        <w:t>Confirm that the investment will not result in the client owning 5% or more of the voting securities of the ETF or, if the client is a private fund, owning 3% or more of the voting securities of the ETF. (If such thresholds are exceeded, KCD shall review relevant provisions of the Investment Company Act of 1940 and any exemptive orders issued to the ETF, and, if necessary, consult with outside counsel regarding any issues raised by that Act).</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An </w:t>
            </w:r>
            <w:r>
              <w:rPr>
                <w:rFonts w:eastAsia="Arial" w:cs="Arial"/>
                <w:b/>
                <w:bCs/>
                <w:i w:val="0"/>
                <w:iCs w:val="0"/>
                <w:smallCaps w:val="0"/>
                <w:color w:val="000000"/>
                <w:sz w:val="20"/>
              </w:rPr>
              <w:t>inverse ETF</w:t>
            </w:r>
            <w:r>
              <w:rPr>
                <w:rFonts w:eastAsia="Arial" w:cs="Arial"/>
                <w:b w:val="0"/>
                <w:bCs w:val="0"/>
                <w:i w:val="0"/>
                <w:iCs w:val="0"/>
                <w:smallCaps w:val="0"/>
                <w:color w:val="000000"/>
                <w:sz w:val="20"/>
              </w:rPr>
              <w:t xml:space="preserve"> is an ETF that is designed to perform as the inverse of whatever index or benchmark it is designed to track. These ETFs work by using short selling, trading derivatives such as futures contracts, and other investment techniques.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A </w:t>
            </w:r>
            <w:r>
              <w:rPr>
                <w:rFonts w:eastAsia="Arial" w:cs="Arial"/>
                <w:b/>
                <w:bCs/>
                <w:i w:val="0"/>
                <w:iCs w:val="0"/>
                <w:smallCaps w:val="0"/>
                <w:color w:val="000000"/>
                <w:sz w:val="20"/>
              </w:rPr>
              <w:t>leveraged ETF</w:t>
            </w:r>
            <w:r>
              <w:rPr>
                <w:rFonts w:eastAsia="Arial" w:cs="Arial"/>
                <w:b w:val="0"/>
                <w:bCs w:val="0"/>
                <w:i w:val="0"/>
                <w:iCs w:val="0"/>
                <w:smallCaps w:val="0"/>
                <w:color w:val="000000"/>
                <w:sz w:val="20"/>
              </w:rPr>
              <w:t xml:space="preserve"> is an ETF that is designed to amplify by factors of 2 or more the returns of whatever index or benchmark it is designed to track. These ETFs work by using swaps, trading derivatives such as futures contracts, and other leveraged investment techniques.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bCs/>
                <w:i w:val="0"/>
                <w:iCs w:val="0"/>
                <w:smallCaps w:val="0"/>
                <w:color w:val="000000"/>
                <w:sz w:val="20"/>
              </w:rPr>
              <w:t>"Compounding"</w:t>
            </w:r>
            <w:r>
              <w:rPr>
                <w:rFonts w:eastAsia="Arial" w:cs="Arial"/>
                <w:b w:val="0"/>
                <w:bCs w:val="0"/>
                <w:i w:val="0"/>
                <w:iCs w:val="0"/>
                <w:smallCaps w:val="0"/>
                <w:color w:val="000000"/>
                <w:sz w:val="20"/>
              </w:rPr>
              <w:t xml:space="preserve"> may impact the performance of inverse and leveraged ETFs. Most of these ETFs are designed to achieve their performance on a daily basis. Typically, the ETF resets daily. This means that the ETF is trying to achieve its objective each day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rising 1% if the index declines 1% that day) and not a longer period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rising 5% if the index declines 5% over a month). On the second day, the ETF is trying to track the performance over the second day, not the two-day period. This causes a compounding effect, meaning that there will be a strong likelihood that while the ETF may closely match what the index did each day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day 1, day 2, </w:t>
            </w:r>
            <w:r>
              <w:rPr>
                <w:rFonts w:eastAsia="Arial" w:cs="Arial"/>
                <w:b w:val="0"/>
                <w:bCs w:val="0"/>
                <w:i/>
                <w:iCs/>
                <w:smallCaps w:val="0"/>
                <w:color w:val="000000"/>
                <w:sz w:val="20"/>
              </w:rPr>
              <w:t>etc.</w:t>
            </w:r>
            <w:r>
              <w:rPr>
                <w:rFonts w:eastAsia="Arial" w:cs="Arial"/>
                <w:b w:val="0"/>
                <w:bCs w:val="0"/>
                <w:i w:val="0"/>
                <w:iCs w:val="0"/>
                <w:smallCaps w:val="0"/>
                <w:color w:val="000000"/>
                <w:sz w:val="20"/>
              </w:rPr>
              <w:t>), it will not match what the index did for the entire longer period (30 days).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Prior to making an investment recommendation involving inverse or leveraged ETF shares, an Adviser Representative must:</w:t>
      </w:r>
    </w:p>
    <w:p>
      <w:pPr>
        <w:numPr>
          <w:ilvl w:val="0"/>
          <w:numId w:val="222"/>
        </w:numPr>
        <w:spacing w:before="200"/>
        <w:ind w:left="720" w:hanging="192"/>
        <w:jc w:val="left"/>
        <w:rPr>
          <w:rFonts w:eastAsia="Arial" w:cs="Arial"/>
          <w:sz w:val="20"/>
          <w:szCs w:val="20"/>
        </w:rPr>
      </w:pPr>
      <w:r>
        <w:rPr>
          <w:rFonts w:eastAsia="Arial" w:cs="Arial"/>
          <w:sz w:val="20"/>
          <w:szCs w:val="20"/>
        </w:rPr>
        <w:t xml:space="preserve">Consider the factors above applicable to all ETFs; </w:t>
      </w:r>
    </w:p>
    <w:p>
      <w:pPr>
        <w:numPr>
          <w:ilvl w:val="0"/>
          <w:numId w:val="222"/>
        </w:numPr>
        <w:ind w:left="720" w:hanging="192"/>
        <w:jc w:val="left"/>
        <w:rPr>
          <w:rFonts w:eastAsia="Arial" w:cs="Arial"/>
          <w:sz w:val="20"/>
          <w:szCs w:val="20"/>
        </w:rPr>
      </w:pPr>
      <w:r>
        <w:rPr>
          <w:rFonts w:eastAsia="Arial" w:cs="Arial"/>
          <w:sz w:val="20"/>
          <w:szCs w:val="20"/>
        </w:rPr>
        <w:t>Understand and explain to the client how the inverse or leveraged ETF works, including the effects of compounding on the performance of the ETF over longer periods of time;</w:t>
      </w:r>
    </w:p>
    <w:p>
      <w:pPr>
        <w:numPr>
          <w:ilvl w:val="0"/>
          <w:numId w:val="222"/>
        </w:numPr>
        <w:ind w:left="720" w:hanging="192"/>
        <w:jc w:val="left"/>
        <w:rPr>
          <w:rFonts w:eastAsia="Arial" w:cs="Arial"/>
          <w:sz w:val="20"/>
          <w:szCs w:val="20"/>
        </w:rPr>
      </w:pPr>
      <w:r>
        <w:rPr>
          <w:rFonts w:eastAsia="Arial" w:cs="Arial"/>
          <w:sz w:val="20"/>
          <w:szCs w:val="20"/>
        </w:rPr>
        <w:t>Ascertain how long the client intends to hold the inverse or leveraged ETF and make sure the client fully understands the compounding effect if the client plans to hold the ETF more than a few days; and</w:t>
      </w:r>
    </w:p>
    <w:p>
      <w:pPr>
        <w:numPr>
          <w:ilvl w:val="0"/>
          <w:numId w:val="222"/>
        </w:numPr>
        <w:spacing w:after="200"/>
        <w:ind w:left="720" w:hanging="192"/>
        <w:jc w:val="left"/>
        <w:rPr>
          <w:rFonts w:eastAsia="Arial" w:cs="Arial"/>
          <w:sz w:val="20"/>
          <w:szCs w:val="20"/>
        </w:rPr>
      </w:pPr>
      <w:r>
        <w:rPr>
          <w:rFonts w:eastAsia="Arial" w:cs="Arial"/>
          <w:sz w:val="20"/>
          <w:szCs w:val="20"/>
        </w:rPr>
        <w:t xml:space="preserve">Consider recommending inverse and leveraged ETFs only to institutional or highly experienced investors. </w:t>
      </w:r>
    </w:p>
    <w:p>
      <w:bookmarkEnd w:id="231"/>
      <w:bookmarkStart w:id="232" w:name="Sec_Chp_061016102250093_281814"/>
    </w:p>
    <w:p>
      <w:pPr>
        <w:pStyle w:val="Heading4"/>
      </w:pPr>
      <w:r>
        <w:t>5.3.3.4 ETF-Mutual Fund Dual Class Shares</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Recently, a fund complex offered the second registered investment company (after Vanguard) that has an ETF class and mutual fund class of shares. These dual class funds, when widely available, will require investment advisers to determine: (1) if an investment of client assets in a dual class fund is in the best interests of the client; and, if so, (2) which class the client's assets should be invested in. When the SEC reviewed applications from fund complexes seeking to offer dual class funds, it raised issues of cross-subsidization, in particular, whether the benefits that the ETF product offers in terms of low cash requirements and the ability to reduce or eliminate capital gains built up in portfolio securities might be diluted by adding a mutual fund share class since mutual funds typically must hold more cash to meet redemptions and do not have the ability themselves to engage in custom basket transactions that ETFs use to minimize or eliminate capital gains.</w:t>
            </w:r>
          </w:p>
        </w:tc>
      </w:tr>
    </w:tbl>
    <w:p>
      <w:pPr>
        <w:pStyle w:val="normal0"/>
        <w:spacing w:before="200" w:after="200"/>
        <w:rPr>
          <w:rFonts w:eastAsia="Arial" w:cs="Arial"/>
          <w:sz w:val="20"/>
          <w:szCs w:val="20"/>
        </w:rPr>
      </w:pPr>
      <w:r>
        <w:rPr>
          <w:rFonts w:eastAsia="Arial" w:cs="Arial"/>
          <w:sz w:val="20"/>
          <w:szCs w:val="20"/>
        </w:rPr>
        <w:t>Prior to investing client assets in a registered investment company that offers both an ETF class and a mutual fund class (Dual Class Fund), KCD shall:</w:t>
      </w:r>
    </w:p>
    <w:p>
      <w:pPr>
        <w:numPr>
          <w:ilvl w:val="0"/>
          <w:numId w:val="223"/>
        </w:numPr>
        <w:spacing w:before="200"/>
        <w:ind w:left="720" w:hanging="267"/>
        <w:jc w:val="left"/>
        <w:rPr>
          <w:rFonts w:eastAsia="Arial" w:cs="Arial"/>
          <w:sz w:val="20"/>
          <w:szCs w:val="20"/>
        </w:rPr>
      </w:pPr>
      <w:r>
        <w:rPr>
          <w:rFonts w:eastAsia="Arial" w:cs="Arial"/>
          <w:sz w:val="20"/>
          <w:szCs w:val="20"/>
        </w:rPr>
        <w:t>Conclude that a Dual Class Fund investment is in the best interests of the client. In reaching this conclusion, KCD shall:</w:t>
      </w:r>
    </w:p>
    <w:p>
      <w:pPr>
        <w:numPr>
          <w:ilvl w:val="1"/>
          <w:numId w:val="223"/>
        </w:numPr>
        <w:ind w:left="1440" w:hanging="267"/>
        <w:jc w:val="left"/>
        <w:rPr>
          <w:rFonts w:eastAsia="Arial" w:cs="Arial"/>
          <w:sz w:val="20"/>
          <w:szCs w:val="20"/>
        </w:rPr>
      </w:pPr>
      <w:r>
        <w:rPr>
          <w:rFonts w:eastAsia="Arial" w:cs="Arial"/>
          <w:sz w:val="20"/>
          <w:szCs w:val="20"/>
        </w:rPr>
        <w:t>Understand the difference between dual class funds and single class ETFs and mutual funds including the advantages and disadvantages of each type of fund;</w:t>
      </w:r>
    </w:p>
    <w:p>
      <w:pPr>
        <w:numPr>
          <w:ilvl w:val="1"/>
          <w:numId w:val="223"/>
        </w:numPr>
        <w:ind w:left="1440" w:hanging="267"/>
        <w:jc w:val="left"/>
        <w:rPr>
          <w:rFonts w:eastAsia="Arial" w:cs="Arial"/>
          <w:sz w:val="20"/>
          <w:szCs w:val="20"/>
        </w:rPr>
      </w:pPr>
      <w:r>
        <w:rPr>
          <w:rFonts w:eastAsia="Arial" w:cs="Arial"/>
          <w:sz w:val="20"/>
          <w:szCs w:val="20"/>
        </w:rPr>
        <w:t>Review mutual funds and ETFs that offer a single class with the same desired objective and strategy and whether a single class fund would be a more appropriate investment for the client; and</w:t>
      </w:r>
    </w:p>
    <w:p>
      <w:pPr>
        <w:numPr>
          <w:ilvl w:val="0"/>
          <w:numId w:val="223"/>
        </w:numPr>
        <w:spacing w:after="200"/>
        <w:ind w:left="720" w:hanging="267"/>
        <w:jc w:val="left"/>
        <w:rPr>
          <w:rFonts w:eastAsia="Arial" w:cs="Arial"/>
          <w:sz w:val="20"/>
          <w:szCs w:val="20"/>
        </w:rPr>
      </w:pPr>
      <w:r>
        <w:rPr>
          <w:rFonts w:eastAsia="Arial" w:cs="Arial"/>
          <w:sz w:val="20"/>
          <w:szCs w:val="20"/>
        </w:rPr>
        <w:t>If KCD concludes that a Dual Class Fund investment is appropriate, further conclude which class - the ETF class or the mutual fund class - would be most appropriate for the client.</w:t>
      </w:r>
    </w:p>
    <w:p>
      <w:bookmarkEnd w:id="232"/>
    </w:p>
    <w:p>
      <w:pPr>
        <w:pStyle w:val="Heading4"/>
      </w:pPr>
      <w:r>
        <w:t>5.3.3.5 Variable Annuities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Before making an investment recommendation involving a variable annuity, an Adviser Representative must:</w:t>
      </w:r>
    </w:p>
    <w:p>
      <w:pPr>
        <w:numPr>
          <w:ilvl w:val="0"/>
          <w:numId w:val="224"/>
        </w:numPr>
        <w:spacing w:before="200"/>
        <w:ind w:left="720" w:hanging="192"/>
        <w:jc w:val="left"/>
        <w:rPr>
          <w:rFonts w:eastAsia="Arial" w:cs="Arial"/>
          <w:sz w:val="20"/>
          <w:szCs w:val="20"/>
        </w:rPr>
      </w:pPr>
      <w:r>
        <w:rPr>
          <w:rFonts w:eastAsia="Arial" w:cs="Arial"/>
          <w:sz w:val="20"/>
          <w:szCs w:val="20"/>
        </w:rPr>
        <w:t>Inform the client of the general terms of the various features of the variable annuity;</w:t>
      </w:r>
    </w:p>
    <w:p>
      <w:pPr>
        <w:numPr>
          <w:ilvl w:val="0"/>
          <w:numId w:val="224"/>
        </w:numPr>
        <w:ind w:left="720" w:hanging="192"/>
        <w:jc w:val="left"/>
        <w:rPr>
          <w:rFonts w:eastAsia="Arial" w:cs="Arial"/>
          <w:sz w:val="20"/>
          <w:szCs w:val="20"/>
        </w:rPr>
      </w:pPr>
      <w:r>
        <w:rPr>
          <w:rFonts w:eastAsia="Arial" w:cs="Arial"/>
          <w:sz w:val="20"/>
          <w:szCs w:val="20"/>
        </w:rPr>
        <w:t>Reasonably believe that the client will benefit from the features of the variable annuity; and</w:t>
      </w:r>
    </w:p>
    <w:p>
      <w:pPr>
        <w:numPr>
          <w:ilvl w:val="0"/>
          <w:numId w:val="224"/>
        </w:numPr>
        <w:spacing w:after="200"/>
        <w:ind w:left="720" w:hanging="192"/>
        <w:jc w:val="left"/>
        <w:rPr>
          <w:rFonts w:eastAsia="Arial" w:cs="Arial"/>
          <w:sz w:val="20"/>
          <w:szCs w:val="20"/>
        </w:rPr>
      </w:pPr>
      <w:r>
        <w:rPr>
          <w:rFonts w:eastAsia="Arial" w:cs="Arial"/>
          <w:sz w:val="20"/>
          <w:szCs w:val="20"/>
        </w:rPr>
        <w:t>Be sure that the contract riders and product enhancements, and the underlying subaccounts to which premium payments are allocated, are appropriate for the client.</w:t>
      </w:r>
    </w:p>
    <w:p>
      <w:pPr>
        <w:pStyle w:val="normal0"/>
        <w:spacing w:before="200" w:after="200"/>
        <w:rPr>
          <w:rFonts w:eastAsia="Arial" w:cs="Arial"/>
          <w:sz w:val="20"/>
          <w:szCs w:val="20"/>
        </w:rPr>
      </w:pPr>
      <w:r>
        <w:rPr>
          <w:rFonts w:eastAsia="Arial" w:cs="Arial"/>
          <w:sz w:val="20"/>
          <w:szCs w:val="20"/>
        </w:rPr>
        <w:t>Before making an investment recommendation involving an exchange of a variable annuity, an Adviser Representative must:</w:t>
      </w:r>
    </w:p>
    <w:p>
      <w:pPr>
        <w:numPr>
          <w:ilvl w:val="0"/>
          <w:numId w:val="225"/>
        </w:numPr>
        <w:spacing w:before="200"/>
        <w:ind w:left="720" w:hanging="192"/>
        <w:jc w:val="left"/>
        <w:rPr>
          <w:rFonts w:eastAsia="Arial" w:cs="Arial"/>
          <w:sz w:val="20"/>
          <w:szCs w:val="20"/>
        </w:rPr>
      </w:pPr>
      <w:r>
        <w:rPr>
          <w:rFonts w:eastAsia="Arial" w:cs="Arial"/>
          <w:sz w:val="20"/>
          <w:szCs w:val="20"/>
        </w:rPr>
        <w:t>Consider whether the client would incur a surrender charge, be subject to the commencement of a new surrender period, lose existing benefits, or be subject to increased fees;</w:t>
      </w:r>
    </w:p>
    <w:p>
      <w:pPr>
        <w:numPr>
          <w:ilvl w:val="0"/>
          <w:numId w:val="225"/>
        </w:numPr>
        <w:ind w:left="720" w:hanging="192"/>
        <w:jc w:val="left"/>
        <w:rPr>
          <w:rFonts w:eastAsia="Arial" w:cs="Arial"/>
          <w:sz w:val="20"/>
          <w:szCs w:val="20"/>
        </w:rPr>
      </w:pPr>
      <w:r>
        <w:rPr>
          <w:rFonts w:eastAsia="Arial" w:cs="Arial"/>
          <w:sz w:val="20"/>
          <w:szCs w:val="20"/>
        </w:rPr>
        <w:t>Be satisfied that the client would benefit from product enhancements and improvements; and</w:t>
      </w:r>
    </w:p>
    <w:p>
      <w:pPr>
        <w:numPr>
          <w:ilvl w:val="0"/>
          <w:numId w:val="225"/>
        </w:numPr>
        <w:spacing w:after="200"/>
        <w:ind w:left="720" w:hanging="192"/>
        <w:jc w:val="left"/>
        <w:rPr>
          <w:rFonts w:eastAsia="Arial" w:cs="Arial"/>
          <w:sz w:val="20"/>
          <w:szCs w:val="20"/>
        </w:rPr>
      </w:pPr>
      <w:r>
        <w:rPr>
          <w:rFonts w:eastAsia="Arial" w:cs="Arial"/>
          <w:sz w:val="20"/>
          <w:szCs w:val="20"/>
        </w:rPr>
        <w:t>Factor in whether the client has had another variable annuity exchange within the preceding 36 months.</w:t>
      </w:r>
    </w:p>
    <w:p>
      <w:pPr>
        <w:pStyle w:val="normal0"/>
        <w:spacing w:before="200" w:after="200"/>
        <w:rPr>
          <w:rFonts w:eastAsia="Arial" w:cs="Arial"/>
          <w:sz w:val="20"/>
          <w:szCs w:val="20"/>
        </w:rPr>
      </w:pPr>
      <w:r>
        <w:rPr>
          <w:rFonts w:eastAsia="Arial" w:cs="Arial"/>
          <w:sz w:val="20"/>
          <w:szCs w:val="20"/>
        </w:rPr>
        <w:t>No variable annuity may be sold by KCD or any of its employees unless such entity or persons are properly registered and licensed under federal, self-regulatory and state securities laws.</w:t>
      </w:r>
    </w:p>
    <w:p>
      <w:bookmarkStart w:id="233" w:name="Sec_Chp_061016102250093_0610161022503125"/>
    </w:p>
    <w:p>
      <w:pPr>
        <w:pStyle w:val="Heading4"/>
      </w:pPr>
      <w:r>
        <w:t>5.3.3.6 Class Action Suits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class action is a procedural device used in litigation to determine the rights of and remedies, if any, for large numbers of people whose cases involve common questions of law and/or fact. Class actions suits frequently arise against companies that publicly issue securities, including securities recommended by investment advisers to clients. An unresolved issue is whether investment advisers have a fiduciary duty to file class action claims for their clients. While investment advisers may not have such a fiduciary duty, they nevertheless should have an understanding with their clients about who is responsible for class action claims.</w:t>
      </w:r>
    </w:p>
    <w:p>
      <w:pPr>
        <w:pStyle w:val="normal0"/>
        <w:spacing w:before="200" w:after="200"/>
        <w:rPr>
          <w:rFonts w:eastAsia="Arial" w:cs="Arial"/>
          <w:sz w:val="20"/>
          <w:szCs w:val="20"/>
        </w:rPr>
      </w:pPr>
      <w:r>
        <w:rPr>
          <w:rFonts w:eastAsia="Arial" w:cs="Arial"/>
          <w:sz w:val="20"/>
          <w:szCs w:val="20"/>
        </w:rPr>
        <w:t>With respect to class action suits and claims, KCD shall:</w:t>
      </w:r>
    </w:p>
    <w:p>
      <w:pPr>
        <w:numPr>
          <w:ilvl w:val="0"/>
          <w:numId w:val="226"/>
        </w:numPr>
        <w:spacing w:before="200"/>
        <w:ind w:left="720" w:hanging="192"/>
        <w:jc w:val="left"/>
        <w:rPr>
          <w:rFonts w:eastAsia="Arial" w:cs="Arial"/>
          <w:sz w:val="20"/>
          <w:szCs w:val="20"/>
        </w:rPr>
      </w:pPr>
      <w:r>
        <w:rPr>
          <w:rFonts w:eastAsia="Arial" w:cs="Arial"/>
          <w:sz w:val="20"/>
          <w:szCs w:val="20"/>
        </w:rPr>
        <w:t xml:space="preserve">Disclose in the firm's Brochure (Part 2A) and advisory contract with each client whether it will advise or act for the client in legal proceedings, including class actions or bankruptcies, involving securities purchased for or held in the client's account; </w:t>
      </w:r>
    </w:p>
    <w:p>
      <w:pPr>
        <w:numPr>
          <w:ilvl w:val="0"/>
          <w:numId w:val="226"/>
        </w:numPr>
        <w:ind w:left="720" w:hanging="192"/>
        <w:jc w:val="left"/>
        <w:rPr>
          <w:rFonts w:eastAsia="Arial" w:cs="Arial"/>
          <w:sz w:val="20"/>
          <w:szCs w:val="20"/>
        </w:rPr>
      </w:pPr>
      <w:r>
        <w:rPr>
          <w:rFonts w:eastAsia="Arial" w:cs="Arial"/>
          <w:sz w:val="20"/>
          <w:szCs w:val="20"/>
        </w:rPr>
        <w:t>If it has a policy to undertake to provide services with respect to class action or other suits or bankruptcies, disclose the terms under which it will do so in the advisory contract with the client. Such terms will:</w:t>
      </w:r>
    </w:p>
    <w:p>
      <w:pPr>
        <w:numPr>
          <w:ilvl w:val="1"/>
          <w:numId w:val="226"/>
        </w:numPr>
        <w:ind w:left="1440" w:hanging="220"/>
        <w:jc w:val="left"/>
        <w:rPr>
          <w:rFonts w:eastAsia="Arial" w:cs="Arial"/>
          <w:sz w:val="20"/>
          <w:szCs w:val="20"/>
        </w:rPr>
      </w:pPr>
      <w:r>
        <w:rPr>
          <w:rFonts w:eastAsia="Arial" w:cs="Arial"/>
          <w:sz w:val="20"/>
          <w:szCs w:val="20"/>
        </w:rPr>
        <w:t>Give KCD the legal authority to submit proofs of claim on behalf of the client;</w:t>
      </w:r>
    </w:p>
    <w:p>
      <w:pPr>
        <w:numPr>
          <w:ilvl w:val="1"/>
          <w:numId w:val="226"/>
        </w:numPr>
        <w:ind w:left="1440" w:hanging="220"/>
        <w:jc w:val="left"/>
        <w:rPr>
          <w:rFonts w:eastAsia="Arial" w:cs="Arial"/>
          <w:sz w:val="20"/>
          <w:szCs w:val="20"/>
        </w:rPr>
      </w:pPr>
      <w:r>
        <w:rPr>
          <w:rFonts w:eastAsia="Arial" w:cs="Arial"/>
          <w:sz w:val="20"/>
          <w:szCs w:val="20"/>
        </w:rPr>
        <w:t xml:space="preserve">Obligate the client and its legal counsel to provide information and be available to consult with KCD about the claim; </w:t>
      </w:r>
    </w:p>
    <w:p>
      <w:pPr>
        <w:numPr>
          <w:ilvl w:val="1"/>
          <w:numId w:val="226"/>
        </w:numPr>
        <w:ind w:left="1440" w:hanging="220"/>
        <w:jc w:val="left"/>
        <w:rPr>
          <w:rFonts w:eastAsia="Arial" w:cs="Arial"/>
          <w:sz w:val="20"/>
          <w:szCs w:val="20"/>
        </w:rPr>
      </w:pPr>
      <w:r>
        <w:rPr>
          <w:rFonts w:eastAsia="Arial" w:cs="Arial"/>
          <w:sz w:val="20"/>
          <w:szCs w:val="20"/>
        </w:rPr>
        <w:t>Address fees, expenses and the standard of liability that will apply to the services provided by KCD;</w:t>
      </w:r>
    </w:p>
    <w:p>
      <w:pPr>
        <w:numPr>
          <w:ilvl w:val="1"/>
          <w:numId w:val="226"/>
        </w:numPr>
        <w:ind w:left="1440" w:hanging="220"/>
        <w:jc w:val="left"/>
        <w:rPr>
          <w:rFonts w:eastAsia="Arial" w:cs="Arial"/>
          <w:sz w:val="20"/>
          <w:szCs w:val="20"/>
        </w:rPr>
      </w:pPr>
      <w:r>
        <w:rPr>
          <w:rFonts w:eastAsia="Arial" w:cs="Arial"/>
          <w:sz w:val="20"/>
          <w:szCs w:val="20"/>
        </w:rPr>
        <w:t>Disclaim any obligation on the part of KCD to provide legal services, as the decision of whether to participate in the recovery or opt-out may be a legal one that KCD is not qualified to make for the Client; and</w:t>
      </w:r>
    </w:p>
    <w:p>
      <w:pPr>
        <w:numPr>
          <w:ilvl w:val="1"/>
          <w:numId w:val="226"/>
        </w:numPr>
        <w:ind w:left="1440" w:hanging="220"/>
        <w:jc w:val="left"/>
        <w:rPr>
          <w:rFonts w:eastAsia="Arial" w:cs="Arial"/>
          <w:sz w:val="20"/>
          <w:szCs w:val="20"/>
        </w:rPr>
      </w:pPr>
      <w:r>
        <w:rPr>
          <w:rFonts w:eastAsia="Arial" w:cs="Arial"/>
          <w:sz w:val="20"/>
          <w:szCs w:val="20"/>
        </w:rPr>
        <w:t>Allow KCD to refer to the attorney of the client any matter relating to the claim.</w:t>
      </w:r>
    </w:p>
    <w:p>
      <w:pPr>
        <w:numPr>
          <w:ilvl w:val="0"/>
          <w:numId w:val="226"/>
        </w:numPr>
        <w:ind w:left="720" w:hanging="192"/>
        <w:jc w:val="left"/>
        <w:rPr>
          <w:rFonts w:eastAsia="Arial" w:cs="Arial"/>
          <w:sz w:val="20"/>
          <w:szCs w:val="20"/>
        </w:rPr>
      </w:pPr>
      <w:r>
        <w:rPr>
          <w:rFonts w:eastAsia="Arial" w:cs="Arial"/>
          <w:sz w:val="20"/>
          <w:szCs w:val="20"/>
        </w:rPr>
        <w:t>If it has a policy not to undertake to provide services with respect to class action or other suits or bankruptcies, disclose that it will not do so in the advisory contract with the client. Such terms will:</w:t>
      </w:r>
    </w:p>
    <w:p>
      <w:pPr>
        <w:numPr>
          <w:ilvl w:val="1"/>
          <w:numId w:val="226"/>
        </w:numPr>
        <w:ind w:left="1440" w:hanging="220"/>
        <w:jc w:val="left"/>
        <w:rPr>
          <w:rFonts w:eastAsia="Arial" w:cs="Arial"/>
          <w:sz w:val="20"/>
          <w:szCs w:val="20"/>
        </w:rPr>
      </w:pPr>
      <w:r>
        <w:rPr>
          <w:rFonts w:eastAsia="Arial" w:cs="Arial"/>
          <w:sz w:val="20"/>
          <w:szCs w:val="20"/>
        </w:rPr>
        <w:t>State that the client (or his or her agent) will have the responsibility for class actions or bankruptcies, involving securities purchased for or held in the client's account; and</w:t>
      </w:r>
    </w:p>
    <w:p>
      <w:pPr>
        <w:numPr>
          <w:ilvl w:val="1"/>
          <w:numId w:val="226"/>
        </w:numPr>
        <w:ind w:left="1440" w:hanging="220"/>
        <w:jc w:val="left"/>
        <w:rPr>
          <w:rFonts w:eastAsia="Arial" w:cs="Arial"/>
          <w:sz w:val="20"/>
          <w:szCs w:val="20"/>
        </w:rPr>
      </w:pPr>
      <w:r>
        <w:rPr>
          <w:rFonts w:eastAsia="Arial" w:cs="Arial"/>
          <w:sz w:val="20"/>
          <w:szCs w:val="20"/>
        </w:rPr>
        <w:t>Address whether KCD will have any role in forwarding copies of class action notices it receives to clients or client agents. If KCD is obligated to forward such notices, the advisory contract shall specify what level of effort KCD must make with respect to forwarding claims and disclaim responsibility for reasonable delays in transmission of such claims.</w:t>
      </w:r>
    </w:p>
    <w:p>
      <w:pPr>
        <w:numPr>
          <w:ilvl w:val="0"/>
          <w:numId w:val="226"/>
        </w:numPr>
        <w:ind w:left="720" w:hanging="192"/>
        <w:jc w:val="left"/>
        <w:rPr>
          <w:rFonts w:eastAsia="Arial" w:cs="Arial"/>
          <w:sz w:val="20"/>
          <w:szCs w:val="20"/>
        </w:rPr>
      </w:pPr>
      <w:r>
        <w:rPr>
          <w:rFonts w:eastAsia="Arial" w:cs="Arial"/>
          <w:sz w:val="20"/>
          <w:szCs w:val="20"/>
        </w:rPr>
        <w:t>When a recovery is achieved in a class action, clients who own shares in the company that is subject to the class action will have the option to: (1) opt out of the class action and pursue their own remedy; or (2) participate in the recovery achieved through the class action.</w:t>
      </w:r>
    </w:p>
    <w:p>
      <w:pPr>
        <w:numPr>
          <w:ilvl w:val="0"/>
          <w:numId w:val="226"/>
        </w:numPr>
        <w:spacing w:after="200"/>
        <w:ind w:left="720" w:hanging="192"/>
        <w:jc w:val="left"/>
        <w:rPr>
          <w:rFonts w:eastAsia="Arial" w:cs="Arial"/>
          <w:sz w:val="20"/>
          <w:szCs w:val="20"/>
        </w:rPr>
      </w:pPr>
      <w:r>
        <w:rPr>
          <w:rFonts w:eastAsia="Arial" w:cs="Arial"/>
          <w:sz w:val="20"/>
          <w:szCs w:val="20"/>
        </w:rPr>
        <w:t>If necessary or requested by the Client, KCD will assist with the preparation of the Proof of Claim, which will be submitted to the claims administrator. Money from the settlement fund will be distributed by the claims administrator after the claims administrator receives all of the proofs of claim and validates them.</w:t>
      </w:r>
    </w:p>
    <w:p>
      <w:bookmarkEnd w:id="233"/>
      <w:bookmarkStart w:id="234" w:name="Sec_Chp_061016102250093_061016102250312"/>
    </w:p>
    <w:p>
      <w:pPr>
        <w:pStyle w:val="Heading4"/>
      </w:pPr>
      <w:r>
        <w:t xml:space="preserve">5.3.3.7 Unsuitable Trades or Activities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following types of trades or activities will generally be unsuitable for clients: </w:t>
      </w:r>
    </w:p>
    <w:p>
      <w:pPr>
        <w:numPr>
          <w:ilvl w:val="0"/>
          <w:numId w:val="227"/>
        </w:numPr>
        <w:spacing w:before="200"/>
        <w:ind w:left="720" w:hanging="192"/>
        <w:jc w:val="left"/>
        <w:rPr>
          <w:rFonts w:eastAsia="Arial" w:cs="Arial"/>
          <w:sz w:val="20"/>
          <w:szCs w:val="20"/>
        </w:rPr>
      </w:pPr>
      <w:r>
        <w:rPr>
          <w:rFonts w:eastAsia="Arial" w:cs="Arial"/>
          <w:sz w:val="20"/>
          <w:szCs w:val="20"/>
        </w:rPr>
        <w:t xml:space="preserve">Recommending speculative securities to a client unless the client's financial situation, other securities holdings and risk tolerance warrant such an investment; and </w:t>
      </w:r>
    </w:p>
    <w:p>
      <w:pPr>
        <w:numPr>
          <w:ilvl w:val="0"/>
          <w:numId w:val="227"/>
        </w:numPr>
        <w:spacing w:after="200"/>
        <w:ind w:left="720" w:hanging="192"/>
        <w:jc w:val="left"/>
        <w:rPr>
          <w:rFonts w:eastAsia="Arial" w:cs="Arial"/>
          <w:sz w:val="20"/>
          <w:szCs w:val="20"/>
        </w:rPr>
      </w:pPr>
      <w:r>
        <w:rPr>
          <w:rFonts w:eastAsia="Arial" w:cs="Arial"/>
          <w:sz w:val="20"/>
          <w:szCs w:val="20"/>
        </w:rPr>
        <w:t xml:space="preserve">Engaging in excessive trading of a client's account to generate soft dollars or for other reasons. </w:t>
      </w:r>
    </w:p>
    <w:p>
      <w:bookmarkEnd w:id="234"/>
      <w:bookmarkStart w:id="235" w:name="Sec_Chp_061016102250093_061016102250328"/>
    </w:p>
    <w:p>
      <w:pPr>
        <w:pStyle w:val="Heading4"/>
      </w:pPr>
      <w:r>
        <w:t>5.3.3.8 Unsuitable Client Order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 client requests the Adviser Representative to initiate a transaction that appears unsuitable, the Adviser Representative is not required to act upon the request. In such circumstances, the Adviser Representative should advise the client of the basis for his or her belief that the transaction is unsuitable for the client. Should the Adviser Representative, after consulting with the Chief Compliance Officer or designee, choose to accommodate the client's request, a "hold harmless letter" may be executed.</w:t>
      </w:r>
    </w:p>
    <w:p>
      <w:bookmarkEnd w:id="235"/>
      <w:bookmarkStart w:id="236" w:name="Sec_Chp_061016102250093_061016102250343"/>
    </w:p>
    <w:p>
      <w:pPr>
        <w:pStyle w:val="Heading4"/>
      </w:pPr>
      <w:r>
        <w:t xml:space="preserve">5.3.3.9 Suitability Monitoring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an ongoing obligation to review and update the suitability determinations that it has made for clients. This obligation will require KCD to periodically contact clients regarding their investment objectives, financial status, and risk tolerance. Current information about the client's financial status and investment objectives will be made available to Adviser Representatives in order for such persons to make suitability determinations. If KCD uses a model portfolio in connection with the advisory services it offers, it will periodically compare the positions of each client's portfolio securities with the model weights.</w:t>
      </w:r>
    </w:p>
    <w:p>
      <w:pPr>
        <w:pStyle w:val="normal0"/>
        <w:spacing w:before="200" w:after="200"/>
        <w:rPr>
          <w:rFonts w:eastAsia="Arial" w:cs="Arial"/>
          <w:sz w:val="20"/>
          <w:szCs w:val="20"/>
        </w:rPr>
      </w:pPr>
      <w:r>
        <w:rPr>
          <w:rFonts w:eastAsia="Arial" w:cs="Arial"/>
          <w:sz w:val="20"/>
          <w:szCs w:val="20"/>
        </w:rPr>
        <w:t xml:space="preserve">If it appears that a client account is not being managed to the stated objectives and strategy, deviates significantly from any applicable model portfolios, or is the subject of unusual or excessive transactions, the Chief Compliance Officer will bring this matter to the attention of the Adviser Representative. Where there appears that the Adviser Representative offers no adequate explanation, the Chief Compliance Officer will further investigate the matter, including contacting the client if necessary, and determine whether further action is necessary, including corrective transaction(s), re-assigning the account or disciplinary action. If the investigation reveals any changes in the client's objectives or investment strategy, the client documentation will be corrected and re-signed. </w:t>
      </w:r>
    </w:p>
    <w:p>
      <w:bookmarkEnd w:id="236"/>
      <w:bookmarkStart w:id="237" w:name="Sec_260714044255745"/>
    </w:p>
    <w:p>
      <w:pPr>
        <w:pStyle w:val="Heading5"/>
      </w:pPr>
      <w:r>
        <w:t>5.3.3.9.1 Mutual Fund Share Class Recommendations</w:t>
      </w:r>
    </w:p>
    <w:p/>
    <w:p>
      <w:pPr>
        <w:rPr>
          <w:rFonts w:eastAsia="Arial" w:cs="Arial"/>
          <w:sz w:val="16"/>
          <w:szCs w:val="16"/>
        </w:rPr>
      </w:pPr>
    </w:p>
    <w:p>
      <w:pPr>
        <w:spacing w:after="200"/>
        <w:rPr>
          <w:rFonts w:eastAsia="Arial" w:cs="Arial"/>
          <w:sz w:val="20"/>
          <w:szCs w:val="20"/>
        </w:rPr>
      </w:pPr>
      <w:r>
        <w:rPr>
          <w:rFonts w:eastAsia="Arial" w:cs="Arial"/>
          <w:sz w:val="20"/>
          <w:szCs w:val="20"/>
        </w:rPr>
        <w:t>For Investment Advisory accounts that transfer in and include existing mutual fund positions, the Compliance Officer will require that the ACAT Form and a copy of the statement for the account being transferred be included in the new account submission paperwork. Accompanying the account opening documentation, the representative must acknowledge the presence of mutual fund holdings, identify the proper asset class and, if transfer is required, submit the necessary paperwork to initiate the exchange. The Compliance Officer will review the account statement to ensure the mutual fund holdings are the most beneficial share class for the investor. If the share class is not the most beneficial, the representative will be instructed to exchange the mutual fund position(s) to the proper share class and will monitor to ensure the transfer takes place.</w:t>
      </w:r>
    </w:p>
    <w:p>
      <w:bookmarkEnd w:id="237"/>
      <w:bookmarkStart w:id="238" w:name="Sec_Chp_061016102250093_061016102250359"/>
    </w:p>
    <w:p>
      <w:pPr>
        <w:pStyle w:val="Heading4"/>
      </w:pPr>
      <w:r>
        <w:t>5.3.3.10 Investment Recommendation Allocation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any investment recommendation, neither KCD nor any Adviser Representative will favor one client or group of clients at the expense of other clients. To verify that allocations have been made fairly, the Chief Compliance Officer shall periodically:</w:t>
      </w:r>
    </w:p>
    <w:p>
      <w:pPr>
        <w:numPr>
          <w:ilvl w:val="0"/>
          <w:numId w:val="228"/>
        </w:numPr>
        <w:spacing w:before="200"/>
        <w:ind w:left="720" w:hanging="192"/>
        <w:jc w:val="left"/>
        <w:rPr>
          <w:rFonts w:eastAsia="Arial" w:cs="Arial"/>
          <w:sz w:val="20"/>
          <w:szCs w:val="20"/>
        </w:rPr>
      </w:pPr>
      <w:r>
        <w:rPr>
          <w:rFonts w:eastAsia="Arial" w:cs="Arial"/>
          <w:sz w:val="20"/>
          <w:szCs w:val="20"/>
        </w:rPr>
        <w:t>Review a sample of trades with strong performance and determine which clients received the securities that significantly contributed to the performance;</w:t>
      </w:r>
    </w:p>
    <w:p>
      <w:pPr>
        <w:numPr>
          <w:ilvl w:val="0"/>
          <w:numId w:val="228"/>
        </w:numPr>
        <w:ind w:left="720" w:hanging="192"/>
        <w:jc w:val="left"/>
        <w:rPr>
          <w:rFonts w:eastAsia="Arial" w:cs="Arial"/>
          <w:sz w:val="20"/>
          <w:szCs w:val="20"/>
        </w:rPr>
      </w:pPr>
      <w:r>
        <w:rPr>
          <w:rFonts w:eastAsia="Arial" w:cs="Arial"/>
          <w:sz w:val="20"/>
          <w:szCs w:val="20"/>
        </w:rPr>
        <w:t>Compare the performances of similarly managed accounts, noting any significant deviation in such performances; and</w:t>
      </w:r>
    </w:p>
    <w:p>
      <w:pPr>
        <w:numPr>
          <w:ilvl w:val="0"/>
          <w:numId w:val="228"/>
        </w:numPr>
        <w:spacing w:after="200"/>
        <w:ind w:left="720" w:hanging="192"/>
        <w:jc w:val="left"/>
        <w:rPr>
          <w:rFonts w:eastAsia="Arial" w:cs="Arial"/>
          <w:sz w:val="20"/>
          <w:szCs w:val="20"/>
        </w:rPr>
      </w:pPr>
      <w:r>
        <w:rPr>
          <w:rFonts w:eastAsia="Arial" w:cs="Arial"/>
          <w:sz w:val="20"/>
          <w:szCs w:val="20"/>
        </w:rPr>
        <w:t>Note any client restrictions that might account for disparate performance.</w:t>
      </w:r>
    </w:p>
    <w:p>
      <w:bookmarkEnd w:id="238"/>
      <w:bookmarkStart w:id="239" w:name="Sec_Chp_061016102250093_0610161022503595"/>
    </w:p>
    <w:p>
      <w:pPr>
        <w:pStyle w:val="Heading4"/>
      </w:pPr>
      <w:r>
        <w:t>5.3.3.11 Wrap Fee Account Recommendations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participates as an investment adviser in a broker-dealer's wrap fee program, it will disclose, or cause to be disclosed, to its clients participating in the program the portion of the wrap fee paid by a client to the broker-dealer that the broker-dealer allocates to KCD.</w:t>
      </w:r>
    </w:p>
    <w:p>
      <w:pPr>
        <w:pStyle w:val="normal0"/>
        <w:spacing w:before="200" w:after="200"/>
        <w:rPr>
          <w:rFonts w:eastAsia="Arial" w:cs="Arial"/>
          <w:sz w:val="20"/>
          <w:szCs w:val="20"/>
        </w:rPr>
      </w:pPr>
      <w:r>
        <w:rPr>
          <w:rFonts w:eastAsia="Arial" w:cs="Arial"/>
          <w:sz w:val="20"/>
          <w:szCs w:val="20"/>
        </w:rPr>
        <w:t>Before KCD recommends a client to invest in a wrap fee program offered by KCD or a third-party service provides, KCD will:</w:t>
      </w:r>
    </w:p>
    <w:p>
      <w:pPr>
        <w:numPr>
          <w:ilvl w:val="0"/>
          <w:numId w:val="229"/>
        </w:numPr>
        <w:spacing w:before="200"/>
        <w:ind w:left="720" w:hanging="192"/>
        <w:jc w:val="left"/>
        <w:rPr>
          <w:rFonts w:eastAsia="Arial" w:cs="Arial"/>
          <w:sz w:val="20"/>
          <w:szCs w:val="20"/>
        </w:rPr>
      </w:pPr>
      <w:r>
        <w:rPr>
          <w:rFonts w:eastAsia="Arial" w:cs="Arial"/>
          <w:sz w:val="20"/>
          <w:szCs w:val="20"/>
        </w:rPr>
        <w:t>Review the available account types and their fees and expenses (</w:t>
      </w:r>
      <w:r>
        <w:rPr>
          <w:rFonts w:eastAsia="Arial" w:cs="Arial"/>
          <w:i/>
          <w:iCs/>
          <w:sz w:val="20"/>
          <w:szCs w:val="20"/>
        </w:rPr>
        <w:t>e.g.,</w:t>
      </w:r>
      <w:r>
        <w:rPr>
          <w:rFonts w:eastAsia="Arial" w:cs="Arial"/>
          <w:sz w:val="20"/>
          <w:szCs w:val="20"/>
        </w:rPr>
        <w:t xml:space="preserve"> asset-based fees, wrap fees and commissions);</w:t>
      </w:r>
    </w:p>
    <w:p>
      <w:pPr>
        <w:numPr>
          <w:ilvl w:val="0"/>
          <w:numId w:val="229"/>
        </w:numPr>
        <w:ind w:left="720" w:hanging="192"/>
        <w:jc w:val="left"/>
        <w:rPr>
          <w:rFonts w:eastAsia="Arial" w:cs="Arial"/>
          <w:sz w:val="20"/>
          <w:szCs w:val="20"/>
        </w:rPr>
      </w:pPr>
      <w:r>
        <w:rPr>
          <w:rFonts w:eastAsia="Arial" w:cs="Arial"/>
          <w:sz w:val="20"/>
          <w:szCs w:val="20"/>
        </w:rPr>
        <w:t>Review the services offered in connection with each type of account;</w:t>
      </w:r>
    </w:p>
    <w:p>
      <w:pPr>
        <w:numPr>
          <w:ilvl w:val="0"/>
          <w:numId w:val="229"/>
        </w:numPr>
        <w:ind w:left="720" w:hanging="192"/>
        <w:jc w:val="left"/>
        <w:rPr>
          <w:rFonts w:eastAsia="Arial" w:cs="Arial"/>
          <w:sz w:val="20"/>
          <w:szCs w:val="20"/>
        </w:rPr>
      </w:pPr>
      <w:r>
        <w:rPr>
          <w:rFonts w:eastAsia="Arial" w:cs="Arial"/>
          <w:sz w:val="20"/>
          <w:szCs w:val="20"/>
        </w:rPr>
        <w:t>Recommend the type of account most suitable for and in the best interest of the client; and</w:t>
      </w:r>
    </w:p>
    <w:p>
      <w:pPr>
        <w:numPr>
          <w:ilvl w:val="0"/>
          <w:numId w:val="229"/>
        </w:numPr>
        <w:spacing w:after="200"/>
        <w:ind w:left="720" w:hanging="192"/>
        <w:jc w:val="left"/>
        <w:rPr>
          <w:rFonts w:eastAsia="Arial" w:cs="Arial"/>
          <w:sz w:val="20"/>
          <w:szCs w:val="20"/>
        </w:rPr>
      </w:pPr>
      <w:r>
        <w:rPr>
          <w:rFonts w:eastAsia="Arial" w:cs="Arial"/>
          <w:sz w:val="20"/>
          <w:szCs w:val="20"/>
        </w:rPr>
        <w:t>Periodically review the account recommended for the client to ensure that it remains the account type best suited for the client.</w:t>
      </w:r>
    </w:p>
    <w:p>
      <w:bookmarkEnd w:id="239"/>
      <w:bookmarkStart w:id="240" w:name="Sec_Chp_061016102250093_159415"/>
    </w:p>
    <w:p>
      <w:pPr>
        <w:pStyle w:val="Heading5"/>
      </w:pPr>
      <w:r>
        <w:t>5.3.3.11.1 Fair Valuation Committee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establish and maintain a Fair Valuation Committee, which shall be responsible for fair valuing securities or other assets in each client portfolio that do not have readily available market prices or prices from a pricing service. The Fair Valuation Committee: </w:t>
      </w:r>
    </w:p>
    <w:p>
      <w:pPr>
        <w:numPr>
          <w:ilvl w:val="0"/>
          <w:numId w:val="230"/>
        </w:numPr>
        <w:spacing w:before="200"/>
        <w:ind w:left="720" w:hanging="192"/>
        <w:jc w:val="left"/>
        <w:rPr>
          <w:rFonts w:eastAsia="Arial" w:cs="Arial"/>
          <w:sz w:val="20"/>
          <w:szCs w:val="20"/>
        </w:rPr>
      </w:pPr>
      <w:r>
        <w:rPr>
          <w:rFonts w:eastAsia="Arial" w:cs="Arial"/>
          <w:sz w:val="20"/>
          <w:szCs w:val="20"/>
        </w:rPr>
        <w:t xml:space="preserve">shall consist of two or more employees of KCD. </w:t>
      </w:r>
    </w:p>
    <w:p>
      <w:pPr>
        <w:numPr>
          <w:ilvl w:val="0"/>
          <w:numId w:val="230"/>
        </w:numPr>
        <w:ind w:left="720" w:hanging="192"/>
        <w:jc w:val="left"/>
        <w:rPr>
          <w:rFonts w:eastAsia="Arial" w:cs="Arial"/>
          <w:sz w:val="20"/>
          <w:szCs w:val="20"/>
        </w:rPr>
      </w:pPr>
      <w:r>
        <w:rPr>
          <w:rFonts w:eastAsia="Arial" w:cs="Arial"/>
          <w:sz w:val="20"/>
          <w:szCs w:val="20"/>
        </w:rPr>
        <w:t>may have a member who has responsibility for managing the account of a client provided that such person: (i) has no role in valuing or has no ability to exert substantial influence on the fair value of any client's investments, and (ii) has no vote on the value of any particular security;</w:t>
      </w:r>
    </w:p>
    <w:p>
      <w:pPr>
        <w:numPr>
          <w:ilvl w:val="0"/>
          <w:numId w:val="230"/>
        </w:numPr>
        <w:ind w:left="720" w:hanging="192"/>
        <w:jc w:val="left"/>
        <w:rPr>
          <w:rFonts w:eastAsia="Arial" w:cs="Arial"/>
          <w:sz w:val="20"/>
          <w:szCs w:val="20"/>
        </w:rPr>
      </w:pPr>
      <w:r>
        <w:rPr>
          <w:rFonts w:eastAsia="Arial" w:cs="Arial"/>
          <w:sz w:val="20"/>
          <w:szCs w:val="20"/>
        </w:rPr>
        <w:t>may override any price provided by a pricing service, provided it documents the reason for overriding the price and communicates the price override to KCD's custodian or vendor that calculates the net asset value of client accounts; and</w:t>
      </w:r>
    </w:p>
    <w:p>
      <w:pPr>
        <w:numPr>
          <w:ilvl w:val="0"/>
          <w:numId w:val="230"/>
        </w:numPr>
        <w:spacing w:after="200"/>
        <w:ind w:left="720" w:hanging="192"/>
        <w:jc w:val="left"/>
        <w:rPr>
          <w:rFonts w:eastAsia="Arial" w:cs="Arial"/>
          <w:sz w:val="20"/>
          <w:szCs w:val="20"/>
        </w:rPr>
      </w:pPr>
      <w:r>
        <w:rPr>
          <w:rFonts w:eastAsia="Arial" w:cs="Arial"/>
          <w:sz w:val="20"/>
          <w:szCs w:val="20"/>
        </w:rPr>
        <w:t xml:space="preserve">shall document all of its actions in written minutes or otherwise. </w:t>
      </w:r>
    </w:p>
    <w:p>
      <w:pPr>
        <w:pStyle w:val="normal0"/>
        <w:spacing w:before="200" w:after="200"/>
        <w:rPr>
          <w:rFonts w:eastAsia="Arial" w:cs="Arial"/>
          <w:sz w:val="20"/>
          <w:szCs w:val="20"/>
        </w:rPr>
      </w:pPr>
      <w:r>
        <w:rPr>
          <w:rFonts w:eastAsia="Arial" w:cs="Arial"/>
          <w:sz w:val="20"/>
          <w:szCs w:val="20"/>
        </w:rPr>
        <w:t xml:space="preserve">From time to time, the Chief Compliance Officer shall backtest a sample of fair valued prices to determine any material discrepancies including any patterns that might indicate the fair valued securities were overvalued. </w:t>
      </w:r>
    </w:p>
    <w:p>
      <w:bookmarkEnd w:id="240"/>
    </w:p>
    <w:p>
      <w:pPr>
        <w:pStyle w:val="Heading3"/>
      </w:pPr>
      <w:bookmarkStart w:id="241" w:name="_Toc256000073"/>
      <w:r>
        <w:t>5.3.4 Short Sales</w:t>
      </w:r>
      <w:bookmarkEnd w:id="241"/>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short sale is a sale of securities that the client does not own to a buyer. The client borrows the securities sold short from a broker-dealer for delivery to the buyer. The selling client posts cash or securities as collateral for the loan of the securities. The selling client subsequently closes out the short sale by buying the securities on the market at a later date for delivery to the broker-dealer.</w:t>
      </w:r>
    </w:p>
    <w:p>
      <w:pPr>
        <w:pStyle w:val="normal0"/>
        <w:spacing w:before="200" w:after="200"/>
        <w:rPr>
          <w:rFonts w:eastAsia="Arial" w:cs="Arial"/>
          <w:sz w:val="20"/>
          <w:szCs w:val="20"/>
        </w:rPr>
      </w:pPr>
      <w:r>
        <w:rPr>
          <w:rFonts w:eastAsia="Arial" w:cs="Arial"/>
          <w:sz w:val="20"/>
          <w:szCs w:val="20"/>
        </w:rPr>
        <w:t>Short sales are regulated by Regulation SHO under the Securities Exchange Act of 1934. Regulation SHO requires broker-dealers to close-out all failures to deliver that exist in threshold securities for thirteen consecutive settlement days by purchasing securities of like kind and quantity ("close-out").</w:t>
      </w:r>
    </w:p>
    <w:p>
      <w:pPr>
        <w:pStyle w:val="normal0"/>
        <w:spacing w:before="200" w:after="200"/>
        <w:rPr>
          <w:rFonts w:eastAsia="Arial" w:cs="Arial"/>
          <w:sz w:val="20"/>
          <w:szCs w:val="20"/>
        </w:rPr>
      </w:pPr>
      <w:r>
        <w:rPr>
          <w:rFonts w:eastAsia="Arial" w:cs="Arial"/>
          <w:sz w:val="20"/>
          <w:szCs w:val="20"/>
        </w:rPr>
        <w:t xml:space="preserve">Until the position is closed out, the broker or dealer and any broker or dealer for which it clears transactions (for example, an introducing broker) may not effect further short sales in that threshold security without borrowing or entering into a bona fide agreement to borrow the security (known as a "pre-borrowing" requirement). </w:t>
      </w:r>
    </w:p>
    <w:p>
      <w:pPr>
        <w:pStyle w:val="normal0"/>
        <w:spacing w:before="200" w:after="200"/>
        <w:rPr>
          <w:rFonts w:eastAsia="Arial" w:cs="Arial"/>
          <w:sz w:val="20"/>
          <w:szCs w:val="20"/>
        </w:rPr>
      </w:pPr>
      <w:r>
        <w:rPr>
          <w:rFonts w:eastAsia="Arial" w:cs="Arial"/>
          <w:sz w:val="20"/>
          <w:szCs w:val="20"/>
        </w:rPr>
        <w:t>"Threshold securities" are equity securities that have an aggregate fail to deliver position:</w:t>
      </w:r>
    </w:p>
    <w:p>
      <w:pPr>
        <w:numPr>
          <w:ilvl w:val="0"/>
          <w:numId w:val="231"/>
        </w:numPr>
        <w:spacing w:before="200"/>
        <w:ind w:left="720" w:hanging="192"/>
        <w:jc w:val="left"/>
        <w:rPr>
          <w:rFonts w:eastAsia="Arial" w:cs="Arial"/>
          <w:sz w:val="20"/>
          <w:szCs w:val="20"/>
        </w:rPr>
      </w:pPr>
      <w:r>
        <w:rPr>
          <w:rFonts w:eastAsia="Arial" w:cs="Arial"/>
          <w:sz w:val="20"/>
          <w:szCs w:val="20"/>
        </w:rPr>
        <w:t>for five consecutive settlement days at a registered clearing agency (</w:t>
      </w:r>
      <w:r>
        <w:rPr>
          <w:rFonts w:eastAsia="Arial" w:cs="Arial"/>
          <w:i/>
          <w:iCs/>
          <w:sz w:val="20"/>
          <w:szCs w:val="20"/>
        </w:rPr>
        <w:t>e.g.,</w:t>
      </w:r>
      <w:r>
        <w:rPr>
          <w:rFonts w:eastAsia="Arial" w:cs="Arial"/>
          <w:sz w:val="20"/>
          <w:szCs w:val="20"/>
        </w:rPr>
        <w:t xml:space="preserve"> National Securities Clearing Corporation (NSCC));</w:t>
      </w:r>
    </w:p>
    <w:p>
      <w:pPr>
        <w:numPr>
          <w:ilvl w:val="0"/>
          <w:numId w:val="231"/>
        </w:numPr>
        <w:ind w:left="720" w:hanging="192"/>
        <w:jc w:val="left"/>
        <w:rPr>
          <w:rFonts w:eastAsia="Arial" w:cs="Arial"/>
          <w:sz w:val="20"/>
          <w:szCs w:val="20"/>
        </w:rPr>
      </w:pPr>
      <w:r>
        <w:rPr>
          <w:rFonts w:eastAsia="Arial" w:cs="Arial"/>
          <w:sz w:val="20"/>
          <w:szCs w:val="20"/>
        </w:rPr>
        <w:t>totaling 10,000 shares or more; and</w:t>
      </w:r>
    </w:p>
    <w:p>
      <w:pPr>
        <w:numPr>
          <w:ilvl w:val="0"/>
          <w:numId w:val="231"/>
        </w:numPr>
        <w:spacing w:after="200"/>
        <w:ind w:left="720" w:hanging="192"/>
        <w:jc w:val="left"/>
        <w:rPr>
          <w:rFonts w:eastAsia="Arial" w:cs="Arial"/>
          <w:sz w:val="20"/>
          <w:szCs w:val="20"/>
        </w:rPr>
      </w:pPr>
      <w:r>
        <w:rPr>
          <w:rFonts w:eastAsia="Arial" w:cs="Arial"/>
          <w:sz w:val="20"/>
          <w:szCs w:val="20"/>
        </w:rPr>
        <w:t>equal to at least 0.5% of the issuer's total shares outstanding.</w:t>
      </w:r>
    </w:p>
    <w:p>
      <w:pPr>
        <w:pStyle w:val="normal0"/>
        <w:spacing w:before="200" w:after="200"/>
        <w:rPr>
          <w:rFonts w:eastAsia="Arial" w:cs="Arial"/>
          <w:sz w:val="20"/>
          <w:szCs w:val="20"/>
        </w:rPr>
      </w:pPr>
      <w:r>
        <w:rPr>
          <w:rFonts w:eastAsia="Arial" w:cs="Arial"/>
          <w:sz w:val="20"/>
          <w:szCs w:val="20"/>
        </w:rPr>
        <w:t>Rule 105 of Regulation M regulates short sales in connection with a public offering. It prohibits, with certain exceptions, the purchase of securities in follow-on and secondary offerings when the purchaser has effected short sales in the securities within a specified amount of time prior to the pricing of the offering. The Rule is designed to prevent a person who expects to receive offering shares attempting to profit by aggressively short-selling the security just prior to the offering, thereby depressing the offering price, and then purchasing the lower-priced securities in the offering.</w:t>
      </w:r>
    </w:p>
    <w:p/>
    <w:p>
      <w:pPr>
        <w:pStyle w:val="Heading4"/>
      </w:pPr>
      <w:r>
        <w:t>5.3.4.1 Short Sale Definition</w:t>
      </w:r>
    </w:p>
    <w:p/>
    <w:p>
      <w:pPr>
        <w:rPr>
          <w:rFonts w:eastAsia="Arial" w:cs="Arial"/>
          <w:sz w:val="16"/>
          <w:szCs w:val="16"/>
        </w:rPr>
      </w:pPr>
      <w:r>
        <w:rPr>
          <w:rFonts w:eastAsia="Arial" w:cs="Arial"/>
          <w:sz w:val="16"/>
          <w:szCs w:val="16"/>
        </w:rPr>
        <w:t>[SEC Securities Exchange Act of 1934 Regulation SHO]</w:t>
      </w:r>
    </w:p>
    <w:p/>
    <w:p>
      <w:pPr>
        <w:pStyle w:val="normal0"/>
        <w:spacing w:after="200"/>
        <w:rPr>
          <w:rFonts w:eastAsia="Arial" w:cs="Arial"/>
          <w:sz w:val="20"/>
          <w:szCs w:val="20"/>
        </w:rPr>
      </w:pPr>
      <w:r>
        <w:rPr>
          <w:rFonts w:eastAsia="Arial" w:cs="Arial"/>
          <w:sz w:val="20"/>
          <w:szCs w:val="20"/>
        </w:rPr>
        <w:t xml:space="preserve">A short sale is generally the sale of a stock a client does not own (or that a client will borrow for delivery). Short sellers believe the price of the stock will fall, or are seeking to hedge against potential price volatility in securities that they own. </w:t>
      </w:r>
    </w:p>
    <w:p>
      <w:pPr>
        <w:pStyle w:val="normal0"/>
        <w:spacing w:before="200" w:after="200"/>
        <w:rPr>
          <w:rFonts w:eastAsia="Arial" w:cs="Arial"/>
          <w:sz w:val="20"/>
          <w:szCs w:val="20"/>
        </w:rPr>
      </w:pPr>
      <w:r>
        <w:rPr>
          <w:rFonts w:eastAsia="Arial" w:cs="Arial"/>
          <w:sz w:val="20"/>
          <w:szCs w:val="20"/>
        </w:rPr>
        <w:t>If the price of the stock drops, short sellers buy the stock at the lower price and make a profit. If the price of the stock rises, short sellers will incur a loss. Short selling is used for many purposes, including to profit from an expected downward price movement, to provide liquidity in response to unanticipated buyer demand, or to hedge the risk of a long position in the same security or a related security.</w:t>
      </w:r>
    </w:p>
    <w:p>
      <w:pPr>
        <w:pStyle w:val="normal0"/>
        <w:spacing w:before="200" w:after="200"/>
        <w:rPr>
          <w:rFonts w:eastAsia="Arial" w:cs="Arial"/>
          <w:sz w:val="20"/>
          <w:szCs w:val="20"/>
        </w:rPr>
      </w:pPr>
      <w:r>
        <w:rPr>
          <w:rFonts w:eastAsia="Arial" w:cs="Arial"/>
          <w:sz w:val="20"/>
          <w:szCs w:val="20"/>
        </w:rPr>
        <w:t>Typically, when a client sells short, the brokerage firm loans the stock to the client. The stock the client borrows comes from either KCD's own inventory, the margin account of other brokerage firm clients, or another lender. As with buying stock on margin, the client's brokerage firm will charge the client interest on the loan, and the client is subject to the margin rules. If the stock the client borrows pays a dividend, the client must pay the dividend to the person or firm making the loan.</w:t>
      </w:r>
    </w:p>
    <w:p>
      <w:pPr>
        <w:pStyle w:val="normal0"/>
        <w:spacing w:before="200" w:after="200"/>
        <w:rPr>
          <w:rFonts w:eastAsia="Arial" w:cs="Arial"/>
          <w:sz w:val="20"/>
          <w:szCs w:val="20"/>
        </w:rPr>
      </w:pPr>
      <w:r>
        <w:rPr>
          <w:rFonts w:eastAsia="Arial" w:cs="Arial"/>
          <w:sz w:val="20"/>
          <w:szCs w:val="20"/>
        </w:rPr>
        <w:t>In a "naked" short sale, the seller does not borrow or arrange to borrow the securities in time to make delivery to the buyer within the standard three-day settlement period. As a result, the seller fails to deliver securities to the buyer when delivery is due (known as a "failure to deliver" or "fail").</w:t>
      </w:r>
    </w:p>
    <w:p/>
    <w:p>
      <w:pPr>
        <w:pStyle w:val="Heading4"/>
      </w:pPr>
      <w:r>
        <w:t>5.3.4.2 Short Sale Procedures</w:t>
      </w:r>
    </w:p>
    <w:p/>
    <w:p>
      <w:pPr>
        <w:rPr>
          <w:rFonts w:eastAsia="Arial" w:cs="Arial"/>
          <w:sz w:val="16"/>
          <w:szCs w:val="16"/>
        </w:rPr>
      </w:pPr>
      <w:r>
        <w:rPr>
          <w:rFonts w:eastAsia="Arial" w:cs="Arial"/>
          <w:sz w:val="16"/>
          <w:szCs w:val="16"/>
        </w:rPr>
        <w:t>[SEC Securities Exchange Act of 1934 Regulation SHO and Rule 10b-5]</w:t>
      </w:r>
    </w:p>
    <w:p/>
    <w:p>
      <w:pPr>
        <w:pStyle w:val="normal0"/>
        <w:spacing w:after="200"/>
        <w:rPr>
          <w:rFonts w:eastAsia="Arial" w:cs="Arial"/>
          <w:sz w:val="20"/>
          <w:szCs w:val="20"/>
        </w:rPr>
      </w:pPr>
      <w:r>
        <w:rPr>
          <w:rFonts w:eastAsia="Arial" w:cs="Arial"/>
          <w:sz w:val="20"/>
          <w:szCs w:val="20"/>
        </w:rPr>
        <w:t>KCD does not currently allow short sales.</w:t>
      </w:r>
    </w:p>
    <w:p>
      <w:pPr>
        <w:pStyle w:val="normal0"/>
        <w:spacing w:before="200" w:after="200"/>
        <w:rPr>
          <w:rFonts w:eastAsia="Arial" w:cs="Arial"/>
          <w:sz w:val="20"/>
          <w:szCs w:val="20"/>
        </w:rPr>
      </w:pPr>
      <w:r>
        <w:rPr>
          <w:rFonts w:eastAsia="Arial" w:cs="Arial"/>
          <w:sz w:val="20"/>
          <w:szCs w:val="20"/>
        </w:rPr>
        <w:t>KCD shall not for itself nor for any client:</w:t>
      </w:r>
    </w:p>
    <w:p>
      <w:pPr>
        <w:numPr>
          <w:ilvl w:val="0"/>
          <w:numId w:val="232"/>
        </w:numPr>
        <w:spacing w:before="200"/>
        <w:ind w:left="720" w:hanging="192"/>
        <w:jc w:val="left"/>
        <w:rPr>
          <w:rFonts w:eastAsia="Arial" w:cs="Arial"/>
          <w:sz w:val="20"/>
          <w:szCs w:val="20"/>
        </w:rPr>
      </w:pPr>
      <w:r>
        <w:rPr>
          <w:rFonts w:eastAsia="Arial" w:cs="Arial"/>
          <w:sz w:val="20"/>
          <w:szCs w:val="20"/>
        </w:rPr>
        <w:t>engage in a series of transactions in order to create actual or apparent active trading in a security or to depress the price of a security for the purpose of inducing the purchase or sale of the security by others;</w:t>
      </w:r>
    </w:p>
    <w:p>
      <w:pPr>
        <w:numPr>
          <w:ilvl w:val="0"/>
          <w:numId w:val="232"/>
        </w:numPr>
        <w:ind w:left="720" w:hanging="192"/>
        <w:jc w:val="left"/>
        <w:rPr>
          <w:rFonts w:eastAsia="Arial" w:cs="Arial"/>
          <w:sz w:val="20"/>
          <w:szCs w:val="20"/>
        </w:rPr>
      </w:pPr>
      <w:r>
        <w:rPr>
          <w:rFonts w:eastAsia="Arial" w:cs="Arial"/>
          <w:sz w:val="20"/>
          <w:szCs w:val="20"/>
        </w:rPr>
        <w:t xml:space="preserve">engage in short sales effected to manipulate the price of a stock; </w:t>
      </w:r>
    </w:p>
    <w:p>
      <w:pPr>
        <w:numPr>
          <w:ilvl w:val="0"/>
          <w:numId w:val="232"/>
        </w:numPr>
        <w:ind w:left="720" w:hanging="192"/>
        <w:jc w:val="left"/>
        <w:rPr>
          <w:rFonts w:eastAsia="Arial" w:cs="Arial"/>
          <w:sz w:val="20"/>
          <w:szCs w:val="20"/>
        </w:rPr>
      </w:pPr>
      <w:r>
        <w:rPr>
          <w:rFonts w:eastAsia="Arial" w:cs="Arial"/>
          <w:sz w:val="20"/>
          <w:szCs w:val="20"/>
        </w:rPr>
        <w:t>sell stock short without having located stock for delivery at settlement (this activity would violate Regulation SHO, except for short sales by market makers engaged in bona fide market making);</w:t>
      </w:r>
    </w:p>
    <w:p>
      <w:pPr>
        <w:numPr>
          <w:ilvl w:val="0"/>
          <w:numId w:val="232"/>
        </w:numPr>
        <w:ind w:left="720" w:hanging="192"/>
        <w:jc w:val="left"/>
        <w:rPr>
          <w:rFonts w:eastAsia="Arial" w:cs="Arial"/>
          <w:sz w:val="20"/>
          <w:szCs w:val="20"/>
        </w:rPr>
      </w:pPr>
      <w:r>
        <w:rPr>
          <w:rFonts w:eastAsia="Arial" w:cs="Arial"/>
          <w:sz w:val="20"/>
          <w:szCs w:val="20"/>
        </w:rPr>
        <w:t>sell stock short and fail to deliver shares at the time of settlement with the purpose of driving down the security's price (this manipulative activity, in general, would violate various securities laws, including Rule 10b-5 under the Exchange Act);</w:t>
      </w:r>
    </w:p>
    <w:p>
      <w:pPr>
        <w:numPr>
          <w:ilvl w:val="0"/>
          <w:numId w:val="232"/>
        </w:numPr>
        <w:ind w:left="720" w:hanging="192"/>
        <w:jc w:val="left"/>
        <w:rPr>
          <w:rFonts w:eastAsia="Arial" w:cs="Arial"/>
          <w:sz w:val="20"/>
          <w:szCs w:val="20"/>
        </w:rPr>
      </w:pPr>
      <w:r>
        <w:rPr>
          <w:rFonts w:eastAsia="Arial" w:cs="Arial"/>
          <w:sz w:val="20"/>
          <w:szCs w:val="20"/>
        </w:rPr>
        <w:t>sell stock short with knowledge that such trade will result in the broker-dealer executing or clearing a trade that is a "threshold security" in a manner not permitted by Regulation SHO; or</w:t>
      </w:r>
    </w:p>
    <w:p>
      <w:pPr>
        <w:numPr>
          <w:ilvl w:val="0"/>
          <w:numId w:val="232"/>
        </w:numPr>
        <w:spacing w:after="200"/>
        <w:ind w:left="720" w:hanging="192"/>
        <w:jc w:val="left"/>
        <w:rPr>
          <w:rFonts w:eastAsia="Arial" w:cs="Arial"/>
          <w:sz w:val="20"/>
          <w:szCs w:val="20"/>
        </w:rPr>
      </w:pPr>
      <w:r>
        <w:rPr>
          <w:rFonts w:eastAsia="Arial" w:cs="Arial"/>
          <w:sz w:val="20"/>
          <w:szCs w:val="20"/>
        </w:rPr>
        <w:t>engage in short sales in a manner that would violate Regulation SHO and any temporary or final rule governing short sale activities.</w:t>
      </w:r>
    </w:p>
    <w:p>
      <w:pPr>
        <w:pStyle w:val="normal0"/>
        <w:spacing w:before="200" w:after="200"/>
        <w:rPr>
          <w:rFonts w:eastAsia="Arial" w:cs="Arial"/>
          <w:sz w:val="20"/>
          <w:szCs w:val="20"/>
        </w:rPr>
      </w:pPr>
      <w:r>
        <w:rPr>
          <w:rFonts w:eastAsia="Arial" w:cs="Arial"/>
          <w:sz w:val="20"/>
          <w:szCs w:val="20"/>
        </w:rPr>
        <w:t>KCD may sell stock short and fail to deliver shares at the time of settlement, provided this activity does not violate any temporary or final rules governing short sales.</w:t>
      </w:r>
    </w:p>
    <w:p>
      <w:pPr>
        <w:pStyle w:val="normal0"/>
        <w:spacing w:before="200" w:after="200"/>
        <w:rPr>
          <w:rFonts w:eastAsia="Arial" w:cs="Arial"/>
          <w:sz w:val="20"/>
          <w:szCs w:val="20"/>
        </w:rPr>
      </w:pPr>
      <w:r>
        <w:rPr>
          <w:rFonts w:eastAsia="Arial" w:cs="Arial"/>
          <w:sz w:val="20"/>
          <w:szCs w:val="20"/>
        </w:rPr>
        <w:t>A portfolio manager of KCD may not engage in a naked short sale for KCD or for a client without:</w:t>
      </w:r>
    </w:p>
    <w:p>
      <w:pPr>
        <w:numPr>
          <w:ilvl w:val="0"/>
          <w:numId w:val="233"/>
        </w:numPr>
        <w:spacing w:before="200"/>
        <w:ind w:left="720" w:hanging="192"/>
        <w:jc w:val="left"/>
        <w:rPr>
          <w:rFonts w:eastAsia="Arial" w:cs="Arial"/>
          <w:sz w:val="20"/>
          <w:szCs w:val="20"/>
        </w:rPr>
      </w:pPr>
      <w:r>
        <w:rPr>
          <w:rFonts w:eastAsia="Arial" w:cs="Arial"/>
          <w:sz w:val="20"/>
          <w:szCs w:val="20"/>
        </w:rPr>
        <w:t xml:space="preserve">submitting a written explanation of the purpose of the naked short sale to the Chief Investment Officer of KCD; and </w:t>
      </w:r>
    </w:p>
    <w:p>
      <w:pPr>
        <w:numPr>
          <w:ilvl w:val="0"/>
          <w:numId w:val="233"/>
        </w:numPr>
        <w:spacing w:after="200"/>
        <w:ind w:left="720" w:hanging="192"/>
        <w:jc w:val="left"/>
        <w:rPr>
          <w:rFonts w:eastAsia="Arial" w:cs="Arial"/>
          <w:sz w:val="20"/>
          <w:szCs w:val="20"/>
        </w:rPr>
      </w:pPr>
      <w:r>
        <w:rPr>
          <w:rFonts w:eastAsia="Arial" w:cs="Arial"/>
          <w:sz w:val="20"/>
          <w:szCs w:val="20"/>
        </w:rPr>
        <w:t>obtaining the express approval of the Chief Investment Officer of KCD.</w:t>
      </w:r>
    </w:p>
    <w:p>
      <w:bookmarkStart w:id="242" w:name="Sec_Chp_061016102250093_0610161022506535"/>
    </w:p>
    <w:p>
      <w:pPr>
        <w:pStyle w:val="Heading4"/>
      </w:pPr>
      <w:r>
        <w:t>5.3.4.3 Short Sales in Connection with Public Offerings</w:t>
      </w:r>
    </w:p>
    <w:p/>
    <w:p>
      <w:pPr>
        <w:rPr>
          <w:rFonts w:eastAsia="Arial" w:cs="Arial"/>
          <w:sz w:val="16"/>
          <w:szCs w:val="16"/>
        </w:rPr>
      </w:pPr>
      <w:r>
        <w:rPr>
          <w:rFonts w:eastAsia="Arial" w:cs="Arial"/>
          <w:sz w:val="16"/>
          <w:szCs w:val="16"/>
        </w:rPr>
        <w:t>[SEC Regulation M Rule 105]</w:t>
      </w:r>
    </w:p>
    <w:p/>
    <w:p>
      <w:pPr>
        <w:pStyle w:val="normal0"/>
        <w:spacing w:after="200"/>
        <w:rPr>
          <w:rFonts w:eastAsia="Arial" w:cs="Arial"/>
          <w:sz w:val="20"/>
          <w:szCs w:val="20"/>
        </w:rPr>
      </w:pPr>
      <w:r>
        <w:rPr>
          <w:rFonts w:eastAsia="Arial" w:cs="Arial"/>
          <w:sz w:val="20"/>
          <w:szCs w:val="20"/>
        </w:rPr>
        <w:t>KCD on behalf of a client shall not purchase securities in a firm commitment equity offering from an underwriter or broker-dealer participating in the offering if that client sold short the security that is the subject of the offering during the Rule 105 restricted period unless one of the exceptions set forth below are available.</w:t>
      </w:r>
    </w:p>
    <w:p>
      <w:pPr>
        <w:pStyle w:val="normal0"/>
        <w:spacing w:before="200" w:after="200"/>
        <w:rPr>
          <w:rFonts w:eastAsia="Arial" w:cs="Arial"/>
          <w:sz w:val="20"/>
          <w:szCs w:val="20"/>
        </w:rPr>
      </w:pPr>
      <w:r>
        <w:rPr>
          <w:rFonts w:eastAsia="Arial" w:cs="Arial"/>
          <w:b/>
          <w:bCs/>
          <w:sz w:val="20"/>
          <w:szCs w:val="20"/>
        </w:rPr>
        <w:t>Bona Fide Purchaser Exception:</w:t>
      </w:r>
    </w:p>
    <w:p>
      <w:pPr>
        <w:pStyle w:val="normal0"/>
        <w:spacing w:before="200" w:after="200"/>
        <w:rPr>
          <w:rFonts w:eastAsia="Arial" w:cs="Arial"/>
          <w:sz w:val="20"/>
          <w:szCs w:val="20"/>
        </w:rPr>
      </w:pPr>
      <w:r>
        <w:rPr>
          <w:rFonts w:eastAsia="Arial" w:cs="Arial"/>
          <w:sz w:val="20"/>
          <w:szCs w:val="20"/>
        </w:rPr>
        <w:t>If KCD has effected a short sale during the Rule 105 restricted period, it may on behalf of a client purchase securities in the SEC-registered secondary offering if the following requirements are met:</w:t>
      </w:r>
    </w:p>
    <w:p>
      <w:pPr>
        <w:numPr>
          <w:ilvl w:val="0"/>
          <w:numId w:val="234"/>
        </w:numPr>
        <w:spacing w:before="200"/>
        <w:ind w:left="720" w:hanging="267"/>
        <w:jc w:val="left"/>
        <w:rPr>
          <w:rFonts w:eastAsia="Arial" w:cs="Arial"/>
          <w:sz w:val="20"/>
          <w:szCs w:val="20"/>
        </w:rPr>
      </w:pPr>
      <w:r>
        <w:rPr>
          <w:rFonts w:eastAsia="Arial" w:cs="Arial"/>
          <w:sz w:val="20"/>
          <w:szCs w:val="20"/>
        </w:rPr>
        <w:t>the purchase of the security will be at least equivalent in quantity to the Rule 105 restricted period short sale;</w:t>
      </w:r>
    </w:p>
    <w:p>
      <w:pPr>
        <w:numPr>
          <w:ilvl w:val="0"/>
          <w:numId w:val="234"/>
        </w:numPr>
        <w:ind w:left="720" w:hanging="267"/>
        <w:jc w:val="left"/>
        <w:rPr>
          <w:rFonts w:eastAsia="Arial" w:cs="Arial"/>
          <w:sz w:val="20"/>
          <w:szCs w:val="20"/>
        </w:rPr>
      </w:pPr>
      <w:r>
        <w:rPr>
          <w:rFonts w:eastAsia="Arial" w:cs="Arial"/>
          <w:sz w:val="20"/>
          <w:szCs w:val="20"/>
        </w:rPr>
        <w:t>the purchase will be completed during regular trading hours;</w:t>
      </w:r>
    </w:p>
    <w:p>
      <w:pPr>
        <w:numPr>
          <w:ilvl w:val="0"/>
          <w:numId w:val="234"/>
        </w:numPr>
        <w:ind w:left="720" w:hanging="267"/>
        <w:jc w:val="left"/>
        <w:rPr>
          <w:rFonts w:eastAsia="Arial" w:cs="Arial"/>
          <w:sz w:val="20"/>
          <w:szCs w:val="20"/>
        </w:rPr>
      </w:pPr>
      <w:r>
        <w:rPr>
          <w:rFonts w:eastAsia="Arial" w:cs="Arial"/>
          <w:sz w:val="20"/>
          <w:szCs w:val="20"/>
        </w:rPr>
        <w:t>the purchase will be reported pursuant to an effective transaction reporting plan;</w:t>
      </w:r>
    </w:p>
    <w:p>
      <w:pPr>
        <w:numPr>
          <w:ilvl w:val="0"/>
          <w:numId w:val="234"/>
        </w:numPr>
        <w:ind w:left="720" w:hanging="267"/>
        <w:jc w:val="left"/>
        <w:rPr>
          <w:rFonts w:eastAsia="Arial" w:cs="Arial"/>
          <w:sz w:val="20"/>
          <w:szCs w:val="20"/>
        </w:rPr>
      </w:pPr>
      <w:r>
        <w:rPr>
          <w:rFonts w:eastAsia="Arial" w:cs="Arial"/>
          <w:sz w:val="20"/>
          <w:szCs w:val="20"/>
        </w:rPr>
        <w:t>the purchase will be made after the last Rule 105 restricted period short sale and no later than the business day prior to the day of pricing where the pricing occurs after the close of trading on such business day; and</w:t>
      </w:r>
    </w:p>
    <w:p>
      <w:pPr>
        <w:numPr>
          <w:ilvl w:val="0"/>
          <w:numId w:val="234"/>
        </w:numPr>
        <w:spacing w:after="200"/>
        <w:ind w:left="720" w:hanging="267"/>
        <w:jc w:val="left"/>
        <w:rPr>
          <w:rFonts w:eastAsia="Arial" w:cs="Arial"/>
          <w:sz w:val="20"/>
          <w:szCs w:val="20"/>
        </w:rPr>
      </w:pPr>
      <w:r>
        <w:rPr>
          <w:rFonts w:eastAsia="Arial" w:cs="Arial"/>
          <w:sz w:val="20"/>
          <w:szCs w:val="20"/>
        </w:rPr>
        <w:t>the latest Rule 105 restricted period short sale was not made within 30 minutes of the close of regular trading hours on the business day prior to the day of pricing.</w:t>
      </w:r>
    </w:p>
    <w:p>
      <w:pPr>
        <w:pStyle w:val="normal0"/>
        <w:spacing w:before="200" w:after="200"/>
        <w:rPr>
          <w:rFonts w:eastAsia="Arial" w:cs="Arial"/>
          <w:sz w:val="20"/>
          <w:szCs w:val="20"/>
        </w:rPr>
      </w:pPr>
      <w:r>
        <w:rPr>
          <w:rFonts w:eastAsia="Arial" w:cs="Arial"/>
          <w:b/>
          <w:bCs/>
          <w:sz w:val="20"/>
          <w:szCs w:val="20"/>
        </w:rPr>
        <w:t>Multiple Account Exception:</w:t>
      </w:r>
    </w:p>
    <w:p>
      <w:pPr>
        <w:pStyle w:val="normal0"/>
        <w:spacing w:before="200" w:after="200"/>
        <w:rPr>
          <w:rFonts w:eastAsia="Arial" w:cs="Arial"/>
          <w:sz w:val="20"/>
          <w:szCs w:val="20"/>
        </w:rPr>
      </w:pPr>
      <w:r>
        <w:rPr>
          <w:rFonts w:eastAsia="Arial" w:cs="Arial"/>
          <w:sz w:val="20"/>
          <w:szCs w:val="20"/>
        </w:rPr>
        <w:t>If KCD has effected a short sale during the Rule 105 restricted period, it may on behalf of one account purchase the same security subject to the SEC-registered secondary offering in another account if trading decisions with respect to such accounts are made separately and without coordination or cooperation among or between them. Such accounts shall be deemed to be separate if:</w:t>
      </w:r>
    </w:p>
    <w:p>
      <w:pPr>
        <w:numPr>
          <w:ilvl w:val="0"/>
          <w:numId w:val="235"/>
        </w:numPr>
        <w:spacing w:before="200"/>
        <w:ind w:left="720" w:hanging="267"/>
        <w:jc w:val="left"/>
        <w:rPr>
          <w:rFonts w:eastAsia="Arial" w:cs="Arial"/>
          <w:sz w:val="20"/>
          <w:szCs w:val="20"/>
        </w:rPr>
      </w:pPr>
      <w:r>
        <w:rPr>
          <w:rFonts w:eastAsia="Arial" w:cs="Arial"/>
          <w:sz w:val="20"/>
          <w:szCs w:val="20"/>
        </w:rPr>
        <w:t>the accounts have separate and distinct investment and trading strategies and objectives;</w:t>
      </w:r>
    </w:p>
    <w:p>
      <w:pPr>
        <w:numPr>
          <w:ilvl w:val="0"/>
          <w:numId w:val="235"/>
        </w:numPr>
        <w:ind w:left="720" w:hanging="267"/>
        <w:jc w:val="left"/>
        <w:rPr>
          <w:rFonts w:eastAsia="Arial" w:cs="Arial"/>
          <w:sz w:val="20"/>
          <w:szCs w:val="20"/>
        </w:rPr>
      </w:pPr>
      <w:r>
        <w:rPr>
          <w:rFonts w:eastAsia="Arial" w:cs="Arial"/>
          <w:sz w:val="20"/>
          <w:szCs w:val="20"/>
        </w:rPr>
        <w:t>personnel managing each account does not coordinate trading among or between the accounts;</w:t>
      </w:r>
    </w:p>
    <w:p>
      <w:pPr>
        <w:numPr>
          <w:ilvl w:val="0"/>
          <w:numId w:val="235"/>
        </w:numPr>
        <w:ind w:left="720" w:hanging="267"/>
        <w:jc w:val="left"/>
        <w:rPr>
          <w:rFonts w:eastAsia="Arial" w:cs="Arial"/>
          <w:sz w:val="20"/>
          <w:szCs w:val="20"/>
        </w:rPr>
      </w:pPr>
      <w:r>
        <w:rPr>
          <w:rFonts w:eastAsia="Arial" w:cs="Arial"/>
          <w:sz w:val="20"/>
          <w:szCs w:val="20"/>
        </w:rPr>
        <w:t>Chinese Walls separate the accounts designed to ensure that information about securities positions or investment decisions are not shared between accounts;</w:t>
      </w:r>
    </w:p>
    <w:p>
      <w:pPr>
        <w:numPr>
          <w:ilvl w:val="0"/>
          <w:numId w:val="235"/>
        </w:numPr>
        <w:ind w:left="720" w:hanging="267"/>
        <w:jc w:val="left"/>
        <w:rPr>
          <w:rFonts w:eastAsia="Arial" w:cs="Arial"/>
          <w:sz w:val="20"/>
          <w:szCs w:val="20"/>
        </w:rPr>
      </w:pPr>
      <w:r>
        <w:rPr>
          <w:rFonts w:eastAsia="Arial" w:cs="Arial"/>
          <w:sz w:val="20"/>
          <w:szCs w:val="20"/>
        </w:rPr>
        <w:t>each account maintains a separate P&amp;L statement;</w:t>
      </w:r>
    </w:p>
    <w:p>
      <w:pPr>
        <w:numPr>
          <w:ilvl w:val="0"/>
          <w:numId w:val="235"/>
        </w:numPr>
        <w:ind w:left="720" w:hanging="267"/>
        <w:jc w:val="left"/>
        <w:rPr>
          <w:rFonts w:eastAsia="Arial" w:cs="Arial"/>
          <w:sz w:val="20"/>
          <w:szCs w:val="20"/>
        </w:rPr>
      </w:pPr>
      <w:r>
        <w:rPr>
          <w:rFonts w:eastAsia="Arial" w:cs="Arial"/>
          <w:sz w:val="20"/>
          <w:szCs w:val="20"/>
        </w:rPr>
        <w:t>no allocation of securities between accounts occurs; and</w:t>
      </w:r>
    </w:p>
    <w:p>
      <w:pPr>
        <w:numPr>
          <w:ilvl w:val="0"/>
          <w:numId w:val="235"/>
        </w:numPr>
        <w:spacing w:after="200"/>
        <w:ind w:left="720" w:hanging="267"/>
        <w:jc w:val="left"/>
        <w:rPr>
          <w:rFonts w:eastAsia="Arial" w:cs="Arial"/>
          <w:sz w:val="20"/>
          <w:szCs w:val="20"/>
        </w:rPr>
      </w:pPr>
      <w:r>
        <w:rPr>
          <w:rFonts w:eastAsia="Arial" w:cs="Arial"/>
          <w:sz w:val="20"/>
          <w:szCs w:val="20"/>
        </w:rPr>
        <w:t>Firm employees who exercise oversight over multiple accounts in a single entity or affiliated entities and account owners of multiple accounts do not: (a) have authority to execute trades in individual securities in the accounts and do not execute trades in the accounts; and (b) have the authority to pre-approve trading decisions for the accounts and do not pre-approve trading decisions for the accounts.</w:t>
      </w:r>
    </w:p>
    <w:p>
      <w:pPr>
        <w:pStyle w:val="normal0"/>
        <w:spacing w:before="200" w:after="200"/>
        <w:rPr>
          <w:rFonts w:eastAsia="Arial" w:cs="Arial"/>
          <w:sz w:val="20"/>
          <w:szCs w:val="20"/>
        </w:rPr>
      </w:pPr>
      <w:r>
        <w:rPr>
          <w:rFonts w:eastAsia="Arial" w:cs="Arial"/>
          <w:b/>
          <w:bCs/>
          <w:sz w:val="20"/>
          <w:szCs w:val="20"/>
        </w:rPr>
        <w:t>Investment Company Account Exception</w:t>
      </w:r>
    </w:p>
    <w:p>
      <w:pPr>
        <w:pStyle w:val="normal0"/>
        <w:spacing w:before="200" w:after="200"/>
        <w:rPr>
          <w:rFonts w:eastAsia="Arial" w:cs="Arial"/>
          <w:sz w:val="20"/>
          <w:szCs w:val="20"/>
        </w:rPr>
      </w:pPr>
      <w:r>
        <w:rPr>
          <w:rFonts w:eastAsia="Arial" w:cs="Arial"/>
          <w:sz w:val="20"/>
          <w:szCs w:val="20"/>
        </w:rPr>
        <w:t>Investment company client purchases are excepted from these prohibitions.</w:t>
      </w:r>
    </w:p>
    <w:p>
      <w:pPr>
        <w:pStyle w:val="normal0"/>
        <w:spacing w:before="200" w:after="200"/>
        <w:rPr>
          <w:rFonts w:eastAsia="Arial" w:cs="Arial"/>
          <w:sz w:val="20"/>
          <w:szCs w:val="20"/>
        </w:rPr>
      </w:pPr>
      <w:r>
        <w:rPr>
          <w:rFonts w:eastAsia="Arial" w:cs="Arial"/>
          <w:sz w:val="20"/>
          <w:szCs w:val="20"/>
        </w:rPr>
        <w:t>Prior to relying on any exception, the portfolio manager or other relevant investment person shall obtain written approval from the Chief Compliance Officer .</w:t>
      </w:r>
    </w:p>
    <w:p>
      <w:pPr>
        <w:pStyle w:val="normal0"/>
        <w:spacing w:before="200" w:after="200"/>
        <w:rPr>
          <w:rFonts w:eastAsia="Arial" w:cs="Arial"/>
          <w:sz w:val="20"/>
          <w:szCs w:val="20"/>
        </w:rPr>
      </w:pPr>
      <w:r>
        <w:rPr>
          <w:rFonts w:eastAsia="Arial" w:cs="Arial"/>
          <w:b/>
          <w:bCs/>
          <w:sz w:val="20"/>
          <w:szCs w:val="20"/>
        </w:rPr>
        <w:t>Rule 105 Restricted Period</w:t>
      </w:r>
    </w:p>
    <w:p>
      <w:pPr>
        <w:pStyle w:val="normal0"/>
        <w:spacing w:before="200" w:after="200"/>
        <w:rPr>
          <w:rFonts w:eastAsia="Arial" w:cs="Arial"/>
          <w:sz w:val="20"/>
          <w:szCs w:val="20"/>
        </w:rPr>
      </w:pPr>
      <w:r>
        <w:rPr>
          <w:rFonts w:eastAsia="Arial" w:cs="Arial"/>
          <w:sz w:val="20"/>
          <w:szCs w:val="20"/>
        </w:rPr>
        <w:t>The "Rule 105 Restricted Period" is the shorter of either: (1) the five days preceding the pricing of the offering, or (2) the time between the prospectus being declared effective and the pricing.</w:t>
      </w:r>
    </w:p>
    <w:p>
      <w:bookmarkEnd w:id="242"/>
    </w:p>
    <w:p>
      <w:pPr>
        <w:pStyle w:val="Heading3"/>
      </w:pPr>
      <w:bookmarkStart w:id="243" w:name="_Toc256000074"/>
      <w:r>
        <w:t>5.3.5 SMA Programs</w:t>
      </w:r>
      <w:bookmarkEnd w:id="243"/>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Investment advisers from time to time may participate in separately managed account programs (SMA Programs) sponsored by broker-dealers (Sponsors). Typically, an investment adviser will participate in a SMA Program in one of two ways:</w:t>
            </w:r>
          </w:p>
          <w:p>
            <w:pPr>
              <w:numPr>
                <w:ilvl w:val="0"/>
                <w:numId w:val="236"/>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As an investment manager (Investment Manager) that manages a model portfolio option for SMA Program customers. In this role, the Investment Manager has little or no contact with the SMA Program customers but selects the securities or mutual funds for the customer; or </w:t>
            </w:r>
          </w:p>
          <w:p>
            <w:pPr>
              <w:numPr>
                <w:ilvl w:val="0"/>
                <w:numId w:val="23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As an adviser participant (Adviser Participant) that is the direct investment adviser for the SMA Program customer in terms of selecting the SMA Program in the first place and monitoring the customer's investments through the program, but has no direct role in selecting the investment managers or portfolio securities or mutual funds that the customer will invest in.</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t>These procedures do not govern arrangements where KCD is also a Sponsor of a SMA Program.</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If KCD participates in a SMA Program, it will follow the procedures below either as a Manager or Adviser Participant or both.</w:t>
      </w:r>
    </w:p>
    <w:p/>
    <w:p>
      <w:pPr>
        <w:pStyle w:val="Heading4"/>
      </w:pPr>
      <w:r>
        <w:t>5.3.5.1 Manager</w:t>
      </w:r>
    </w:p>
    <w:p/>
    <w:p>
      <w:pPr>
        <w:rPr>
          <w:rFonts w:eastAsia="Arial" w:cs="Arial"/>
          <w:sz w:val="16"/>
          <w:szCs w:val="16"/>
        </w:rPr>
      </w:pPr>
    </w:p>
    <w:p>
      <w:pPr>
        <w:pStyle w:val="normal0"/>
        <w:spacing w:after="200"/>
        <w:rPr>
          <w:rFonts w:eastAsia="Arial" w:cs="Arial"/>
          <w:sz w:val="20"/>
          <w:szCs w:val="20"/>
        </w:rPr>
      </w:pPr>
      <w:r>
        <w:rPr>
          <w:rFonts w:eastAsia="Arial" w:cs="Arial"/>
          <w:i/>
          <w:iCs/>
          <w:sz w:val="20"/>
          <w:szCs w:val="20"/>
        </w:rPr>
        <w:t>Due Diligence:</w:t>
      </w:r>
      <w:r>
        <w:rPr>
          <w:rFonts w:eastAsia="Arial" w:cs="Arial"/>
          <w:sz w:val="20"/>
          <w:szCs w:val="20"/>
        </w:rPr>
        <w:t xml:space="preserve"> Prior to joining a SMA Program as a Manager, KCD will request, review and analyze the following information or documents about the Sponsor:</w:t>
      </w:r>
    </w:p>
    <w:p>
      <w:pPr>
        <w:numPr>
          <w:ilvl w:val="0"/>
          <w:numId w:val="237"/>
        </w:numPr>
        <w:spacing w:before="200"/>
        <w:ind w:left="720" w:hanging="192"/>
        <w:jc w:val="left"/>
        <w:rPr>
          <w:rFonts w:eastAsia="Arial" w:cs="Arial"/>
          <w:sz w:val="20"/>
          <w:szCs w:val="20"/>
        </w:rPr>
      </w:pPr>
      <w:r>
        <w:rPr>
          <w:rFonts w:eastAsia="Arial" w:cs="Arial"/>
          <w:sz w:val="20"/>
          <w:szCs w:val="20"/>
        </w:rPr>
        <w:t>Form BD and recent FOCUS reports;</w:t>
      </w:r>
    </w:p>
    <w:p>
      <w:pPr>
        <w:numPr>
          <w:ilvl w:val="0"/>
          <w:numId w:val="237"/>
        </w:numPr>
        <w:ind w:left="720" w:hanging="192"/>
        <w:jc w:val="left"/>
        <w:rPr>
          <w:rFonts w:eastAsia="Arial" w:cs="Arial"/>
          <w:sz w:val="20"/>
          <w:szCs w:val="20"/>
        </w:rPr>
      </w:pPr>
      <w:r>
        <w:rPr>
          <w:rFonts w:eastAsia="Arial" w:cs="Arial"/>
          <w:sz w:val="20"/>
          <w:szCs w:val="20"/>
        </w:rPr>
        <w:t>Disciplinary history of the Sponsor and registered representatives;</w:t>
      </w:r>
    </w:p>
    <w:p>
      <w:pPr>
        <w:numPr>
          <w:ilvl w:val="0"/>
          <w:numId w:val="237"/>
        </w:numPr>
        <w:ind w:left="720" w:hanging="192"/>
        <w:jc w:val="left"/>
        <w:rPr>
          <w:rFonts w:eastAsia="Arial" w:cs="Arial"/>
          <w:sz w:val="20"/>
          <w:szCs w:val="20"/>
        </w:rPr>
      </w:pPr>
      <w:r>
        <w:rPr>
          <w:rFonts w:eastAsia="Arial" w:cs="Arial"/>
          <w:sz w:val="20"/>
          <w:szCs w:val="20"/>
        </w:rPr>
        <w:t>Most recent deficiency letters from the SEC and FINRA;</w:t>
      </w:r>
    </w:p>
    <w:p>
      <w:pPr>
        <w:numPr>
          <w:ilvl w:val="0"/>
          <w:numId w:val="237"/>
        </w:numPr>
        <w:ind w:left="720" w:hanging="192"/>
        <w:jc w:val="left"/>
        <w:rPr>
          <w:rFonts w:eastAsia="Arial" w:cs="Arial"/>
          <w:sz w:val="20"/>
          <w:szCs w:val="20"/>
        </w:rPr>
      </w:pPr>
      <w:r>
        <w:rPr>
          <w:rFonts w:eastAsia="Arial" w:cs="Arial"/>
          <w:sz w:val="20"/>
          <w:szCs w:val="20"/>
        </w:rPr>
        <w:t>Rule 3130 reports;</w:t>
      </w:r>
    </w:p>
    <w:p>
      <w:pPr>
        <w:numPr>
          <w:ilvl w:val="0"/>
          <w:numId w:val="237"/>
        </w:numPr>
        <w:ind w:left="720" w:hanging="192"/>
        <w:jc w:val="left"/>
        <w:rPr>
          <w:rFonts w:eastAsia="Arial" w:cs="Arial"/>
          <w:sz w:val="20"/>
          <w:szCs w:val="20"/>
        </w:rPr>
      </w:pPr>
      <w:r>
        <w:rPr>
          <w:rFonts w:eastAsia="Arial" w:cs="Arial"/>
          <w:sz w:val="20"/>
          <w:szCs w:val="20"/>
        </w:rPr>
        <w:t>Anti-money laundering program;</w:t>
      </w:r>
    </w:p>
    <w:p>
      <w:pPr>
        <w:numPr>
          <w:ilvl w:val="0"/>
          <w:numId w:val="237"/>
        </w:numPr>
        <w:ind w:left="720" w:hanging="192"/>
        <w:jc w:val="left"/>
        <w:rPr>
          <w:rFonts w:eastAsia="Arial" w:cs="Arial"/>
          <w:sz w:val="20"/>
          <w:szCs w:val="20"/>
        </w:rPr>
      </w:pPr>
      <w:r>
        <w:rPr>
          <w:rFonts w:eastAsia="Arial" w:cs="Arial"/>
          <w:sz w:val="20"/>
          <w:szCs w:val="20"/>
        </w:rPr>
        <w:t>Due diligence questionnaire prepared by KCD and completed by the Sponsor;</w:t>
      </w:r>
    </w:p>
    <w:p>
      <w:pPr>
        <w:numPr>
          <w:ilvl w:val="0"/>
          <w:numId w:val="237"/>
        </w:numPr>
        <w:ind w:left="720" w:hanging="192"/>
        <w:jc w:val="left"/>
        <w:rPr>
          <w:rFonts w:eastAsia="Arial" w:cs="Arial"/>
          <w:sz w:val="20"/>
          <w:szCs w:val="20"/>
        </w:rPr>
      </w:pPr>
      <w:r>
        <w:rPr>
          <w:rFonts w:eastAsia="Arial" w:cs="Arial"/>
          <w:sz w:val="20"/>
          <w:szCs w:val="20"/>
        </w:rPr>
        <w:t>Information about the Sponsor's trading system and brokerage (including soft dollar) practices;</w:t>
      </w:r>
    </w:p>
    <w:p>
      <w:pPr>
        <w:numPr>
          <w:ilvl w:val="0"/>
          <w:numId w:val="237"/>
        </w:numPr>
        <w:ind w:left="720" w:hanging="192"/>
        <w:jc w:val="left"/>
        <w:rPr>
          <w:rFonts w:eastAsia="Arial" w:cs="Arial"/>
          <w:sz w:val="20"/>
          <w:szCs w:val="20"/>
        </w:rPr>
      </w:pPr>
      <w:r>
        <w:rPr>
          <w:rFonts w:eastAsia="Arial" w:cs="Arial"/>
          <w:sz w:val="20"/>
          <w:szCs w:val="20"/>
        </w:rPr>
        <w:t>Information about the investment strategies;</w:t>
      </w:r>
    </w:p>
    <w:p>
      <w:pPr>
        <w:numPr>
          <w:ilvl w:val="0"/>
          <w:numId w:val="237"/>
        </w:numPr>
        <w:ind w:left="720" w:hanging="192"/>
        <w:jc w:val="left"/>
        <w:rPr>
          <w:rFonts w:eastAsia="Arial" w:cs="Arial"/>
          <w:sz w:val="20"/>
          <w:szCs w:val="20"/>
        </w:rPr>
      </w:pPr>
      <w:r>
        <w:rPr>
          <w:rFonts w:eastAsia="Arial" w:cs="Arial"/>
          <w:sz w:val="20"/>
          <w:szCs w:val="20"/>
        </w:rPr>
        <w:t>Compliance manual, including code of ethics and business continuity plans;</w:t>
      </w:r>
    </w:p>
    <w:p>
      <w:pPr>
        <w:numPr>
          <w:ilvl w:val="0"/>
          <w:numId w:val="237"/>
        </w:numPr>
        <w:ind w:left="720" w:hanging="192"/>
        <w:jc w:val="left"/>
        <w:rPr>
          <w:rFonts w:eastAsia="Arial" w:cs="Arial"/>
          <w:sz w:val="20"/>
          <w:szCs w:val="20"/>
        </w:rPr>
      </w:pPr>
      <w:r>
        <w:rPr>
          <w:rFonts w:eastAsia="Arial" w:cs="Arial"/>
          <w:sz w:val="20"/>
          <w:szCs w:val="20"/>
        </w:rPr>
        <w:t>Customer questionnaires;</w:t>
      </w:r>
    </w:p>
    <w:p>
      <w:pPr>
        <w:numPr>
          <w:ilvl w:val="0"/>
          <w:numId w:val="237"/>
        </w:numPr>
        <w:ind w:left="720" w:hanging="192"/>
        <w:jc w:val="left"/>
        <w:rPr>
          <w:rFonts w:eastAsia="Arial" w:cs="Arial"/>
          <w:sz w:val="20"/>
          <w:szCs w:val="20"/>
        </w:rPr>
      </w:pPr>
      <w:r>
        <w:rPr>
          <w:rFonts w:eastAsia="Arial" w:cs="Arial"/>
          <w:sz w:val="20"/>
          <w:szCs w:val="20"/>
        </w:rPr>
        <w:t>Customer complaint files; and</w:t>
      </w:r>
    </w:p>
    <w:p>
      <w:pPr>
        <w:numPr>
          <w:ilvl w:val="0"/>
          <w:numId w:val="237"/>
        </w:numPr>
        <w:spacing w:after="200"/>
        <w:ind w:left="720" w:hanging="192"/>
        <w:jc w:val="left"/>
        <w:rPr>
          <w:rFonts w:eastAsia="Arial" w:cs="Arial"/>
          <w:sz w:val="20"/>
          <w:szCs w:val="20"/>
        </w:rPr>
      </w:pPr>
      <w:r>
        <w:rPr>
          <w:rFonts w:eastAsia="Arial" w:cs="Arial"/>
          <w:sz w:val="20"/>
          <w:szCs w:val="20"/>
        </w:rPr>
        <w:t>Trading error reports.</w:t>
      </w:r>
    </w:p>
    <w:p>
      <w:pPr>
        <w:pStyle w:val="normal0"/>
        <w:spacing w:before="200" w:after="200"/>
        <w:rPr>
          <w:rFonts w:eastAsia="Arial" w:cs="Arial"/>
          <w:sz w:val="20"/>
          <w:szCs w:val="20"/>
        </w:rPr>
      </w:pPr>
      <w:r>
        <w:rPr>
          <w:rFonts w:eastAsia="Arial" w:cs="Arial"/>
          <w:i/>
          <w:iCs/>
          <w:sz w:val="20"/>
          <w:szCs w:val="20"/>
        </w:rPr>
        <w:t>Contracts:</w:t>
      </w:r>
      <w:r>
        <w:rPr>
          <w:rFonts w:eastAsia="Arial" w:cs="Arial"/>
          <w:sz w:val="20"/>
          <w:szCs w:val="20"/>
        </w:rPr>
        <w:t xml:space="preserve"> participation by KCD as a Manger in the SMA Program will be governed by a written contract between KCD and Sponsor that includes provisions:</w:t>
      </w:r>
    </w:p>
    <w:p>
      <w:pPr>
        <w:numPr>
          <w:ilvl w:val="0"/>
          <w:numId w:val="238"/>
        </w:numPr>
        <w:spacing w:before="200"/>
        <w:ind w:left="720" w:hanging="192"/>
        <w:jc w:val="left"/>
        <w:rPr>
          <w:rFonts w:eastAsia="Arial" w:cs="Arial"/>
          <w:sz w:val="20"/>
          <w:szCs w:val="20"/>
        </w:rPr>
      </w:pPr>
      <w:r>
        <w:rPr>
          <w:rFonts w:eastAsia="Arial" w:cs="Arial"/>
          <w:sz w:val="20"/>
          <w:szCs w:val="20"/>
        </w:rPr>
        <w:t>requiring the Sponsor to notify KCD about material compliance events that occur at the Sponsor; and</w:t>
      </w:r>
    </w:p>
    <w:p>
      <w:pPr>
        <w:numPr>
          <w:ilvl w:val="0"/>
          <w:numId w:val="238"/>
        </w:numPr>
        <w:spacing w:after="200"/>
        <w:ind w:left="720" w:hanging="192"/>
        <w:jc w:val="left"/>
        <w:rPr>
          <w:rFonts w:eastAsia="Arial" w:cs="Arial"/>
          <w:sz w:val="20"/>
          <w:szCs w:val="20"/>
        </w:rPr>
      </w:pPr>
      <w:r>
        <w:rPr>
          <w:rFonts w:eastAsia="Arial" w:cs="Arial"/>
          <w:sz w:val="20"/>
          <w:szCs w:val="20"/>
        </w:rPr>
        <w:t>delineating responsibilities between the Sponsor, Adviser Participants and KCD (as Manager).</w:t>
      </w:r>
    </w:p>
    <w:p>
      <w:pPr>
        <w:pStyle w:val="normal0"/>
        <w:spacing w:before="200" w:after="200"/>
        <w:rPr>
          <w:rFonts w:eastAsia="Arial" w:cs="Arial"/>
          <w:sz w:val="20"/>
          <w:szCs w:val="20"/>
        </w:rPr>
      </w:pPr>
      <w:r>
        <w:rPr>
          <w:rFonts w:eastAsia="Arial" w:cs="Arial"/>
          <w:i/>
          <w:iCs/>
          <w:sz w:val="20"/>
          <w:szCs w:val="20"/>
        </w:rPr>
        <w:t>Reports:</w:t>
      </w:r>
      <w:r>
        <w:rPr>
          <w:rFonts w:eastAsia="Arial" w:cs="Arial"/>
          <w:sz w:val="20"/>
          <w:szCs w:val="20"/>
        </w:rPr>
        <w:t xml:space="preserve"> Sponsor will provide KCD, no less frequently than quarterly, reports about compliance issues, including the results of any recent exams performed by regulatory agencies, brokerage and other material matters related to the operation of the SMA Program.</w:t>
      </w:r>
    </w:p>
    <w:p>
      <w:bookmarkStart w:id="244" w:name="Sec_Chp_061016102250093_0610161022506095"/>
    </w:p>
    <w:p>
      <w:pPr>
        <w:pStyle w:val="Heading4"/>
      </w:pPr>
      <w:r>
        <w:t>5.3.5.2 Adviser Participant</w:t>
      </w:r>
    </w:p>
    <w:p/>
    <w:p>
      <w:pPr>
        <w:rPr>
          <w:rFonts w:eastAsia="Arial" w:cs="Arial"/>
          <w:sz w:val="16"/>
          <w:szCs w:val="16"/>
        </w:rPr>
      </w:pPr>
      <w:r>
        <w:rPr>
          <w:rFonts w:eastAsia="Arial" w:cs="Arial"/>
          <w:sz w:val="16"/>
          <w:szCs w:val="16"/>
        </w:rPr>
        <w:t>[Investment Advisers Act of 1940 Rule 206(4)-7]</w:t>
      </w:r>
    </w:p>
    <w:p/>
    <w:p>
      <w:pPr>
        <w:pStyle w:val="normal0"/>
        <w:spacing w:after="200"/>
        <w:rPr>
          <w:rFonts w:eastAsia="Arial" w:cs="Arial"/>
          <w:sz w:val="20"/>
          <w:szCs w:val="20"/>
        </w:rPr>
      </w:pPr>
      <w:r>
        <w:rPr>
          <w:rFonts w:eastAsia="Arial" w:cs="Arial"/>
          <w:i/>
          <w:iCs/>
          <w:sz w:val="20"/>
          <w:szCs w:val="20"/>
        </w:rPr>
        <w:t>Sponsor Due Diligence:</w:t>
      </w:r>
      <w:r>
        <w:rPr>
          <w:rFonts w:eastAsia="Arial" w:cs="Arial"/>
          <w:sz w:val="20"/>
          <w:szCs w:val="20"/>
        </w:rPr>
        <w:t xml:space="preserve"> Prior to joining a SMA Program as an Adviser Participant, KCD will request, review and analyze the following information or documents about the Sponsor:</w:t>
      </w:r>
    </w:p>
    <w:p>
      <w:pPr>
        <w:numPr>
          <w:ilvl w:val="0"/>
          <w:numId w:val="239"/>
        </w:numPr>
        <w:spacing w:before="200"/>
        <w:ind w:left="720" w:hanging="192"/>
        <w:jc w:val="left"/>
        <w:rPr>
          <w:rFonts w:eastAsia="Arial" w:cs="Arial"/>
          <w:sz w:val="20"/>
          <w:szCs w:val="20"/>
        </w:rPr>
      </w:pPr>
      <w:r>
        <w:rPr>
          <w:rFonts w:eastAsia="Arial" w:cs="Arial"/>
          <w:sz w:val="20"/>
          <w:szCs w:val="20"/>
        </w:rPr>
        <w:t>Form BD and recent FOCUS reports;</w:t>
      </w:r>
    </w:p>
    <w:p>
      <w:pPr>
        <w:numPr>
          <w:ilvl w:val="0"/>
          <w:numId w:val="239"/>
        </w:numPr>
        <w:ind w:left="720" w:hanging="192"/>
        <w:jc w:val="left"/>
        <w:rPr>
          <w:rFonts w:eastAsia="Arial" w:cs="Arial"/>
          <w:sz w:val="20"/>
          <w:szCs w:val="20"/>
        </w:rPr>
      </w:pPr>
      <w:r>
        <w:rPr>
          <w:rFonts w:eastAsia="Arial" w:cs="Arial"/>
          <w:sz w:val="20"/>
          <w:szCs w:val="20"/>
        </w:rPr>
        <w:t>Disciplinary history of the Sponsor and registered representatives;</w:t>
      </w:r>
    </w:p>
    <w:p>
      <w:pPr>
        <w:numPr>
          <w:ilvl w:val="0"/>
          <w:numId w:val="239"/>
        </w:numPr>
        <w:ind w:left="720" w:hanging="192"/>
        <w:jc w:val="left"/>
        <w:rPr>
          <w:rFonts w:eastAsia="Arial" w:cs="Arial"/>
          <w:sz w:val="20"/>
          <w:szCs w:val="20"/>
        </w:rPr>
      </w:pPr>
      <w:r>
        <w:rPr>
          <w:rFonts w:eastAsia="Arial" w:cs="Arial"/>
          <w:sz w:val="20"/>
          <w:szCs w:val="20"/>
        </w:rPr>
        <w:t>Most recent deficiency letters from the SEC and FINRA;</w:t>
      </w:r>
    </w:p>
    <w:p>
      <w:pPr>
        <w:numPr>
          <w:ilvl w:val="0"/>
          <w:numId w:val="239"/>
        </w:numPr>
        <w:ind w:left="720" w:hanging="192"/>
        <w:jc w:val="left"/>
        <w:rPr>
          <w:rFonts w:eastAsia="Arial" w:cs="Arial"/>
          <w:sz w:val="20"/>
          <w:szCs w:val="20"/>
        </w:rPr>
      </w:pPr>
      <w:r>
        <w:rPr>
          <w:rFonts w:eastAsia="Arial" w:cs="Arial"/>
          <w:sz w:val="20"/>
          <w:szCs w:val="20"/>
        </w:rPr>
        <w:t xml:space="preserve">Rule 3130 reports; </w:t>
      </w:r>
    </w:p>
    <w:p>
      <w:pPr>
        <w:numPr>
          <w:ilvl w:val="0"/>
          <w:numId w:val="239"/>
        </w:numPr>
        <w:ind w:left="720" w:hanging="192"/>
        <w:jc w:val="left"/>
        <w:rPr>
          <w:rFonts w:eastAsia="Arial" w:cs="Arial"/>
          <w:sz w:val="20"/>
          <w:szCs w:val="20"/>
        </w:rPr>
      </w:pPr>
      <w:r>
        <w:rPr>
          <w:rFonts w:eastAsia="Arial" w:cs="Arial"/>
          <w:sz w:val="20"/>
          <w:szCs w:val="20"/>
        </w:rPr>
        <w:t>Anti-money laundering program;</w:t>
      </w:r>
    </w:p>
    <w:p>
      <w:pPr>
        <w:numPr>
          <w:ilvl w:val="0"/>
          <w:numId w:val="239"/>
        </w:numPr>
        <w:ind w:left="720" w:hanging="192"/>
        <w:jc w:val="left"/>
        <w:rPr>
          <w:rFonts w:eastAsia="Arial" w:cs="Arial"/>
          <w:sz w:val="20"/>
          <w:szCs w:val="20"/>
        </w:rPr>
      </w:pPr>
      <w:r>
        <w:rPr>
          <w:rFonts w:eastAsia="Arial" w:cs="Arial"/>
          <w:sz w:val="20"/>
          <w:szCs w:val="20"/>
        </w:rPr>
        <w:t xml:space="preserve">Rule 206(4)-7 reports; </w:t>
      </w:r>
    </w:p>
    <w:p>
      <w:pPr>
        <w:numPr>
          <w:ilvl w:val="0"/>
          <w:numId w:val="239"/>
        </w:numPr>
        <w:ind w:left="720" w:hanging="192"/>
        <w:jc w:val="left"/>
        <w:rPr>
          <w:rFonts w:eastAsia="Arial" w:cs="Arial"/>
          <w:sz w:val="20"/>
          <w:szCs w:val="20"/>
        </w:rPr>
      </w:pPr>
      <w:r>
        <w:rPr>
          <w:rFonts w:eastAsia="Arial" w:cs="Arial"/>
          <w:sz w:val="20"/>
          <w:szCs w:val="20"/>
        </w:rPr>
        <w:t>Due diligence questionnaire prepared by KCD and Completed by the Sponsor;</w:t>
      </w:r>
    </w:p>
    <w:p>
      <w:pPr>
        <w:numPr>
          <w:ilvl w:val="0"/>
          <w:numId w:val="239"/>
        </w:numPr>
        <w:ind w:left="720" w:hanging="192"/>
        <w:jc w:val="left"/>
        <w:rPr>
          <w:rFonts w:eastAsia="Arial" w:cs="Arial"/>
          <w:sz w:val="20"/>
          <w:szCs w:val="20"/>
        </w:rPr>
      </w:pPr>
      <w:r>
        <w:rPr>
          <w:rFonts w:eastAsia="Arial" w:cs="Arial"/>
          <w:sz w:val="20"/>
          <w:szCs w:val="20"/>
        </w:rPr>
        <w:t>Sample due diligence questionnaire that Sponsor requires Managers to complete;</w:t>
      </w:r>
    </w:p>
    <w:p>
      <w:pPr>
        <w:numPr>
          <w:ilvl w:val="0"/>
          <w:numId w:val="239"/>
        </w:numPr>
        <w:ind w:left="720" w:hanging="192"/>
        <w:jc w:val="left"/>
        <w:rPr>
          <w:rFonts w:eastAsia="Arial" w:cs="Arial"/>
          <w:sz w:val="20"/>
          <w:szCs w:val="20"/>
        </w:rPr>
      </w:pPr>
      <w:r>
        <w:rPr>
          <w:rFonts w:eastAsia="Arial" w:cs="Arial"/>
          <w:sz w:val="20"/>
          <w:szCs w:val="20"/>
        </w:rPr>
        <w:t>Information about the Sponsor's trading system and brokerage (including soft dollar) practices;</w:t>
      </w:r>
    </w:p>
    <w:p>
      <w:pPr>
        <w:numPr>
          <w:ilvl w:val="0"/>
          <w:numId w:val="239"/>
        </w:numPr>
        <w:ind w:left="720" w:hanging="192"/>
        <w:jc w:val="left"/>
        <w:rPr>
          <w:rFonts w:eastAsia="Arial" w:cs="Arial"/>
          <w:sz w:val="20"/>
          <w:szCs w:val="20"/>
        </w:rPr>
      </w:pPr>
      <w:r>
        <w:rPr>
          <w:rFonts w:eastAsia="Arial" w:cs="Arial"/>
          <w:sz w:val="20"/>
          <w:szCs w:val="20"/>
        </w:rPr>
        <w:t>Information about the investment strategies;</w:t>
      </w:r>
    </w:p>
    <w:p>
      <w:pPr>
        <w:numPr>
          <w:ilvl w:val="0"/>
          <w:numId w:val="239"/>
        </w:numPr>
        <w:ind w:left="720" w:hanging="192"/>
        <w:jc w:val="left"/>
        <w:rPr>
          <w:rFonts w:eastAsia="Arial" w:cs="Arial"/>
          <w:sz w:val="20"/>
          <w:szCs w:val="20"/>
        </w:rPr>
      </w:pPr>
      <w:r>
        <w:rPr>
          <w:rFonts w:eastAsia="Arial" w:cs="Arial"/>
          <w:sz w:val="20"/>
          <w:szCs w:val="20"/>
        </w:rPr>
        <w:t>Compliance manual, including code of ethics and business continuity plans;</w:t>
      </w:r>
    </w:p>
    <w:p>
      <w:pPr>
        <w:numPr>
          <w:ilvl w:val="0"/>
          <w:numId w:val="239"/>
        </w:numPr>
        <w:ind w:left="720" w:hanging="192"/>
        <w:jc w:val="left"/>
        <w:rPr>
          <w:rFonts w:eastAsia="Arial" w:cs="Arial"/>
          <w:sz w:val="20"/>
          <w:szCs w:val="20"/>
        </w:rPr>
      </w:pPr>
      <w:r>
        <w:rPr>
          <w:rFonts w:eastAsia="Arial" w:cs="Arial"/>
          <w:sz w:val="20"/>
          <w:szCs w:val="20"/>
        </w:rPr>
        <w:t>Customer questionnaires;</w:t>
      </w:r>
    </w:p>
    <w:p>
      <w:pPr>
        <w:numPr>
          <w:ilvl w:val="0"/>
          <w:numId w:val="239"/>
        </w:numPr>
        <w:ind w:left="720" w:hanging="192"/>
        <w:jc w:val="left"/>
        <w:rPr>
          <w:rFonts w:eastAsia="Arial" w:cs="Arial"/>
          <w:sz w:val="20"/>
          <w:szCs w:val="20"/>
        </w:rPr>
      </w:pPr>
      <w:r>
        <w:rPr>
          <w:rFonts w:eastAsia="Arial" w:cs="Arial"/>
          <w:sz w:val="20"/>
          <w:szCs w:val="20"/>
        </w:rPr>
        <w:t>Customer complaint files; and</w:t>
      </w:r>
    </w:p>
    <w:p>
      <w:pPr>
        <w:numPr>
          <w:ilvl w:val="0"/>
          <w:numId w:val="239"/>
        </w:numPr>
        <w:spacing w:after="200"/>
        <w:ind w:left="720" w:hanging="192"/>
        <w:jc w:val="left"/>
        <w:rPr>
          <w:rFonts w:eastAsia="Arial" w:cs="Arial"/>
          <w:sz w:val="20"/>
          <w:szCs w:val="20"/>
        </w:rPr>
      </w:pPr>
      <w:r>
        <w:rPr>
          <w:rFonts w:eastAsia="Arial" w:cs="Arial"/>
          <w:sz w:val="20"/>
          <w:szCs w:val="20"/>
        </w:rPr>
        <w:t>Trading error reports.</w:t>
      </w:r>
    </w:p>
    <w:p>
      <w:pPr>
        <w:pStyle w:val="normal0"/>
        <w:spacing w:before="200" w:after="200"/>
        <w:rPr>
          <w:rFonts w:eastAsia="Arial" w:cs="Arial"/>
          <w:sz w:val="20"/>
          <w:szCs w:val="20"/>
        </w:rPr>
      </w:pPr>
      <w:r>
        <w:rPr>
          <w:rFonts w:eastAsia="Arial" w:cs="Arial"/>
          <w:i/>
          <w:iCs/>
          <w:sz w:val="20"/>
          <w:szCs w:val="20"/>
        </w:rPr>
        <w:t>Manager Due Diligence:</w:t>
      </w:r>
      <w:r>
        <w:rPr>
          <w:rFonts w:eastAsia="Arial" w:cs="Arial"/>
          <w:sz w:val="20"/>
          <w:szCs w:val="20"/>
        </w:rPr>
        <w:t xml:space="preserve"> Prior to joining a SMA Program as an Adviser Participant, KCD will request, review and analyze the following information or documents about each Manager (the information below may be provided by the Sponsor):</w:t>
      </w:r>
    </w:p>
    <w:p>
      <w:pPr>
        <w:numPr>
          <w:ilvl w:val="0"/>
          <w:numId w:val="240"/>
        </w:numPr>
        <w:spacing w:before="200"/>
        <w:ind w:left="720" w:hanging="192"/>
        <w:jc w:val="left"/>
        <w:rPr>
          <w:rFonts w:eastAsia="Arial" w:cs="Arial"/>
          <w:sz w:val="20"/>
          <w:szCs w:val="20"/>
        </w:rPr>
      </w:pPr>
      <w:r>
        <w:rPr>
          <w:rFonts w:eastAsia="Arial" w:cs="Arial"/>
          <w:sz w:val="20"/>
          <w:szCs w:val="20"/>
        </w:rPr>
        <w:t>Form ADV;</w:t>
      </w:r>
    </w:p>
    <w:p>
      <w:pPr>
        <w:numPr>
          <w:ilvl w:val="0"/>
          <w:numId w:val="240"/>
        </w:numPr>
        <w:ind w:left="720" w:hanging="192"/>
        <w:jc w:val="left"/>
        <w:rPr>
          <w:rFonts w:eastAsia="Arial" w:cs="Arial"/>
          <w:sz w:val="20"/>
          <w:szCs w:val="20"/>
        </w:rPr>
      </w:pPr>
      <w:r>
        <w:rPr>
          <w:rFonts w:eastAsia="Arial" w:cs="Arial"/>
          <w:sz w:val="20"/>
          <w:szCs w:val="20"/>
        </w:rPr>
        <w:t>Disciplinary history of the Managers and their investment adviser representatives;</w:t>
      </w:r>
    </w:p>
    <w:p>
      <w:pPr>
        <w:numPr>
          <w:ilvl w:val="0"/>
          <w:numId w:val="240"/>
        </w:numPr>
        <w:ind w:left="720" w:hanging="192"/>
        <w:jc w:val="left"/>
        <w:rPr>
          <w:rFonts w:eastAsia="Arial" w:cs="Arial"/>
          <w:sz w:val="20"/>
          <w:szCs w:val="20"/>
        </w:rPr>
      </w:pPr>
      <w:r>
        <w:rPr>
          <w:rFonts w:eastAsia="Arial" w:cs="Arial"/>
          <w:sz w:val="20"/>
          <w:szCs w:val="20"/>
        </w:rPr>
        <w:t>Most recent deficiency letter from the SEC;</w:t>
      </w:r>
    </w:p>
    <w:p>
      <w:pPr>
        <w:numPr>
          <w:ilvl w:val="0"/>
          <w:numId w:val="240"/>
        </w:numPr>
        <w:ind w:left="720" w:hanging="192"/>
        <w:jc w:val="left"/>
        <w:rPr>
          <w:rFonts w:eastAsia="Arial" w:cs="Arial"/>
          <w:sz w:val="20"/>
          <w:szCs w:val="20"/>
        </w:rPr>
      </w:pPr>
      <w:r>
        <w:rPr>
          <w:rFonts w:eastAsia="Arial" w:cs="Arial"/>
          <w:sz w:val="20"/>
          <w:szCs w:val="20"/>
        </w:rPr>
        <w:t>Rule 206(4)-7 reports;</w:t>
      </w:r>
    </w:p>
    <w:p>
      <w:pPr>
        <w:numPr>
          <w:ilvl w:val="0"/>
          <w:numId w:val="240"/>
        </w:numPr>
        <w:ind w:left="720" w:hanging="192"/>
        <w:jc w:val="left"/>
        <w:rPr>
          <w:rFonts w:eastAsia="Arial" w:cs="Arial"/>
          <w:sz w:val="20"/>
          <w:szCs w:val="20"/>
        </w:rPr>
      </w:pPr>
      <w:r>
        <w:rPr>
          <w:rFonts w:eastAsia="Arial" w:cs="Arial"/>
          <w:sz w:val="20"/>
          <w:szCs w:val="20"/>
        </w:rPr>
        <w:t>Due diligence questionnaire prepared by the Sponsor and completed by the Managers; and</w:t>
      </w:r>
    </w:p>
    <w:p>
      <w:pPr>
        <w:numPr>
          <w:ilvl w:val="0"/>
          <w:numId w:val="240"/>
        </w:numPr>
        <w:spacing w:after="200"/>
        <w:ind w:left="720" w:hanging="192"/>
        <w:jc w:val="left"/>
        <w:rPr>
          <w:rFonts w:eastAsia="Arial" w:cs="Arial"/>
          <w:sz w:val="20"/>
          <w:szCs w:val="20"/>
        </w:rPr>
      </w:pPr>
      <w:r>
        <w:rPr>
          <w:rFonts w:eastAsia="Arial" w:cs="Arial"/>
          <w:sz w:val="20"/>
          <w:szCs w:val="20"/>
        </w:rPr>
        <w:t>Analytical and other research information about the Manager's investment style and performance.</w:t>
      </w:r>
    </w:p>
    <w:p>
      <w:pPr>
        <w:pStyle w:val="normal0"/>
        <w:spacing w:before="200" w:after="200"/>
        <w:rPr>
          <w:rFonts w:eastAsia="Arial" w:cs="Arial"/>
          <w:sz w:val="20"/>
          <w:szCs w:val="20"/>
        </w:rPr>
      </w:pPr>
      <w:r>
        <w:rPr>
          <w:rFonts w:eastAsia="Arial" w:cs="Arial"/>
          <w:i/>
          <w:iCs/>
          <w:sz w:val="20"/>
          <w:szCs w:val="20"/>
        </w:rPr>
        <w:t>Contracts:</w:t>
      </w:r>
      <w:r>
        <w:rPr>
          <w:rFonts w:eastAsia="Arial" w:cs="Arial"/>
          <w:sz w:val="20"/>
          <w:szCs w:val="20"/>
        </w:rPr>
        <w:t xml:space="preserve"> participation by KCD as an Adviser Participant in the SMA Program will be governed by a written contract between KCD and Sponsor that includes provisions:</w:t>
      </w:r>
    </w:p>
    <w:p>
      <w:pPr>
        <w:numPr>
          <w:ilvl w:val="0"/>
          <w:numId w:val="241"/>
        </w:numPr>
        <w:spacing w:before="200"/>
        <w:ind w:left="720" w:hanging="192"/>
        <w:jc w:val="left"/>
        <w:rPr>
          <w:rFonts w:eastAsia="Arial" w:cs="Arial"/>
          <w:sz w:val="20"/>
          <w:szCs w:val="20"/>
        </w:rPr>
      </w:pPr>
      <w:r>
        <w:rPr>
          <w:rFonts w:eastAsia="Arial" w:cs="Arial"/>
          <w:sz w:val="20"/>
          <w:szCs w:val="20"/>
        </w:rPr>
        <w:t>requiring the Sponsor to notify KCD about material compliance events that occur at the Sponsor; and</w:t>
      </w:r>
    </w:p>
    <w:p>
      <w:pPr>
        <w:numPr>
          <w:ilvl w:val="0"/>
          <w:numId w:val="241"/>
        </w:numPr>
        <w:spacing w:after="200"/>
        <w:ind w:left="720" w:hanging="192"/>
        <w:jc w:val="left"/>
        <w:rPr>
          <w:rFonts w:eastAsia="Arial" w:cs="Arial"/>
          <w:sz w:val="20"/>
          <w:szCs w:val="20"/>
        </w:rPr>
      </w:pPr>
      <w:r>
        <w:rPr>
          <w:rFonts w:eastAsia="Arial" w:cs="Arial"/>
          <w:sz w:val="20"/>
          <w:szCs w:val="20"/>
        </w:rPr>
        <w:t>delineating responsibilities between the Sponsor, Managers and KCD (as an Adviser Participant).</w:t>
      </w:r>
    </w:p>
    <w:p>
      <w:pPr>
        <w:pStyle w:val="normal0"/>
        <w:spacing w:before="200" w:after="200"/>
        <w:rPr>
          <w:rFonts w:eastAsia="Arial" w:cs="Arial"/>
          <w:sz w:val="20"/>
          <w:szCs w:val="20"/>
        </w:rPr>
      </w:pPr>
      <w:r>
        <w:rPr>
          <w:rFonts w:eastAsia="Arial" w:cs="Arial"/>
          <w:i/>
          <w:iCs/>
          <w:sz w:val="20"/>
          <w:szCs w:val="20"/>
        </w:rPr>
        <w:t>Reports:</w:t>
      </w:r>
      <w:r>
        <w:rPr>
          <w:rFonts w:eastAsia="Arial" w:cs="Arial"/>
          <w:sz w:val="20"/>
          <w:szCs w:val="20"/>
        </w:rPr>
        <w:t xml:space="preserve"> Sponsor will provide KCD, no less frequently than quarterly, reports about compliance issues at the Sponsor and Managers, including the results of any recent exams performed by regulatory agencies, brokerage, performance and other analytical information about the Managers and investment strategies, and other material matters related to the operation of the SMA Program.</w:t>
      </w:r>
    </w:p>
    <w:p>
      <w:bookmarkEnd w:id="244"/>
      <w:bookmarkStart w:id="245" w:name="Sec_Chp_061016102250093_061016102250609"/>
    </w:p>
    <w:p>
      <w:pPr>
        <w:pStyle w:val="Heading3"/>
      </w:pPr>
      <w:bookmarkStart w:id="246" w:name="_Toc256000075"/>
      <w:r>
        <w:t>5.3.6 Cash Management</w:t>
      </w:r>
      <w:bookmarkEnd w:id="246"/>
    </w:p>
    <w:p/>
    <w:p>
      <w:pPr>
        <w:rPr>
          <w:rFonts w:eastAsia="Arial" w:cs="Arial"/>
          <w:sz w:val="16"/>
          <w:szCs w:val="16"/>
        </w:rPr>
      </w:pPr>
    </w:p>
    <w:p>
      <w:bookmarkEnd w:id="245"/>
      <w:bookmarkStart w:id="247" w:name="Sec_Chp_061016102250093_061016102250625"/>
    </w:p>
    <w:p>
      <w:pPr>
        <w:pStyle w:val="Heading4"/>
      </w:pPr>
      <w:r>
        <w:t>5.3.6.1 Investment of Client Cash</w:t>
      </w:r>
    </w:p>
    <w:p/>
    <w:p>
      <w:pPr>
        <w:rPr>
          <w:rFonts w:eastAsia="Arial" w:cs="Arial"/>
          <w:sz w:val="16"/>
          <w:szCs w:val="16"/>
        </w:rPr>
      </w:pPr>
    </w:p>
    <w:p>
      <w:pPr>
        <w:numPr>
          <w:ilvl w:val="0"/>
          <w:numId w:val="242"/>
        </w:numPr>
        <w:ind w:left="720" w:hanging="267"/>
        <w:jc w:val="left"/>
        <w:rPr>
          <w:rFonts w:eastAsia="Arial" w:cs="Arial"/>
          <w:sz w:val="20"/>
          <w:szCs w:val="20"/>
        </w:rPr>
      </w:pPr>
      <w:r>
        <w:rPr>
          <w:rFonts w:eastAsia="Arial" w:cs="Arial"/>
          <w:sz w:val="20"/>
          <w:szCs w:val="20"/>
        </w:rPr>
        <w:t xml:space="preserve">At the end of each business day, KCD invests client cash not necessary for investment into a money market fund or other cash sweep vehicle. </w:t>
      </w:r>
    </w:p>
    <w:p>
      <w:pPr>
        <w:numPr>
          <w:ilvl w:val="0"/>
          <w:numId w:val="242"/>
        </w:numPr>
        <w:ind w:left="720" w:hanging="267"/>
        <w:jc w:val="left"/>
        <w:rPr>
          <w:rFonts w:eastAsia="Arial" w:cs="Arial"/>
          <w:sz w:val="20"/>
          <w:szCs w:val="20"/>
        </w:rPr>
      </w:pPr>
      <w:r>
        <w:rPr>
          <w:rFonts w:eastAsia="Arial" w:cs="Arial"/>
          <w:sz w:val="20"/>
          <w:szCs w:val="20"/>
        </w:rPr>
        <w:t xml:space="preserve">If KCD on behalf of a client invests cash or sweeps cash into an affiliated money market, KCD will follow procedures set forth in the </w:t>
      </w:r>
      <w:r>
        <w:rPr>
          <w:rFonts w:eastAsia="Arial" w:cs="Arial"/>
          <w:i/>
          <w:iCs/>
          <w:sz w:val="20"/>
          <w:szCs w:val="20"/>
        </w:rPr>
        <w:t>Affiliated Money Market Fund</w:t>
      </w:r>
      <w:r>
        <w:rPr>
          <w:rFonts w:eastAsia="Arial" w:cs="Arial"/>
          <w:sz w:val="20"/>
          <w:szCs w:val="20"/>
        </w:rPr>
        <w:t xml:space="preserve"> section of this chapter.</w:t>
      </w:r>
    </w:p>
    <w:p>
      <w:pPr>
        <w:numPr>
          <w:ilvl w:val="0"/>
          <w:numId w:val="242"/>
        </w:numPr>
        <w:ind w:left="720" w:hanging="267"/>
        <w:jc w:val="left"/>
        <w:rPr>
          <w:rFonts w:eastAsia="Arial" w:cs="Arial"/>
          <w:sz w:val="20"/>
          <w:szCs w:val="20"/>
        </w:rPr>
      </w:pPr>
      <w:r>
        <w:rPr>
          <w:rFonts w:eastAsia="Arial" w:cs="Arial"/>
          <w:sz w:val="20"/>
          <w:szCs w:val="20"/>
        </w:rPr>
        <w:t>KCD monitors the current rates on money market funds and other overnight investment opportunities and compares the rates of those products to the clients' current overnight investments. KCD will select the money market fund option that is in the best interest of the client.</w:t>
      </w:r>
    </w:p>
    <w:p>
      <w:pPr>
        <w:numPr>
          <w:ilvl w:val="0"/>
          <w:numId w:val="242"/>
        </w:numPr>
        <w:ind w:left="720" w:hanging="267"/>
        <w:jc w:val="left"/>
        <w:rPr>
          <w:rFonts w:eastAsia="Arial" w:cs="Arial"/>
          <w:sz w:val="20"/>
          <w:szCs w:val="20"/>
        </w:rPr>
      </w:pPr>
      <w:r>
        <w:rPr>
          <w:rFonts w:eastAsia="Arial" w:cs="Arial"/>
          <w:sz w:val="20"/>
          <w:szCs w:val="20"/>
        </w:rPr>
        <w:t xml:space="preserve">KCD invests excess cash in a manner that takes into account the yield of the investments, the near-term liquidity requirements of each client and the account guidelines. </w:t>
      </w:r>
    </w:p>
    <w:p>
      <w:pPr>
        <w:numPr>
          <w:ilvl w:val="0"/>
          <w:numId w:val="242"/>
        </w:numPr>
        <w:spacing w:after="200"/>
        <w:ind w:left="720" w:hanging="267"/>
        <w:jc w:val="left"/>
        <w:rPr>
          <w:rFonts w:eastAsia="Arial" w:cs="Arial"/>
          <w:sz w:val="20"/>
          <w:szCs w:val="20"/>
        </w:rPr>
      </w:pPr>
      <w:r>
        <w:rPr>
          <w:rFonts w:eastAsia="Arial" w:cs="Arial"/>
          <w:sz w:val="20"/>
          <w:szCs w:val="20"/>
        </w:rPr>
        <w:t>The appropriate Adviser Representative is responsible for monitoring the quality of the cash investments and the liquidity needs of clients.</w:t>
      </w:r>
    </w:p>
    <w:p>
      <w:bookmarkEnd w:id="247"/>
      <w:bookmarkStart w:id="248" w:name="Sec_Chp_061016102250093_061016102250640"/>
    </w:p>
    <w:p>
      <w:pPr>
        <w:pStyle w:val="Heading4"/>
      </w:pPr>
      <w:r>
        <w:t xml:space="preserve">5.3.6.2 Payments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direct clients to pay for securities or other investments by making payments to the appropriate financial institution. KCD will not accept any checks made out to KCD as a form of payment for securities or other investments. </w:t>
      </w:r>
    </w:p>
    <w:p>
      <w:bookmarkEnd w:id="248"/>
      <w:bookmarkStart w:id="249" w:name="Sec_Chp_061016102250093_061016102250656"/>
    </w:p>
    <w:p>
      <w:pPr>
        <w:pStyle w:val="Heading4"/>
      </w:pPr>
      <w:r>
        <w:t xml:space="preserve">5.3.6.3 Disbursements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not accept any cash disbursements made by the broker-dealer or other financial institution maintaining the client accounts ("Broker-Dealer") on behalf of KCD clients. KCD will direct the Broker-Dealer to make cash disbursements directly to clients. </w:t>
      </w:r>
    </w:p>
    <w:p>
      <w:bookmarkEnd w:id="249"/>
      <w:bookmarkStart w:id="250" w:name="Sec_Chp_061016102250093_061016102250671"/>
    </w:p>
    <w:p>
      <w:pPr>
        <w:pStyle w:val="Heading4"/>
      </w:pPr>
      <w:r>
        <w:t xml:space="preserve">5.3.6.4 Custody Arrangements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periodically will inquire about the check processing and wire transfer procedures of the Broker-Dealer that holds cash belonging to a client, including the average time for processing checks and wire transfers, the Broker-Dealer's financial institution's policy regarding rejected checks and wire transfers, and its disbursement policies. </w:t>
      </w:r>
    </w:p>
    <w:p>
      <w:bookmarkEnd w:id="250"/>
      <w:bookmarkStart w:id="251" w:name="Sec_Chp_061016102250093_061016102250687"/>
    </w:p>
    <w:p>
      <w:pPr>
        <w:pStyle w:val="Heading4"/>
      </w:pPr>
      <w:r>
        <w:t xml:space="preserve">5.3.6.5 Defensive Investments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not cause excessive cash balances to be maintained for any client, unless such cash positions are part of a defensive investment strategy previously disclosed or explained to the client.</w:t>
      </w:r>
    </w:p>
    <w:p>
      <w:bookmarkEnd w:id="251"/>
      <w:bookmarkStart w:id="252" w:name="Sec_Chp_061016102250093_061016102250718"/>
    </w:p>
    <w:p>
      <w:pPr>
        <w:pStyle w:val="Heading3"/>
      </w:pPr>
      <w:bookmarkStart w:id="253" w:name="_Toc256000076"/>
      <w:r>
        <w:t>5.3.7 Conflicts of Interest</w:t>
      </w:r>
      <w:bookmarkEnd w:id="253"/>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and its IARs owe a duty of loyalty to each client. The duty of loyalty requires that KCD not subordinate its clients' interests to its own. KCD must not place its own interest ahead of its client's interests. To meet its duty of loyalty, KCD, among other things, must make full and fair disclosure to its clients of all material facts relating to the advisory relationship. KCD also has an obligation to avoid or mitigate conflicts of interest where possible and provide disclosure where conflicts of interest may exist.</w:t>
      </w:r>
    </w:p>
    <w:p>
      <w:bookmarkEnd w:id="252"/>
    </w:p>
    <w:p>
      <w:pPr>
        <w:pStyle w:val="Heading4"/>
      </w:pPr>
      <w:r>
        <w:t>5.3.7.1 Definition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conflict of interest is any activity or relationship in which KCD's interests compete with the interests of its clients:</w:t>
      </w:r>
    </w:p>
    <w:p>
      <w:pPr>
        <w:numPr>
          <w:ilvl w:val="0"/>
          <w:numId w:val="243"/>
        </w:numPr>
        <w:spacing w:before="200"/>
        <w:ind w:left="720" w:hanging="192"/>
        <w:jc w:val="left"/>
        <w:rPr>
          <w:rFonts w:eastAsia="Arial" w:cs="Arial"/>
          <w:sz w:val="20"/>
          <w:szCs w:val="20"/>
        </w:rPr>
      </w:pPr>
      <w:r>
        <w:rPr>
          <w:rFonts w:eastAsia="Arial" w:cs="Arial"/>
          <w:sz w:val="20"/>
          <w:szCs w:val="20"/>
        </w:rPr>
        <w:t>Self-interest is often an element in the conflict, in which the self-interest could clash with the client's interest</w:t>
      </w:r>
    </w:p>
    <w:p>
      <w:pPr>
        <w:numPr>
          <w:ilvl w:val="0"/>
          <w:numId w:val="243"/>
        </w:numPr>
        <w:spacing w:after="200"/>
        <w:ind w:left="720" w:hanging="192"/>
        <w:jc w:val="left"/>
        <w:rPr>
          <w:rFonts w:eastAsia="Arial" w:cs="Arial"/>
          <w:sz w:val="20"/>
          <w:szCs w:val="20"/>
        </w:rPr>
      </w:pPr>
      <w:r>
        <w:rPr>
          <w:rFonts w:eastAsia="Arial" w:cs="Arial"/>
          <w:sz w:val="20"/>
          <w:szCs w:val="20"/>
        </w:rPr>
        <w:t>Conflicts may involve divided loyalty and self-dealing</w:t>
      </w:r>
    </w:p>
    <w:p/>
    <w:p>
      <w:pPr>
        <w:pStyle w:val="Heading4"/>
      </w:pPr>
      <w:r>
        <w:t>5.3.7.2 Identify Conflicts of Interest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Conflicts are inherent in the investment advisory business. KCD shall identify conflicts of interest that arise from time to time and address them.</w:t>
      </w:r>
    </w:p>
    <w:p/>
    <w:p>
      <w:pPr>
        <w:pStyle w:val="Heading5"/>
      </w:pPr>
      <w:r>
        <w:t>5.3.7.2.1 Possible Areas where Conflicts of Interest Arise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are possible situations presenting conflicts of interest:</w:t>
      </w:r>
    </w:p>
    <w:p>
      <w:pPr>
        <w:numPr>
          <w:ilvl w:val="0"/>
          <w:numId w:val="244"/>
        </w:numPr>
        <w:spacing w:before="200"/>
        <w:ind w:left="720" w:hanging="192"/>
        <w:jc w:val="left"/>
        <w:rPr>
          <w:rFonts w:eastAsia="Arial" w:cs="Arial"/>
          <w:sz w:val="20"/>
          <w:szCs w:val="20"/>
        </w:rPr>
      </w:pPr>
      <w:r>
        <w:rPr>
          <w:rFonts w:eastAsia="Arial" w:cs="Arial"/>
          <w:sz w:val="20"/>
          <w:szCs w:val="20"/>
        </w:rPr>
        <w:t>Affiliated company arrangements and transactions</w:t>
      </w:r>
    </w:p>
    <w:p>
      <w:pPr>
        <w:numPr>
          <w:ilvl w:val="0"/>
          <w:numId w:val="244"/>
        </w:numPr>
        <w:ind w:left="720" w:hanging="192"/>
        <w:jc w:val="left"/>
        <w:rPr>
          <w:rFonts w:eastAsia="Arial" w:cs="Arial"/>
          <w:sz w:val="20"/>
          <w:szCs w:val="20"/>
        </w:rPr>
      </w:pPr>
      <w:r>
        <w:rPr>
          <w:rFonts w:eastAsia="Arial" w:cs="Arial"/>
          <w:sz w:val="20"/>
          <w:szCs w:val="20"/>
        </w:rPr>
        <w:t>Agency cross and cross trades</w:t>
      </w:r>
    </w:p>
    <w:p>
      <w:pPr>
        <w:numPr>
          <w:ilvl w:val="0"/>
          <w:numId w:val="244"/>
        </w:numPr>
        <w:ind w:left="720" w:hanging="192"/>
        <w:jc w:val="left"/>
        <w:rPr>
          <w:rFonts w:eastAsia="Arial" w:cs="Arial"/>
          <w:sz w:val="20"/>
          <w:szCs w:val="20"/>
        </w:rPr>
      </w:pPr>
      <w:r>
        <w:rPr>
          <w:rFonts w:eastAsia="Arial" w:cs="Arial"/>
          <w:sz w:val="20"/>
          <w:szCs w:val="20"/>
        </w:rPr>
        <w:t>Allocation of costs and expenses between KCD and clients including allocation of certain expenses to some clients but not all clients</w:t>
      </w:r>
    </w:p>
    <w:p>
      <w:pPr>
        <w:numPr>
          <w:ilvl w:val="0"/>
          <w:numId w:val="244"/>
        </w:numPr>
        <w:ind w:left="720" w:hanging="192"/>
        <w:jc w:val="left"/>
        <w:rPr>
          <w:rFonts w:eastAsia="Arial" w:cs="Arial"/>
          <w:sz w:val="20"/>
          <w:szCs w:val="20"/>
        </w:rPr>
      </w:pPr>
      <w:r>
        <w:rPr>
          <w:rFonts w:eastAsia="Arial" w:cs="Arial"/>
          <w:sz w:val="20"/>
          <w:szCs w:val="20"/>
        </w:rPr>
        <w:t>Allocation of trades, especially between client accounts and affiliated accounts or between two accounts with different advisory fees</w:t>
      </w:r>
    </w:p>
    <w:p>
      <w:pPr>
        <w:numPr>
          <w:ilvl w:val="0"/>
          <w:numId w:val="244"/>
        </w:numPr>
        <w:ind w:left="720" w:hanging="192"/>
        <w:jc w:val="left"/>
        <w:rPr>
          <w:rFonts w:eastAsia="Arial" w:cs="Arial"/>
          <w:sz w:val="20"/>
          <w:szCs w:val="20"/>
        </w:rPr>
      </w:pPr>
      <w:r>
        <w:rPr>
          <w:rFonts w:eastAsia="Arial" w:cs="Arial"/>
          <w:sz w:val="20"/>
          <w:szCs w:val="20"/>
        </w:rPr>
        <w:t>Brokerage placement, especially placement with affiliated broker-dealers</w:t>
      </w:r>
    </w:p>
    <w:p>
      <w:pPr>
        <w:numPr>
          <w:ilvl w:val="0"/>
          <w:numId w:val="244"/>
        </w:numPr>
        <w:ind w:left="720" w:hanging="192"/>
        <w:jc w:val="left"/>
        <w:rPr>
          <w:rFonts w:eastAsia="Arial" w:cs="Arial"/>
          <w:sz w:val="20"/>
          <w:szCs w:val="20"/>
        </w:rPr>
      </w:pPr>
      <w:r>
        <w:rPr>
          <w:rFonts w:eastAsia="Arial" w:cs="Arial"/>
          <w:sz w:val="20"/>
          <w:szCs w:val="20"/>
        </w:rPr>
        <w:t>Fee differentials</w:t>
      </w:r>
    </w:p>
    <w:p>
      <w:pPr>
        <w:numPr>
          <w:ilvl w:val="0"/>
          <w:numId w:val="244"/>
        </w:numPr>
        <w:ind w:left="720" w:hanging="192"/>
        <w:jc w:val="left"/>
        <w:rPr>
          <w:rFonts w:eastAsia="Arial" w:cs="Arial"/>
          <w:sz w:val="20"/>
          <w:szCs w:val="20"/>
        </w:rPr>
      </w:pPr>
      <w:r>
        <w:rPr>
          <w:rFonts w:eastAsia="Arial" w:cs="Arial"/>
          <w:sz w:val="20"/>
          <w:szCs w:val="20"/>
        </w:rPr>
        <w:t>Gifts and entertainment</w:t>
      </w:r>
    </w:p>
    <w:p>
      <w:pPr>
        <w:numPr>
          <w:ilvl w:val="0"/>
          <w:numId w:val="244"/>
        </w:numPr>
        <w:ind w:left="720" w:hanging="192"/>
        <w:jc w:val="left"/>
        <w:rPr>
          <w:rFonts w:eastAsia="Arial" w:cs="Arial"/>
          <w:sz w:val="20"/>
          <w:szCs w:val="20"/>
        </w:rPr>
      </w:pPr>
      <w:r>
        <w:rPr>
          <w:rFonts w:eastAsia="Arial" w:cs="Arial"/>
          <w:sz w:val="20"/>
          <w:szCs w:val="20"/>
        </w:rPr>
        <w:t>Multiple layers of fees</w:t>
      </w:r>
    </w:p>
    <w:p>
      <w:pPr>
        <w:numPr>
          <w:ilvl w:val="0"/>
          <w:numId w:val="244"/>
        </w:numPr>
        <w:ind w:left="720" w:hanging="192"/>
        <w:jc w:val="left"/>
        <w:rPr>
          <w:rFonts w:eastAsia="Arial" w:cs="Arial"/>
          <w:sz w:val="20"/>
          <w:szCs w:val="20"/>
        </w:rPr>
      </w:pPr>
      <w:r>
        <w:rPr>
          <w:rFonts w:eastAsia="Arial" w:cs="Arial"/>
          <w:sz w:val="20"/>
          <w:szCs w:val="20"/>
        </w:rPr>
        <w:t>Outside business activities</w:t>
      </w:r>
    </w:p>
    <w:p>
      <w:pPr>
        <w:numPr>
          <w:ilvl w:val="0"/>
          <w:numId w:val="244"/>
        </w:numPr>
        <w:ind w:left="720" w:hanging="192"/>
        <w:jc w:val="left"/>
        <w:rPr>
          <w:rFonts w:eastAsia="Arial" w:cs="Arial"/>
          <w:sz w:val="20"/>
          <w:szCs w:val="20"/>
        </w:rPr>
      </w:pPr>
      <w:r>
        <w:rPr>
          <w:rFonts w:eastAsia="Arial" w:cs="Arial"/>
          <w:sz w:val="20"/>
          <w:szCs w:val="20"/>
        </w:rPr>
        <w:t>Performance-based fees</w:t>
      </w:r>
    </w:p>
    <w:p>
      <w:pPr>
        <w:numPr>
          <w:ilvl w:val="0"/>
          <w:numId w:val="244"/>
        </w:numPr>
        <w:ind w:left="720" w:hanging="192"/>
        <w:jc w:val="left"/>
        <w:rPr>
          <w:rFonts w:eastAsia="Arial" w:cs="Arial"/>
          <w:sz w:val="20"/>
          <w:szCs w:val="20"/>
        </w:rPr>
      </w:pPr>
      <w:r>
        <w:rPr>
          <w:rFonts w:eastAsia="Arial" w:cs="Arial"/>
          <w:sz w:val="20"/>
          <w:szCs w:val="20"/>
        </w:rPr>
        <w:t>Personal trading</w:t>
      </w:r>
    </w:p>
    <w:p>
      <w:pPr>
        <w:numPr>
          <w:ilvl w:val="0"/>
          <w:numId w:val="244"/>
        </w:numPr>
        <w:ind w:left="720" w:hanging="192"/>
        <w:jc w:val="left"/>
        <w:rPr>
          <w:rFonts w:eastAsia="Arial" w:cs="Arial"/>
          <w:sz w:val="20"/>
          <w:szCs w:val="20"/>
        </w:rPr>
      </w:pPr>
      <w:r>
        <w:rPr>
          <w:rFonts w:eastAsia="Arial" w:cs="Arial"/>
          <w:sz w:val="20"/>
          <w:szCs w:val="20"/>
        </w:rPr>
        <w:t>Proxy voting, including the selection of proxy voting guidelines</w:t>
      </w:r>
    </w:p>
    <w:p>
      <w:pPr>
        <w:numPr>
          <w:ilvl w:val="0"/>
          <w:numId w:val="244"/>
        </w:numPr>
        <w:ind w:left="720" w:hanging="192"/>
        <w:jc w:val="left"/>
        <w:rPr>
          <w:rFonts w:eastAsia="Arial" w:cs="Arial"/>
          <w:sz w:val="20"/>
          <w:szCs w:val="20"/>
        </w:rPr>
      </w:pPr>
      <w:r>
        <w:rPr>
          <w:rFonts w:eastAsia="Arial" w:cs="Arial"/>
          <w:sz w:val="20"/>
          <w:szCs w:val="20"/>
        </w:rPr>
        <w:t>Side-by-side management of accounts</w:t>
      </w:r>
    </w:p>
    <w:p>
      <w:pPr>
        <w:numPr>
          <w:ilvl w:val="0"/>
          <w:numId w:val="244"/>
        </w:numPr>
        <w:ind w:left="720" w:hanging="192"/>
        <w:jc w:val="left"/>
        <w:rPr>
          <w:rFonts w:eastAsia="Arial" w:cs="Arial"/>
          <w:sz w:val="20"/>
          <w:szCs w:val="20"/>
        </w:rPr>
      </w:pPr>
      <w:r>
        <w:rPr>
          <w:rFonts w:eastAsia="Arial" w:cs="Arial"/>
          <w:sz w:val="20"/>
          <w:szCs w:val="20"/>
        </w:rPr>
        <w:t>Soft dollar practices</w:t>
      </w:r>
    </w:p>
    <w:p>
      <w:pPr>
        <w:numPr>
          <w:ilvl w:val="0"/>
          <w:numId w:val="244"/>
        </w:numPr>
        <w:ind w:left="720" w:hanging="192"/>
        <w:jc w:val="left"/>
        <w:rPr>
          <w:rFonts w:eastAsia="Arial" w:cs="Arial"/>
          <w:sz w:val="20"/>
          <w:szCs w:val="20"/>
        </w:rPr>
      </w:pPr>
      <w:r>
        <w:rPr>
          <w:rFonts w:eastAsia="Arial" w:cs="Arial"/>
          <w:sz w:val="20"/>
          <w:szCs w:val="20"/>
        </w:rPr>
        <w:t>Third-party relationships (</w:t>
      </w:r>
      <w:r>
        <w:rPr>
          <w:rFonts w:eastAsia="Arial" w:cs="Arial"/>
          <w:i/>
          <w:iCs/>
          <w:sz w:val="20"/>
          <w:szCs w:val="20"/>
        </w:rPr>
        <w:t>e.g.,</w:t>
      </w:r>
      <w:r>
        <w:rPr>
          <w:rFonts w:eastAsia="Arial" w:cs="Arial"/>
          <w:sz w:val="20"/>
          <w:szCs w:val="20"/>
        </w:rPr>
        <w:t xml:space="preserve"> service providers)</w:t>
      </w:r>
    </w:p>
    <w:p>
      <w:pPr>
        <w:numPr>
          <w:ilvl w:val="0"/>
          <w:numId w:val="244"/>
        </w:numPr>
        <w:ind w:left="720" w:hanging="192"/>
        <w:jc w:val="left"/>
        <w:rPr>
          <w:rFonts w:eastAsia="Arial" w:cs="Arial"/>
          <w:sz w:val="20"/>
          <w:szCs w:val="20"/>
        </w:rPr>
      </w:pPr>
      <w:r>
        <w:rPr>
          <w:rFonts w:eastAsia="Arial" w:cs="Arial"/>
          <w:sz w:val="20"/>
          <w:szCs w:val="20"/>
        </w:rPr>
        <w:t>Trade errors</w:t>
      </w:r>
    </w:p>
    <w:p>
      <w:pPr>
        <w:numPr>
          <w:ilvl w:val="0"/>
          <w:numId w:val="244"/>
        </w:numPr>
        <w:spacing w:after="200"/>
        <w:ind w:left="720" w:hanging="192"/>
        <w:jc w:val="left"/>
        <w:rPr>
          <w:rFonts w:eastAsia="Arial" w:cs="Arial"/>
          <w:sz w:val="20"/>
          <w:szCs w:val="20"/>
        </w:rPr>
      </w:pPr>
      <w:r>
        <w:rPr>
          <w:rFonts w:eastAsia="Arial" w:cs="Arial"/>
          <w:sz w:val="20"/>
          <w:szCs w:val="20"/>
        </w:rPr>
        <w:t>Vendor selections</w:t>
      </w:r>
    </w:p>
    <w:p/>
    <w:p>
      <w:pPr>
        <w:pStyle w:val="Heading5"/>
      </w:pPr>
      <w:r>
        <w:t>5.3.7.2.2 Steps to Identify Conflicts of Interest</w:t>
      </w:r>
    </w:p>
    <w:p/>
    <w:p>
      <w:pPr>
        <w:rPr>
          <w:rFonts w:eastAsia="Arial" w:cs="Arial"/>
          <w:sz w:val="16"/>
          <w:szCs w:val="16"/>
        </w:rPr>
      </w:pPr>
    </w:p>
    <w:p>
      <w:pPr>
        <w:numPr>
          <w:ilvl w:val="0"/>
          <w:numId w:val="245"/>
        </w:numPr>
        <w:ind w:left="720" w:hanging="192"/>
        <w:jc w:val="left"/>
        <w:rPr>
          <w:rFonts w:eastAsia="Arial" w:cs="Arial"/>
          <w:sz w:val="20"/>
          <w:szCs w:val="20"/>
        </w:rPr>
      </w:pPr>
      <w:r>
        <w:rPr>
          <w:rFonts w:eastAsia="Arial" w:cs="Arial"/>
          <w:sz w:val="20"/>
          <w:szCs w:val="20"/>
        </w:rPr>
        <w:t xml:space="preserve">Testing </w:t>
      </w:r>
    </w:p>
    <w:p>
      <w:pPr>
        <w:numPr>
          <w:ilvl w:val="0"/>
          <w:numId w:val="245"/>
        </w:numPr>
        <w:ind w:left="720" w:hanging="192"/>
        <w:jc w:val="left"/>
        <w:rPr>
          <w:rFonts w:eastAsia="Arial" w:cs="Arial"/>
          <w:sz w:val="20"/>
          <w:szCs w:val="20"/>
        </w:rPr>
      </w:pPr>
      <w:r>
        <w:rPr>
          <w:rFonts w:eastAsia="Arial" w:cs="Arial"/>
          <w:sz w:val="20"/>
          <w:szCs w:val="20"/>
        </w:rPr>
        <w:t>Interviewing key personnel</w:t>
      </w:r>
    </w:p>
    <w:p>
      <w:pPr>
        <w:numPr>
          <w:ilvl w:val="0"/>
          <w:numId w:val="245"/>
        </w:numPr>
        <w:ind w:left="720" w:hanging="192"/>
        <w:jc w:val="left"/>
        <w:rPr>
          <w:rFonts w:eastAsia="Arial" w:cs="Arial"/>
          <w:sz w:val="20"/>
          <w:szCs w:val="20"/>
        </w:rPr>
      </w:pPr>
      <w:r>
        <w:rPr>
          <w:rFonts w:eastAsia="Arial" w:cs="Arial"/>
          <w:sz w:val="20"/>
          <w:szCs w:val="20"/>
        </w:rPr>
        <w:t>Reviewing financials</w:t>
      </w:r>
    </w:p>
    <w:p>
      <w:pPr>
        <w:numPr>
          <w:ilvl w:val="0"/>
          <w:numId w:val="245"/>
        </w:numPr>
        <w:spacing w:after="200"/>
        <w:ind w:left="720" w:hanging="192"/>
        <w:jc w:val="left"/>
        <w:rPr>
          <w:rFonts w:eastAsia="Arial" w:cs="Arial"/>
          <w:sz w:val="20"/>
          <w:szCs w:val="20"/>
        </w:rPr>
      </w:pPr>
      <w:r>
        <w:rPr>
          <w:rFonts w:eastAsia="Arial" w:cs="Arial"/>
          <w:sz w:val="20"/>
          <w:szCs w:val="20"/>
        </w:rPr>
        <w:t>Reviewing employee e-mails</w:t>
      </w:r>
    </w:p>
    <w:p>
      <w:pPr>
        <w:pStyle w:val="normal0"/>
        <w:spacing w:before="200" w:after="200"/>
        <w:rPr>
          <w:rFonts w:eastAsia="Arial" w:cs="Arial"/>
          <w:sz w:val="20"/>
          <w:szCs w:val="20"/>
        </w:rPr>
      </w:pPr>
      <w:r>
        <w:rPr>
          <w:rFonts w:eastAsia="Arial" w:cs="Arial"/>
          <w:sz w:val="20"/>
          <w:szCs w:val="20"/>
        </w:rPr>
        <w:t xml:space="preserve">After identifying conflicts, KCD shall: </w:t>
      </w:r>
    </w:p>
    <w:p>
      <w:pPr>
        <w:numPr>
          <w:ilvl w:val="0"/>
          <w:numId w:val="246"/>
        </w:numPr>
        <w:spacing w:before="200"/>
        <w:ind w:left="720" w:hanging="192"/>
        <w:jc w:val="left"/>
        <w:rPr>
          <w:rFonts w:eastAsia="Arial" w:cs="Arial"/>
          <w:sz w:val="20"/>
          <w:szCs w:val="20"/>
        </w:rPr>
      </w:pPr>
      <w:r>
        <w:rPr>
          <w:rFonts w:eastAsia="Arial" w:cs="Arial"/>
          <w:sz w:val="20"/>
          <w:szCs w:val="20"/>
        </w:rPr>
        <w:t xml:space="preserve">Assess the nature and severity of the conflicts; </w:t>
      </w:r>
    </w:p>
    <w:p>
      <w:pPr>
        <w:numPr>
          <w:ilvl w:val="0"/>
          <w:numId w:val="246"/>
        </w:numPr>
        <w:ind w:left="720" w:hanging="192"/>
        <w:jc w:val="left"/>
        <w:rPr>
          <w:rFonts w:eastAsia="Arial" w:cs="Arial"/>
          <w:sz w:val="20"/>
          <w:szCs w:val="20"/>
        </w:rPr>
      </w:pPr>
      <w:r>
        <w:rPr>
          <w:rFonts w:eastAsia="Arial" w:cs="Arial"/>
          <w:sz w:val="20"/>
          <w:szCs w:val="20"/>
        </w:rPr>
        <w:t>Take steps to eliminate, reduce, monitor or otherwise manage the conflicts;</w:t>
      </w:r>
    </w:p>
    <w:p>
      <w:pPr>
        <w:numPr>
          <w:ilvl w:val="0"/>
          <w:numId w:val="246"/>
        </w:numPr>
        <w:ind w:left="720" w:hanging="192"/>
        <w:jc w:val="left"/>
        <w:rPr>
          <w:rFonts w:eastAsia="Arial" w:cs="Arial"/>
          <w:sz w:val="20"/>
          <w:szCs w:val="20"/>
        </w:rPr>
      </w:pPr>
      <w:r>
        <w:rPr>
          <w:rFonts w:eastAsia="Arial" w:cs="Arial"/>
          <w:sz w:val="20"/>
          <w:szCs w:val="20"/>
        </w:rPr>
        <w:t>Periodically assess the effectiveness of its conflicts management process; and</w:t>
      </w:r>
    </w:p>
    <w:p>
      <w:pPr>
        <w:numPr>
          <w:ilvl w:val="0"/>
          <w:numId w:val="246"/>
        </w:numPr>
        <w:spacing w:after="200"/>
        <w:ind w:left="720" w:hanging="192"/>
        <w:jc w:val="left"/>
        <w:rPr>
          <w:rFonts w:eastAsia="Arial" w:cs="Arial"/>
          <w:sz w:val="20"/>
          <w:szCs w:val="20"/>
        </w:rPr>
      </w:pPr>
      <w:r>
        <w:rPr>
          <w:rFonts w:eastAsia="Arial" w:cs="Arial"/>
          <w:sz w:val="20"/>
          <w:szCs w:val="20"/>
        </w:rPr>
        <w:t>Ensure conflicts are properly disclosed to clients and where necessary obtain client consent to proceed with the activities that create the conflict.</w:t>
      </w:r>
    </w:p>
    <w:p/>
    <w:p>
      <w:pPr>
        <w:pStyle w:val="Heading5"/>
      </w:pPr>
      <w:r>
        <w:t>5.3.7.2.3 Inventory of Conflicts of Interest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create and maintain an inventory of conflicts of interest that identifies:</w:t>
      </w:r>
    </w:p>
    <w:p>
      <w:pPr>
        <w:numPr>
          <w:ilvl w:val="0"/>
          <w:numId w:val="247"/>
        </w:numPr>
        <w:spacing w:before="200"/>
        <w:ind w:left="720" w:hanging="192"/>
        <w:jc w:val="left"/>
        <w:rPr>
          <w:rFonts w:eastAsia="Arial" w:cs="Arial"/>
          <w:sz w:val="20"/>
          <w:szCs w:val="20"/>
        </w:rPr>
      </w:pPr>
      <w:r>
        <w:rPr>
          <w:rFonts w:eastAsia="Arial" w:cs="Arial"/>
          <w:sz w:val="20"/>
          <w:szCs w:val="20"/>
        </w:rPr>
        <w:t>circumstances in which a conflict of interest has arisen or may arise;</w:t>
      </w:r>
    </w:p>
    <w:p>
      <w:pPr>
        <w:numPr>
          <w:ilvl w:val="0"/>
          <w:numId w:val="247"/>
        </w:numPr>
        <w:ind w:left="720" w:hanging="192"/>
        <w:jc w:val="left"/>
        <w:rPr>
          <w:rFonts w:eastAsia="Arial" w:cs="Arial"/>
          <w:sz w:val="20"/>
          <w:szCs w:val="20"/>
        </w:rPr>
      </w:pPr>
      <w:r>
        <w:rPr>
          <w:rFonts w:eastAsia="Arial" w:cs="Arial"/>
          <w:sz w:val="20"/>
          <w:szCs w:val="20"/>
        </w:rPr>
        <w:t>a description of the circumstances which constituted or may have constituted a conflict of interest;</w:t>
      </w:r>
    </w:p>
    <w:p>
      <w:pPr>
        <w:numPr>
          <w:ilvl w:val="0"/>
          <w:numId w:val="247"/>
        </w:numPr>
        <w:ind w:left="720" w:hanging="192"/>
        <w:jc w:val="left"/>
        <w:rPr>
          <w:rFonts w:eastAsia="Arial" w:cs="Arial"/>
          <w:sz w:val="20"/>
          <w:szCs w:val="20"/>
        </w:rPr>
      </w:pPr>
      <w:r>
        <w:rPr>
          <w:rFonts w:eastAsia="Arial" w:cs="Arial"/>
          <w:sz w:val="20"/>
          <w:szCs w:val="20"/>
        </w:rPr>
        <w:t>the measures that KCD takes to assess, manage, monitor or control the conflict of interest that may arise;</w:t>
      </w:r>
    </w:p>
    <w:p>
      <w:pPr>
        <w:numPr>
          <w:ilvl w:val="0"/>
          <w:numId w:val="247"/>
        </w:numPr>
        <w:ind w:left="720" w:hanging="192"/>
        <w:jc w:val="left"/>
        <w:rPr>
          <w:rFonts w:eastAsia="Arial" w:cs="Arial"/>
          <w:sz w:val="20"/>
          <w:szCs w:val="20"/>
        </w:rPr>
      </w:pPr>
      <w:r>
        <w:rPr>
          <w:rFonts w:eastAsia="Arial" w:cs="Arial"/>
          <w:sz w:val="20"/>
          <w:szCs w:val="20"/>
        </w:rPr>
        <w:t>the name of the policy and procedure that addresses the conflict;</w:t>
      </w:r>
    </w:p>
    <w:p>
      <w:pPr>
        <w:numPr>
          <w:ilvl w:val="0"/>
          <w:numId w:val="247"/>
        </w:numPr>
        <w:ind w:left="720" w:hanging="192"/>
        <w:jc w:val="left"/>
        <w:rPr>
          <w:rFonts w:eastAsia="Arial" w:cs="Arial"/>
          <w:sz w:val="20"/>
          <w:szCs w:val="20"/>
        </w:rPr>
      </w:pPr>
      <w:r>
        <w:rPr>
          <w:rFonts w:eastAsia="Arial" w:cs="Arial"/>
          <w:sz w:val="20"/>
          <w:szCs w:val="20"/>
        </w:rPr>
        <w:t>the persons or business units involved; and</w:t>
      </w:r>
    </w:p>
    <w:p>
      <w:pPr>
        <w:numPr>
          <w:ilvl w:val="0"/>
          <w:numId w:val="247"/>
        </w:numPr>
        <w:spacing w:after="200"/>
        <w:ind w:left="720" w:hanging="192"/>
        <w:jc w:val="left"/>
        <w:rPr>
          <w:rFonts w:eastAsia="Arial" w:cs="Arial"/>
          <w:sz w:val="20"/>
          <w:szCs w:val="20"/>
        </w:rPr>
      </w:pPr>
      <w:r>
        <w:rPr>
          <w:rFonts w:eastAsia="Arial" w:cs="Arial"/>
          <w:sz w:val="20"/>
          <w:szCs w:val="20"/>
        </w:rPr>
        <w:t>whether disclosures have been made.</w:t>
      </w:r>
    </w:p>
    <w:p/>
    <w:p>
      <w:pPr>
        <w:pStyle w:val="Heading4"/>
      </w:pPr>
      <w:r>
        <w:t>5.3.7.3 Addressing Conflicts of Interest</w:t>
      </w:r>
    </w:p>
    <w:p/>
    <w:p>
      <w:pPr>
        <w:rPr>
          <w:rFonts w:eastAsia="Arial" w:cs="Arial"/>
          <w:sz w:val="16"/>
          <w:szCs w:val="16"/>
        </w:rPr>
      </w:pPr>
      <w:r>
        <w:rPr>
          <w:rFonts w:eastAsia="Arial" w:cs="Arial"/>
          <w:sz w:val="16"/>
          <w:szCs w:val="16"/>
        </w:rPr>
        <w:t>[Investment Advisers Act of 1940 Section 206(3); Investment Advisers Act of 1940 Rule 206(3)-2 and 206(4)-3]</w:t>
      </w:r>
    </w:p>
    <w:p/>
    <w:p>
      <w:pPr>
        <w:pStyle w:val="normal0"/>
        <w:spacing w:after="200"/>
        <w:rPr>
          <w:rFonts w:eastAsia="Arial" w:cs="Arial"/>
          <w:sz w:val="20"/>
          <w:szCs w:val="20"/>
        </w:rPr>
      </w:pPr>
      <w:r>
        <w:rPr>
          <w:rFonts w:eastAsia="Arial" w:cs="Arial"/>
          <w:sz w:val="20"/>
          <w:szCs w:val="20"/>
        </w:rPr>
        <w:t>KCD shall consider any and all of the following actions designed to eliminate, mitigate or otherwise address conflicts:</w:t>
      </w:r>
    </w:p>
    <w:p>
      <w:pPr>
        <w:numPr>
          <w:ilvl w:val="0"/>
          <w:numId w:val="248"/>
        </w:numPr>
        <w:spacing w:before="200"/>
        <w:ind w:left="720" w:hanging="192"/>
        <w:jc w:val="left"/>
        <w:rPr>
          <w:rFonts w:eastAsia="Arial" w:cs="Arial"/>
          <w:sz w:val="20"/>
          <w:szCs w:val="20"/>
        </w:rPr>
      </w:pPr>
      <w:r>
        <w:rPr>
          <w:rFonts w:eastAsia="Arial" w:cs="Arial"/>
          <w:b/>
          <w:bCs/>
          <w:sz w:val="20"/>
          <w:szCs w:val="20"/>
        </w:rPr>
        <w:t>Avoidance</w:t>
      </w:r>
      <w:r>
        <w:rPr>
          <w:rFonts w:eastAsia="Arial" w:cs="Arial"/>
          <w:sz w:val="20"/>
          <w:szCs w:val="20"/>
        </w:rPr>
        <w:t>: if the general measures KCD can take are insufficient to adequately address a specific conflict of interest, then KCD will consider avoiding the conflict, refraining from providing the affected business activity that causes the conflict or refraining from acting on behalf of a client to avoid the conflict</w:t>
      </w:r>
    </w:p>
    <w:p>
      <w:pPr>
        <w:numPr>
          <w:ilvl w:val="0"/>
          <w:numId w:val="248"/>
        </w:numPr>
        <w:ind w:left="720" w:hanging="192"/>
        <w:jc w:val="left"/>
        <w:rPr>
          <w:rFonts w:eastAsia="Arial" w:cs="Arial"/>
          <w:sz w:val="20"/>
          <w:szCs w:val="20"/>
        </w:rPr>
      </w:pPr>
      <w:r>
        <w:rPr>
          <w:rFonts w:eastAsia="Arial" w:cs="Arial"/>
          <w:b/>
          <w:bCs/>
          <w:sz w:val="20"/>
          <w:szCs w:val="20"/>
        </w:rPr>
        <w:t>Mitigation</w:t>
      </w:r>
      <w:r>
        <w:rPr>
          <w:rFonts w:eastAsia="Arial" w:cs="Arial"/>
          <w:sz w:val="20"/>
          <w:szCs w:val="20"/>
        </w:rPr>
        <w:t>: as appropriate, KCD will consider implementing one or more of the following potential methods to mitigate conflicts of interest that would create an incentive for an IAR to place his or her interests ahead of those of the client:</w:t>
      </w:r>
    </w:p>
    <w:p>
      <w:pPr>
        <w:numPr>
          <w:ilvl w:val="1"/>
          <w:numId w:val="248"/>
        </w:numPr>
        <w:ind w:left="1440" w:hanging="220"/>
        <w:jc w:val="left"/>
        <w:rPr>
          <w:rFonts w:eastAsia="Arial" w:cs="Arial"/>
          <w:sz w:val="20"/>
          <w:szCs w:val="20"/>
        </w:rPr>
      </w:pPr>
      <w:r>
        <w:rPr>
          <w:rFonts w:eastAsia="Arial" w:cs="Arial"/>
          <w:sz w:val="20"/>
          <w:szCs w:val="20"/>
        </w:rPr>
        <w:t>avoiding compensation thresholds that disproportionately increase compensation through incremental increases in sales;</w:t>
      </w:r>
    </w:p>
    <w:p>
      <w:pPr>
        <w:numPr>
          <w:ilvl w:val="1"/>
          <w:numId w:val="248"/>
        </w:numPr>
        <w:ind w:left="1440" w:hanging="220"/>
        <w:jc w:val="left"/>
        <w:rPr>
          <w:rFonts w:eastAsia="Arial" w:cs="Arial"/>
          <w:sz w:val="20"/>
          <w:szCs w:val="20"/>
        </w:rPr>
      </w:pPr>
      <w:r>
        <w:rPr>
          <w:rFonts w:eastAsia="Arial" w:cs="Arial"/>
          <w:sz w:val="20"/>
          <w:szCs w:val="20"/>
        </w:rPr>
        <w:t>minimizing compensation incentives for employees to favor one type of account over another, or to favor one type of product over another, proprietary or preferred provider products, or comparable products sold on a principal basis, for example, by establishing differential compensation based on neutral factors;</w:t>
      </w:r>
    </w:p>
    <w:p>
      <w:pPr>
        <w:numPr>
          <w:ilvl w:val="1"/>
          <w:numId w:val="248"/>
        </w:numPr>
        <w:ind w:left="1440" w:hanging="220"/>
        <w:jc w:val="left"/>
        <w:rPr>
          <w:rFonts w:eastAsia="Arial" w:cs="Arial"/>
          <w:sz w:val="20"/>
          <w:szCs w:val="20"/>
        </w:rPr>
      </w:pPr>
      <w:r>
        <w:rPr>
          <w:rFonts w:eastAsia="Arial" w:cs="Arial"/>
          <w:sz w:val="20"/>
          <w:szCs w:val="20"/>
        </w:rPr>
        <w:t>eliminating compensation incentives within comparable product lines;</w:t>
      </w:r>
    </w:p>
    <w:p>
      <w:pPr>
        <w:numPr>
          <w:ilvl w:val="1"/>
          <w:numId w:val="248"/>
        </w:numPr>
        <w:ind w:left="1440" w:hanging="220"/>
        <w:jc w:val="left"/>
        <w:rPr>
          <w:rFonts w:eastAsia="Arial" w:cs="Arial"/>
          <w:sz w:val="20"/>
          <w:szCs w:val="20"/>
        </w:rPr>
      </w:pPr>
      <w:r>
        <w:rPr>
          <w:rFonts w:eastAsia="Arial" w:cs="Arial"/>
          <w:sz w:val="20"/>
          <w:szCs w:val="20"/>
        </w:rPr>
        <w:t>implementing supervisory procedures to monitor recommendations that are near compensation thresholds; near thresholds for firm recognition; involve higher compensating products, proprietary products or transactions in a principal capacity; or involve the rollover or transfer of assets from one type of account to another;</w:t>
      </w:r>
    </w:p>
    <w:p>
      <w:pPr>
        <w:numPr>
          <w:ilvl w:val="1"/>
          <w:numId w:val="248"/>
        </w:numPr>
        <w:ind w:left="1440" w:hanging="220"/>
        <w:jc w:val="left"/>
        <w:rPr>
          <w:rFonts w:eastAsia="Arial" w:cs="Arial"/>
          <w:sz w:val="20"/>
          <w:szCs w:val="20"/>
        </w:rPr>
      </w:pPr>
      <w:r>
        <w:rPr>
          <w:rFonts w:eastAsia="Arial" w:cs="Arial"/>
          <w:sz w:val="20"/>
          <w:szCs w:val="20"/>
        </w:rPr>
        <w:t>adjusting compensation for IARs who fail to adequately manage conflicts of interest; and</w:t>
      </w:r>
    </w:p>
    <w:p>
      <w:pPr>
        <w:numPr>
          <w:ilvl w:val="1"/>
          <w:numId w:val="248"/>
        </w:numPr>
        <w:ind w:left="1440" w:hanging="220"/>
        <w:jc w:val="left"/>
        <w:rPr>
          <w:rFonts w:eastAsia="Arial" w:cs="Arial"/>
          <w:sz w:val="20"/>
          <w:szCs w:val="20"/>
        </w:rPr>
      </w:pPr>
      <w:r>
        <w:rPr>
          <w:rFonts w:eastAsia="Arial" w:cs="Arial"/>
          <w:sz w:val="20"/>
          <w:szCs w:val="20"/>
        </w:rPr>
        <w:t>limiting the types of retail client to whom a product, transaction or strategy may be recommended.</w:t>
      </w:r>
    </w:p>
    <w:p>
      <w:pPr>
        <w:numPr>
          <w:ilvl w:val="0"/>
          <w:numId w:val="248"/>
        </w:numPr>
        <w:ind w:left="720" w:hanging="192"/>
        <w:jc w:val="left"/>
        <w:rPr>
          <w:rFonts w:eastAsia="Arial" w:cs="Arial"/>
          <w:sz w:val="20"/>
          <w:szCs w:val="20"/>
        </w:rPr>
      </w:pPr>
      <w:r>
        <w:rPr>
          <w:rFonts w:eastAsia="Arial" w:cs="Arial"/>
          <w:b/>
          <w:bCs/>
          <w:sz w:val="20"/>
          <w:szCs w:val="20"/>
        </w:rPr>
        <w:t>Disclosure</w:t>
      </w:r>
      <w:r>
        <w:rPr>
          <w:rFonts w:eastAsia="Arial" w:cs="Arial"/>
          <w:sz w:val="20"/>
          <w:szCs w:val="20"/>
        </w:rPr>
        <w:t>: assess disclosure requirements, including how and where to make such disclosure (Form ADV, advisory agreement or direct client mailing) and when to make such disclosure (</w:t>
      </w:r>
      <w:r>
        <w:rPr>
          <w:rFonts w:eastAsia="Arial" w:cs="Arial"/>
          <w:i/>
          <w:iCs/>
          <w:sz w:val="20"/>
          <w:szCs w:val="20"/>
        </w:rPr>
        <w:t>i.e.,</w:t>
      </w:r>
      <w:r>
        <w:rPr>
          <w:rFonts w:eastAsia="Arial" w:cs="Arial"/>
          <w:sz w:val="20"/>
          <w:szCs w:val="20"/>
        </w:rPr>
        <w:t xml:space="preserve"> in advance or after the event), ensuring that full and fair disclosure of all material facts are made</w:t>
      </w:r>
    </w:p>
    <w:p>
      <w:pPr>
        <w:numPr>
          <w:ilvl w:val="0"/>
          <w:numId w:val="248"/>
        </w:numPr>
        <w:ind w:left="720" w:hanging="192"/>
        <w:jc w:val="left"/>
        <w:rPr>
          <w:rFonts w:eastAsia="Arial" w:cs="Arial"/>
          <w:sz w:val="20"/>
          <w:szCs w:val="20"/>
        </w:rPr>
      </w:pPr>
      <w:r>
        <w:rPr>
          <w:rFonts w:eastAsia="Arial" w:cs="Arial"/>
          <w:b/>
          <w:bCs/>
          <w:sz w:val="20"/>
          <w:szCs w:val="20"/>
        </w:rPr>
        <w:t>Consent</w:t>
      </w:r>
      <w:r>
        <w:rPr>
          <w:rFonts w:eastAsia="Arial" w:cs="Arial"/>
          <w:sz w:val="20"/>
          <w:szCs w:val="20"/>
        </w:rPr>
        <w:t>: assess the necessity for client consent as a means to address the conflict:</w:t>
      </w:r>
    </w:p>
    <w:p>
      <w:pPr>
        <w:numPr>
          <w:ilvl w:val="1"/>
          <w:numId w:val="248"/>
        </w:numPr>
        <w:ind w:left="1440" w:hanging="220"/>
        <w:jc w:val="left"/>
        <w:rPr>
          <w:rFonts w:eastAsia="Arial" w:cs="Arial"/>
          <w:sz w:val="20"/>
          <w:szCs w:val="20"/>
        </w:rPr>
      </w:pPr>
      <w:r>
        <w:rPr>
          <w:rFonts w:eastAsia="Arial" w:cs="Arial"/>
          <w:sz w:val="20"/>
          <w:szCs w:val="20"/>
        </w:rPr>
        <w:t>depending upon the nature of the conflict, KCD may seek a client's informed consent before it provides investment advice, effects the transaction or otherwise engages in the activity that creates the conflict of interest. KCD will not accept a client's consent if it is aware that the client did not understand the nature and import of the conflict; and</w:t>
      </w:r>
    </w:p>
    <w:p>
      <w:pPr>
        <w:numPr>
          <w:ilvl w:val="1"/>
          <w:numId w:val="248"/>
        </w:numPr>
        <w:ind w:left="1440" w:hanging="220"/>
        <w:jc w:val="left"/>
        <w:rPr>
          <w:rFonts w:eastAsia="Arial" w:cs="Arial"/>
          <w:sz w:val="20"/>
          <w:szCs w:val="20"/>
        </w:rPr>
      </w:pPr>
      <w:r>
        <w:rPr>
          <w:rFonts w:eastAsia="Arial" w:cs="Arial"/>
          <w:sz w:val="20"/>
          <w:szCs w:val="20"/>
        </w:rPr>
        <w:t>when KCD cannot fully and fairly disclose a conflict of interest to a client such that the client can provide informed consent, KCD will either eliminate the conflict or adequately mitigate (</w:t>
      </w:r>
      <w:r>
        <w:rPr>
          <w:rFonts w:eastAsia="Arial" w:cs="Arial"/>
          <w:i/>
          <w:iCs/>
          <w:sz w:val="20"/>
          <w:szCs w:val="20"/>
        </w:rPr>
        <w:t>i.e.,</w:t>
      </w:r>
      <w:r>
        <w:rPr>
          <w:rFonts w:eastAsia="Arial" w:cs="Arial"/>
          <w:sz w:val="20"/>
          <w:szCs w:val="20"/>
        </w:rPr>
        <w:t xml:space="preserve"> modify practices to reduce) the conflict such that full and fair disclosure and informed consent are possible.</w:t>
      </w:r>
    </w:p>
    <w:p>
      <w:pPr>
        <w:numPr>
          <w:ilvl w:val="0"/>
          <w:numId w:val="248"/>
        </w:numPr>
        <w:ind w:left="720" w:hanging="192"/>
        <w:jc w:val="left"/>
        <w:rPr>
          <w:rFonts w:eastAsia="Arial" w:cs="Arial"/>
          <w:sz w:val="20"/>
          <w:szCs w:val="20"/>
        </w:rPr>
      </w:pPr>
      <w:r>
        <w:rPr>
          <w:rFonts w:eastAsia="Arial" w:cs="Arial"/>
          <w:b/>
          <w:bCs/>
          <w:sz w:val="20"/>
          <w:szCs w:val="20"/>
        </w:rPr>
        <w:t>Monitor</w:t>
      </w:r>
      <w:r>
        <w:rPr>
          <w:rFonts w:eastAsia="Arial" w:cs="Arial"/>
          <w:sz w:val="20"/>
          <w:szCs w:val="20"/>
        </w:rPr>
        <w:t>: periodically review the status of existing conflicts</w:t>
      </w:r>
    </w:p>
    <w:p>
      <w:pPr>
        <w:numPr>
          <w:ilvl w:val="0"/>
          <w:numId w:val="248"/>
        </w:numPr>
        <w:ind w:left="720" w:hanging="192"/>
        <w:jc w:val="left"/>
        <w:rPr>
          <w:rFonts w:eastAsia="Arial" w:cs="Arial"/>
          <w:sz w:val="20"/>
          <w:szCs w:val="20"/>
        </w:rPr>
      </w:pPr>
      <w:r>
        <w:rPr>
          <w:rFonts w:eastAsia="Arial" w:cs="Arial"/>
          <w:b/>
          <w:bCs/>
          <w:sz w:val="20"/>
          <w:szCs w:val="20"/>
        </w:rPr>
        <w:t>Review</w:t>
      </w:r>
      <w:r>
        <w:rPr>
          <w:rFonts w:eastAsia="Arial" w:cs="Arial"/>
          <w:sz w:val="20"/>
          <w:szCs w:val="20"/>
        </w:rPr>
        <w:t>: at least annually KCD will review its inventory of conflicts to ensure that controls, policies and disclosures are current and consistent with business activities</w:t>
      </w:r>
    </w:p>
    <w:p>
      <w:pPr>
        <w:numPr>
          <w:ilvl w:val="0"/>
          <w:numId w:val="248"/>
        </w:numPr>
        <w:ind w:left="720" w:hanging="192"/>
        <w:jc w:val="left"/>
        <w:rPr>
          <w:rFonts w:eastAsia="Arial" w:cs="Arial"/>
          <w:sz w:val="20"/>
          <w:szCs w:val="20"/>
        </w:rPr>
      </w:pPr>
      <w:r>
        <w:rPr>
          <w:rFonts w:eastAsia="Arial" w:cs="Arial"/>
          <w:b/>
          <w:bCs/>
          <w:sz w:val="20"/>
          <w:szCs w:val="20"/>
        </w:rPr>
        <w:t>Regulatory</w:t>
      </w:r>
      <w:r>
        <w:rPr>
          <w:rFonts w:eastAsia="Arial" w:cs="Arial"/>
          <w:sz w:val="20"/>
          <w:szCs w:val="20"/>
        </w:rPr>
        <w:t>: verify whether there are mandated regulatory responses and, if so, implement those responses:</w:t>
      </w:r>
    </w:p>
    <w:p>
      <w:pPr>
        <w:numPr>
          <w:ilvl w:val="1"/>
          <w:numId w:val="248"/>
        </w:numPr>
        <w:ind w:left="1440" w:hanging="220"/>
        <w:jc w:val="left"/>
        <w:rPr>
          <w:rFonts w:eastAsia="Arial" w:cs="Arial"/>
          <w:sz w:val="20"/>
          <w:szCs w:val="20"/>
        </w:rPr>
      </w:pPr>
      <w:r>
        <w:rPr>
          <w:rFonts w:eastAsia="Arial" w:cs="Arial"/>
          <w:sz w:val="20"/>
          <w:szCs w:val="20"/>
        </w:rPr>
        <w:t>Principal trades (Advisers Act Section 206(3))</w:t>
      </w:r>
    </w:p>
    <w:p>
      <w:pPr>
        <w:numPr>
          <w:ilvl w:val="1"/>
          <w:numId w:val="248"/>
        </w:numPr>
        <w:ind w:left="1440" w:hanging="220"/>
        <w:jc w:val="left"/>
        <w:rPr>
          <w:rFonts w:eastAsia="Arial" w:cs="Arial"/>
          <w:sz w:val="20"/>
          <w:szCs w:val="20"/>
        </w:rPr>
      </w:pPr>
      <w:r>
        <w:rPr>
          <w:rFonts w:eastAsia="Arial" w:cs="Arial"/>
          <w:sz w:val="20"/>
          <w:szCs w:val="20"/>
        </w:rPr>
        <w:t>Agency and cross trades (Advisers Act Section 206(3) and Rule 206(3)-2)</w:t>
      </w:r>
    </w:p>
    <w:p>
      <w:pPr>
        <w:numPr>
          <w:ilvl w:val="1"/>
          <w:numId w:val="248"/>
        </w:numPr>
        <w:spacing w:after="200"/>
        <w:ind w:left="1440" w:hanging="220"/>
        <w:jc w:val="left"/>
        <w:rPr>
          <w:rFonts w:eastAsia="Arial" w:cs="Arial"/>
          <w:sz w:val="20"/>
          <w:szCs w:val="20"/>
        </w:rPr>
      </w:pPr>
      <w:r>
        <w:rPr>
          <w:rFonts w:eastAsia="Arial" w:cs="Arial"/>
          <w:sz w:val="20"/>
          <w:szCs w:val="20"/>
        </w:rPr>
        <w:t>Cash referral arrangements (Advisers Act Rule 206(4)-3)</w:t>
      </w:r>
    </w:p>
    <w:p/>
    <w:p>
      <w:pPr>
        <w:pStyle w:val="Heading4"/>
      </w:pPr>
      <w:r>
        <w:t>5.3.7.4 Conflicts of Interest that Arise in Connection with Investment Recommendations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From time to time, an Adviser Representative of KCD may have a conflict of interest when making an investment recommendation to a client, including any benefits he or she, or KCD, receives from a third party. When a particular investment recommendation creates a conflict of interest, an Adviser Representative will: </w:t>
      </w:r>
    </w:p>
    <w:p>
      <w:pPr>
        <w:numPr>
          <w:ilvl w:val="0"/>
          <w:numId w:val="249"/>
        </w:numPr>
        <w:spacing w:before="200"/>
        <w:ind w:left="720" w:hanging="192"/>
        <w:jc w:val="left"/>
        <w:rPr>
          <w:rFonts w:eastAsia="Arial" w:cs="Arial"/>
          <w:sz w:val="20"/>
          <w:szCs w:val="20"/>
        </w:rPr>
      </w:pPr>
      <w:r>
        <w:rPr>
          <w:rFonts w:eastAsia="Arial" w:cs="Arial"/>
          <w:sz w:val="20"/>
          <w:szCs w:val="20"/>
        </w:rPr>
        <w:t xml:space="preserve">cause KCD to fully disclose the nature and extent of his or her interest prior to the transaction, including any direct or indirect compensation the Adviser Representative or KCD receives in connection with the transaction; and </w:t>
      </w:r>
    </w:p>
    <w:p>
      <w:pPr>
        <w:numPr>
          <w:ilvl w:val="0"/>
          <w:numId w:val="249"/>
        </w:numPr>
        <w:spacing w:after="200"/>
        <w:ind w:left="720" w:hanging="192"/>
        <w:jc w:val="left"/>
        <w:rPr>
          <w:rFonts w:eastAsia="Arial" w:cs="Arial"/>
          <w:sz w:val="20"/>
          <w:szCs w:val="20"/>
        </w:rPr>
      </w:pPr>
      <w:r>
        <w:rPr>
          <w:rFonts w:eastAsia="Arial" w:cs="Arial"/>
          <w:sz w:val="20"/>
          <w:szCs w:val="20"/>
        </w:rPr>
        <w:t>make the recommendation only if he or she has a reasonable belief that the entry of the client into the transaction is in the client's best interest.</w:t>
      </w:r>
    </w:p>
    <w:p>
      <w:bookmarkStart w:id="254" w:name="Sec_Chp_061016102250093_0610161022507185"/>
    </w:p>
    <w:p>
      <w:pPr>
        <w:pStyle w:val="Heading4"/>
      </w:pPr>
      <w:r>
        <w:t>5.3.7.5 Conflicts of Interest that Arise in Connection with Vendor Selection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selecting a vendor for one or more clients, KCD will consider whether the selection presents any conflicts of interest including the possibility that the selection of one vendor instead of other vendors may be more beneficial to KCD than its clients. Vendor selection shall be made solely for the benefit and in the best interests of clients.</w:t>
      </w:r>
    </w:p>
    <w:p>
      <w:pPr>
        <w:pStyle w:val="normal0"/>
        <w:spacing w:before="200" w:after="200"/>
        <w:rPr>
          <w:rFonts w:eastAsia="Arial" w:cs="Arial"/>
          <w:sz w:val="20"/>
          <w:szCs w:val="20"/>
        </w:rPr>
      </w:pPr>
      <w:r>
        <w:rPr>
          <w:rFonts w:eastAsia="Arial" w:cs="Arial"/>
          <w:sz w:val="20"/>
          <w:szCs w:val="20"/>
        </w:rPr>
        <w:t>KCD will scrutinize the proposed vendor relationship for any rebate, kickback or other flow of funds or benefits back to KCD. If such remuneration or benefit will flow back to KCD, KCD will:</w:t>
      </w:r>
    </w:p>
    <w:p>
      <w:pPr>
        <w:numPr>
          <w:ilvl w:val="0"/>
          <w:numId w:val="250"/>
        </w:numPr>
        <w:spacing w:before="200"/>
        <w:ind w:left="720" w:hanging="192"/>
        <w:jc w:val="left"/>
        <w:rPr>
          <w:rFonts w:eastAsia="Arial" w:cs="Arial"/>
          <w:sz w:val="20"/>
          <w:szCs w:val="20"/>
        </w:rPr>
      </w:pPr>
      <w:r>
        <w:rPr>
          <w:rFonts w:eastAsia="Arial" w:cs="Arial"/>
          <w:sz w:val="20"/>
          <w:szCs w:val="20"/>
        </w:rPr>
        <w:t>Choose another vendor;</w:t>
      </w:r>
    </w:p>
    <w:p>
      <w:pPr>
        <w:numPr>
          <w:ilvl w:val="0"/>
          <w:numId w:val="250"/>
        </w:numPr>
        <w:ind w:left="720" w:hanging="192"/>
        <w:jc w:val="left"/>
        <w:rPr>
          <w:rFonts w:eastAsia="Arial" w:cs="Arial"/>
          <w:sz w:val="20"/>
          <w:szCs w:val="20"/>
        </w:rPr>
      </w:pPr>
      <w:r>
        <w:rPr>
          <w:rFonts w:eastAsia="Arial" w:cs="Arial"/>
          <w:sz w:val="20"/>
          <w:szCs w:val="20"/>
        </w:rPr>
        <w:t>Instruct the vendor to not make such payments to KCD;</w:t>
      </w:r>
    </w:p>
    <w:p>
      <w:pPr>
        <w:numPr>
          <w:ilvl w:val="0"/>
          <w:numId w:val="250"/>
        </w:numPr>
        <w:ind w:left="720" w:hanging="192"/>
        <w:jc w:val="left"/>
        <w:rPr>
          <w:rFonts w:eastAsia="Arial" w:cs="Arial"/>
          <w:sz w:val="20"/>
          <w:szCs w:val="20"/>
        </w:rPr>
      </w:pPr>
      <w:r>
        <w:rPr>
          <w:rFonts w:eastAsia="Arial" w:cs="Arial"/>
          <w:sz w:val="20"/>
          <w:szCs w:val="20"/>
        </w:rPr>
        <w:t>Select the vendor and accept such payments provided KCD nets such payments against client advisory fees; or</w:t>
      </w:r>
    </w:p>
    <w:p>
      <w:pPr>
        <w:numPr>
          <w:ilvl w:val="0"/>
          <w:numId w:val="250"/>
        </w:numPr>
        <w:spacing w:after="200"/>
        <w:ind w:left="720" w:hanging="192"/>
        <w:jc w:val="left"/>
        <w:rPr>
          <w:rFonts w:eastAsia="Arial" w:cs="Arial"/>
          <w:sz w:val="20"/>
          <w:szCs w:val="20"/>
        </w:rPr>
      </w:pPr>
      <w:r>
        <w:rPr>
          <w:rFonts w:eastAsia="Arial" w:cs="Arial"/>
          <w:sz w:val="20"/>
          <w:szCs w:val="20"/>
        </w:rPr>
        <w:t>Select the vendor and accept such payments provided KCD to the best of its ability addresses the conflicts of interest caused by the arrangement in a manner set forth herein.</w:t>
      </w:r>
    </w:p>
    <w:p>
      <w:pPr>
        <w:pStyle w:val="normal0"/>
        <w:spacing w:before="200" w:after="200"/>
        <w:rPr>
          <w:rFonts w:eastAsia="Arial" w:cs="Arial"/>
          <w:sz w:val="20"/>
          <w:szCs w:val="20"/>
        </w:rPr>
      </w:pPr>
      <w:r>
        <w:rPr>
          <w:rFonts w:eastAsia="Arial" w:cs="Arial"/>
          <w:sz w:val="20"/>
          <w:szCs w:val="20"/>
        </w:rPr>
        <w:t>KCD additionally will address vendor conflicts of interest by:</w:t>
      </w:r>
    </w:p>
    <w:p>
      <w:pPr>
        <w:numPr>
          <w:ilvl w:val="0"/>
          <w:numId w:val="251"/>
        </w:numPr>
        <w:spacing w:before="200"/>
        <w:ind w:left="720" w:hanging="192"/>
        <w:jc w:val="left"/>
        <w:rPr>
          <w:rFonts w:eastAsia="Arial" w:cs="Arial"/>
          <w:sz w:val="20"/>
          <w:szCs w:val="20"/>
        </w:rPr>
      </w:pPr>
      <w:r>
        <w:rPr>
          <w:rFonts w:eastAsia="Arial" w:cs="Arial"/>
          <w:sz w:val="20"/>
          <w:szCs w:val="20"/>
        </w:rPr>
        <w:t>Monitoring the conflicts of interest including preparing necessary reports about the arrangement addressed to Firm management;</w:t>
      </w:r>
    </w:p>
    <w:p>
      <w:pPr>
        <w:numPr>
          <w:ilvl w:val="0"/>
          <w:numId w:val="251"/>
        </w:numPr>
        <w:ind w:left="720" w:hanging="192"/>
        <w:jc w:val="left"/>
        <w:rPr>
          <w:rFonts w:eastAsia="Arial" w:cs="Arial"/>
          <w:sz w:val="20"/>
          <w:szCs w:val="20"/>
        </w:rPr>
      </w:pPr>
      <w:r>
        <w:rPr>
          <w:rFonts w:eastAsia="Arial" w:cs="Arial"/>
          <w:sz w:val="20"/>
          <w:szCs w:val="20"/>
        </w:rPr>
        <w:t>Making full disclosure in KCD's Form ADV including a detailed description of the arrangement in KCD's Part 2A (brochure);</w:t>
      </w:r>
    </w:p>
    <w:p>
      <w:pPr>
        <w:numPr>
          <w:ilvl w:val="0"/>
          <w:numId w:val="251"/>
        </w:numPr>
        <w:ind w:left="720" w:hanging="192"/>
        <w:jc w:val="left"/>
        <w:rPr>
          <w:rFonts w:eastAsia="Arial" w:cs="Arial"/>
          <w:sz w:val="20"/>
          <w:szCs w:val="20"/>
        </w:rPr>
      </w:pPr>
      <w:r>
        <w:rPr>
          <w:rFonts w:eastAsia="Arial" w:cs="Arial"/>
          <w:sz w:val="20"/>
          <w:szCs w:val="20"/>
        </w:rPr>
        <w:t>Considering obtaining written consent from each client impacted by the arrangement; and</w:t>
      </w:r>
    </w:p>
    <w:p>
      <w:pPr>
        <w:numPr>
          <w:ilvl w:val="0"/>
          <w:numId w:val="251"/>
        </w:numPr>
        <w:spacing w:after="200"/>
        <w:ind w:left="720" w:hanging="192"/>
        <w:jc w:val="left"/>
        <w:rPr>
          <w:rFonts w:eastAsia="Arial" w:cs="Arial"/>
          <w:sz w:val="20"/>
          <w:szCs w:val="20"/>
        </w:rPr>
      </w:pPr>
      <w:r>
        <w:rPr>
          <w:rFonts w:eastAsia="Arial" w:cs="Arial"/>
          <w:sz w:val="20"/>
          <w:szCs w:val="20"/>
        </w:rPr>
        <w:t>Periodically reviewing the vendor relationship and determining whether or not other vendors can provide the same or superior level of services.</w:t>
      </w:r>
    </w:p>
    <w:p>
      <w:bookmarkEnd w:id="254"/>
      <w:bookmarkStart w:id="255" w:name="Sec_Chp_061016102250093_061015391"/>
    </w:p>
    <w:p>
      <w:pPr>
        <w:pStyle w:val="Heading4"/>
      </w:pPr>
      <w:r>
        <w:t>5.3.7.6 Disclosure Content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KCD's Robo-Adviser Program makes full and fair disclosure on the website or other electronic medium housing the Robo-Adviser Program of all material facts including:</w:t>
      </w:r>
    </w:p>
    <w:p>
      <w:pPr>
        <w:numPr>
          <w:ilvl w:val="0"/>
          <w:numId w:val="252"/>
        </w:numPr>
        <w:spacing w:before="200"/>
        <w:ind w:left="720" w:hanging="192"/>
        <w:jc w:val="left"/>
        <w:rPr>
          <w:rFonts w:eastAsia="Arial" w:cs="Arial"/>
          <w:sz w:val="20"/>
          <w:szCs w:val="20"/>
        </w:rPr>
      </w:pPr>
      <w:r>
        <w:rPr>
          <w:rFonts w:eastAsia="Arial" w:cs="Arial"/>
          <w:sz w:val="20"/>
          <w:szCs w:val="20"/>
        </w:rPr>
        <w:t>A statement that an algorithm is used to manage individual client accounts;</w:t>
      </w:r>
    </w:p>
    <w:p>
      <w:pPr>
        <w:numPr>
          <w:ilvl w:val="0"/>
          <w:numId w:val="252"/>
        </w:numPr>
        <w:ind w:left="720" w:hanging="192"/>
        <w:jc w:val="left"/>
        <w:rPr>
          <w:rFonts w:eastAsia="Arial" w:cs="Arial"/>
          <w:sz w:val="20"/>
          <w:szCs w:val="20"/>
        </w:rPr>
      </w:pPr>
      <w:r>
        <w:rPr>
          <w:rFonts w:eastAsia="Arial" w:cs="Arial"/>
          <w:sz w:val="20"/>
          <w:szCs w:val="20"/>
        </w:rPr>
        <w:t>A description of the algorithmic functions used to manage client accounts (</w:t>
      </w:r>
      <w:r>
        <w:rPr>
          <w:rFonts w:eastAsia="Arial" w:cs="Arial"/>
          <w:i/>
          <w:iCs/>
          <w:sz w:val="20"/>
          <w:szCs w:val="20"/>
        </w:rPr>
        <w:t>e.g.,</w:t>
      </w:r>
      <w:r>
        <w:rPr>
          <w:rFonts w:eastAsia="Arial" w:cs="Arial"/>
          <w:sz w:val="20"/>
          <w:szCs w:val="20"/>
        </w:rPr>
        <w:t xml:space="preserve"> that the algorithm generates recommended portfolios, that individual client accounts are invested and rebalanced by the algorithm, </w:t>
      </w:r>
      <w:r>
        <w:rPr>
          <w:rFonts w:eastAsia="Arial" w:cs="Arial"/>
          <w:i/>
          <w:iCs/>
          <w:sz w:val="20"/>
          <w:szCs w:val="20"/>
        </w:rPr>
        <w:t>etc.</w:t>
      </w:r>
      <w:r>
        <w:rPr>
          <w:rFonts w:eastAsia="Arial" w:cs="Arial"/>
          <w:sz w:val="20"/>
          <w:szCs w:val="20"/>
        </w:rPr>
        <w:t>);</w:t>
      </w:r>
    </w:p>
    <w:p>
      <w:pPr>
        <w:numPr>
          <w:ilvl w:val="0"/>
          <w:numId w:val="252"/>
        </w:numPr>
        <w:ind w:left="720" w:hanging="192"/>
        <w:jc w:val="left"/>
        <w:rPr>
          <w:rFonts w:eastAsia="Arial" w:cs="Arial"/>
          <w:sz w:val="20"/>
          <w:szCs w:val="20"/>
        </w:rPr>
      </w:pPr>
      <w:r>
        <w:rPr>
          <w:rFonts w:eastAsia="Arial" w:cs="Arial"/>
          <w:sz w:val="20"/>
          <w:szCs w:val="20"/>
        </w:rPr>
        <w:t>A description of the assumptions and limitations of the algorithm used to manage client accounts (</w:t>
      </w:r>
      <w:r>
        <w:rPr>
          <w:rFonts w:eastAsia="Arial" w:cs="Arial"/>
          <w:i/>
          <w:iCs/>
          <w:sz w:val="20"/>
          <w:szCs w:val="20"/>
        </w:rPr>
        <w:t>e.g.,</w:t>
      </w:r>
      <w:r>
        <w:rPr>
          <w:rFonts w:eastAsia="Arial" w:cs="Arial"/>
          <w:sz w:val="20"/>
          <w:szCs w:val="20"/>
        </w:rPr>
        <w:t xml:space="preserve"> if the algorithm is based on modern portfolio theory, a description of the assumptions behind and the limitations of that theory);</w:t>
      </w:r>
    </w:p>
    <w:p>
      <w:pPr>
        <w:numPr>
          <w:ilvl w:val="0"/>
          <w:numId w:val="252"/>
        </w:numPr>
        <w:ind w:left="720" w:hanging="192"/>
        <w:jc w:val="left"/>
        <w:rPr>
          <w:rFonts w:eastAsia="Arial" w:cs="Arial"/>
          <w:sz w:val="20"/>
          <w:szCs w:val="20"/>
        </w:rPr>
      </w:pPr>
      <w:r>
        <w:rPr>
          <w:rFonts w:eastAsia="Arial" w:cs="Arial"/>
          <w:sz w:val="20"/>
          <w:szCs w:val="20"/>
        </w:rPr>
        <w:t>A description of the particular risks inherent in the use of an algorithm to manage client accounts (</w:t>
      </w:r>
      <w:r>
        <w:rPr>
          <w:rFonts w:eastAsia="Arial" w:cs="Arial"/>
          <w:i/>
          <w:iCs/>
          <w:sz w:val="20"/>
          <w:szCs w:val="20"/>
        </w:rPr>
        <w:t>e.g.,</w:t>
      </w:r>
      <w:r>
        <w:rPr>
          <w:rFonts w:eastAsia="Arial" w:cs="Arial"/>
          <w:sz w:val="20"/>
          <w:szCs w:val="20"/>
        </w:rPr>
        <w:t xml:space="preserve"> that the algorithm might rebalance client accounts without regard to market conditions or on a more frequent basis than the client might expect; that the algorithm may not address prolonged changes in market conditions);</w:t>
      </w:r>
    </w:p>
    <w:p>
      <w:pPr>
        <w:numPr>
          <w:ilvl w:val="0"/>
          <w:numId w:val="252"/>
        </w:numPr>
        <w:ind w:left="720" w:hanging="192"/>
        <w:jc w:val="left"/>
        <w:rPr>
          <w:rFonts w:eastAsia="Arial" w:cs="Arial"/>
          <w:sz w:val="20"/>
          <w:szCs w:val="20"/>
        </w:rPr>
      </w:pPr>
      <w:r>
        <w:rPr>
          <w:rFonts w:eastAsia="Arial" w:cs="Arial"/>
          <w:sz w:val="20"/>
          <w:szCs w:val="20"/>
        </w:rPr>
        <w:t>A description of any circumstances that might cause the Robo-Adviser Program to override the algorithm used to manage client accounts (</w:t>
      </w:r>
      <w:r>
        <w:rPr>
          <w:rFonts w:eastAsia="Arial" w:cs="Arial"/>
          <w:i/>
          <w:iCs/>
          <w:sz w:val="20"/>
          <w:szCs w:val="20"/>
        </w:rPr>
        <w:t>e.g.,</w:t>
      </w:r>
      <w:r>
        <w:rPr>
          <w:rFonts w:eastAsia="Arial" w:cs="Arial"/>
          <w:sz w:val="20"/>
          <w:szCs w:val="20"/>
        </w:rPr>
        <w:t xml:space="preserve"> that the Robo-Adviser Program might halt trading or take other temporary defensive measures in stressed market conditions);</w:t>
      </w:r>
    </w:p>
    <w:p>
      <w:pPr>
        <w:numPr>
          <w:ilvl w:val="0"/>
          <w:numId w:val="252"/>
        </w:numPr>
        <w:ind w:left="720" w:hanging="192"/>
        <w:jc w:val="left"/>
        <w:rPr>
          <w:rFonts w:eastAsia="Arial" w:cs="Arial"/>
          <w:sz w:val="20"/>
          <w:szCs w:val="20"/>
        </w:rPr>
      </w:pPr>
      <w:r>
        <w:rPr>
          <w:rFonts w:eastAsia="Arial" w:cs="Arial"/>
          <w:sz w:val="20"/>
          <w:szCs w:val="20"/>
        </w:rPr>
        <w:t>A description of any involvement by a third party (</w:t>
      </w:r>
      <w:r>
        <w:rPr>
          <w:rFonts w:eastAsia="Arial" w:cs="Arial"/>
          <w:i/>
          <w:iCs/>
          <w:sz w:val="20"/>
          <w:szCs w:val="20"/>
        </w:rPr>
        <w:t>i.e.,</w:t>
      </w:r>
      <w:r>
        <w:rPr>
          <w:rFonts w:eastAsia="Arial" w:cs="Arial"/>
          <w:sz w:val="20"/>
          <w:szCs w:val="20"/>
        </w:rPr>
        <w:t xml:space="preserve"> a company other than KCD) in the development, management, or ownership of the algorithm used to manage client accounts, including an explanation of any conflicts of interest such an arrangement may create (</w:t>
      </w:r>
      <w:r>
        <w:rPr>
          <w:rFonts w:eastAsia="Arial" w:cs="Arial"/>
          <w:i/>
          <w:iCs/>
          <w:sz w:val="20"/>
          <w:szCs w:val="20"/>
        </w:rPr>
        <w:t>e.g.,</w:t>
      </w:r>
      <w:r>
        <w:rPr>
          <w:rFonts w:eastAsia="Arial" w:cs="Arial"/>
          <w:sz w:val="20"/>
          <w:szCs w:val="20"/>
        </w:rPr>
        <w:t xml:space="preserve"> if the third party offers the algorithm used for the Robo-Adviser Program to KCD at a discount, but the algorithm directs clients into products from which the third party earns a fee);</w:t>
      </w:r>
    </w:p>
    <w:p>
      <w:pPr>
        <w:numPr>
          <w:ilvl w:val="0"/>
          <w:numId w:val="252"/>
        </w:numPr>
        <w:ind w:left="720" w:hanging="192"/>
        <w:jc w:val="left"/>
        <w:rPr>
          <w:rFonts w:eastAsia="Arial" w:cs="Arial"/>
          <w:sz w:val="20"/>
          <w:szCs w:val="20"/>
        </w:rPr>
      </w:pPr>
      <w:r>
        <w:rPr>
          <w:rFonts w:eastAsia="Arial" w:cs="Arial"/>
          <w:sz w:val="20"/>
          <w:szCs w:val="20"/>
        </w:rPr>
        <w:t>A description of the asset allocation and/or rebalancing services offered as part of the Robo-Adviser Program and how and when rebalancing occurs;</w:t>
      </w:r>
    </w:p>
    <w:p>
      <w:pPr>
        <w:numPr>
          <w:ilvl w:val="0"/>
          <w:numId w:val="252"/>
        </w:numPr>
        <w:ind w:left="720" w:hanging="192"/>
        <w:jc w:val="left"/>
        <w:rPr>
          <w:rFonts w:eastAsia="Arial" w:cs="Arial"/>
          <w:sz w:val="20"/>
          <w:szCs w:val="20"/>
        </w:rPr>
      </w:pPr>
      <w:r>
        <w:rPr>
          <w:rFonts w:eastAsia="Arial" w:cs="Arial"/>
          <w:sz w:val="20"/>
          <w:szCs w:val="20"/>
        </w:rPr>
        <w:t>An explanation of any fees the client will be charged directly for using the Robo-Adviser Program, and of any other costs that the client may bear either directly or indirectly (</w:t>
      </w:r>
      <w:r>
        <w:rPr>
          <w:rFonts w:eastAsia="Arial" w:cs="Arial"/>
          <w:i/>
          <w:iCs/>
          <w:sz w:val="20"/>
          <w:szCs w:val="20"/>
        </w:rPr>
        <w:t>e.g.,</w:t>
      </w:r>
      <w:r>
        <w:rPr>
          <w:rFonts w:eastAsia="Arial" w:cs="Arial"/>
          <w:sz w:val="20"/>
          <w:szCs w:val="20"/>
        </w:rPr>
        <w:t xml:space="preserve"> fees or expenses clients may pay in connection with the advisory services provided through the Robo-Adviser Program, such as custodian or mutual fund expenses, brokerage and other transaction costs);</w:t>
      </w:r>
    </w:p>
    <w:p>
      <w:pPr>
        <w:numPr>
          <w:ilvl w:val="0"/>
          <w:numId w:val="252"/>
        </w:numPr>
        <w:ind w:left="720" w:hanging="192"/>
        <w:jc w:val="left"/>
        <w:rPr>
          <w:rFonts w:eastAsia="Arial" w:cs="Arial"/>
          <w:sz w:val="20"/>
          <w:szCs w:val="20"/>
        </w:rPr>
      </w:pPr>
      <w:r>
        <w:rPr>
          <w:rFonts w:eastAsia="Arial" w:cs="Arial"/>
          <w:sz w:val="20"/>
          <w:szCs w:val="20"/>
        </w:rPr>
        <w:t>An explanation of the degree of human involvement in the oversight and management of individual client accounts (</w:t>
      </w:r>
      <w:r>
        <w:rPr>
          <w:rFonts w:eastAsia="Arial" w:cs="Arial"/>
          <w:i/>
          <w:iCs/>
          <w:sz w:val="20"/>
          <w:szCs w:val="20"/>
        </w:rPr>
        <w:t>e.g.,</w:t>
      </w:r>
      <w:r>
        <w:rPr>
          <w:rFonts w:eastAsia="Arial" w:cs="Arial"/>
          <w:sz w:val="20"/>
          <w:szCs w:val="20"/>
        </w:rPr>
        <w:t xml:space="preserve"> that investment advisory personnel oversee the algorithm but may not monitor each client's account);</w:t>
      </w:r>
    </w:p>
    <w:p>
      <w:pPr>
        <w:numPr>
          <w:ilvl w:val="0"/>
          <w:numId w:val="252"/>
        </w:numPr>
        <w:ind w:left="720" w:hanging="192"/>
        <w:jc w:val="left"/>
        <w:rPr>
          <w:rFonts w:eastAsia="Arial" w:cs="Arial"/>
          <w:sz w:val="20"/>
          <w:szCs w:val="20"/>
        </w:rPr>
      </w:pPr>
      <w:r>
        <w:rPr>
          <w:rFonts w:eastAsia="Arial" w:cs="Arial"/>
          <w:sz w:val="20"/>
          <w:szCs w:val="20"/>
        </w:rPr>
        <w:t>A description of how the Robo-Adviser Program uses the information gathered from a client to generate a recommended portfolio and any limitations (</w:t>
      </w:r>
      <w:r>
        <w:rPr>
          <w:rFonts w:eastAsia="Arial" w:cs="Arial"/>
          <w:i/>
          <w:iCs/>
          <w:sz w:val="20"/>
          <w:szCs w:val="20"/>
        </w:rPr>
        <w:t>e.g.,</w:t>
      </w:r>
      <w:r>
        <w:rPr>
          <w:rFonts w:eastAsia="Arial" w:cs="Arial"/>
          <w:sz w:val="20"/>
          <w:szCs w:val="20"/>
        </w:rPr>
        <w:t xml:space="preserve"> if a questionnaire is used, that the responses to the questionnaire may be the sole basis for the Robo-Adviser Program's advice; or if the Robo-Adviser Program has access to other client information or accounts, whether, and if so, how, that information is used in generating investment advice);</w:t>
      </w:r>
    </w:p>
    <w:p>
      <w:pPr>
        <w:numPr>
          <w:ilvl w:val="0"/>
          <w:numId w:val="252"/>
        </w:numPr>
        <w:ind w:left="720" w:hanging="192"/>
        <w:jc w:val="left"/>
        <w:rPr>
          <w:rFonts w:eastAsia="Arial" w:cs="Arial"/>
          <w:sz w:val="20"/>
          <w:szCs w:val="20"/>
        </w:rPr>
      </w:pPr>
      <w:r>
        <w:rPr>
          <w:rFonts w:eastAsia="Arial" w:cs="Arial"/>
          <w:sz w:val="20"/>
          <w:szCs w:val="20"/>
        </w:rPr>
        <w:t>The time frame for the advisory services being provided including whether the advisory services are ongoing and, if not, the precise period the advice is being given for;</w:t>
      </w:r>
    </w:p>
    <w:p>
      <w:pPr>
        <w:numPr>
          <w:ilvl w:val="0"/>
          <w:numId w:val="252"/>
        </w:numPr>
        <w:ind w:left="720" w:hanging="192"/>
        <w:jc w:val="left"/>
        <w:rPr>
          <w:rFonts w:eastAsia="Arial" w:cs="Arial"/>
          <w:sz w:val="20"/>
          <w:szCs w:val="20"/>
        </w:rPr>
      </w:pPr>
      <w:r>
        <w:rPr>
          <w:rFonts w:eastAsia="Arial" w:cs="Arial"/>
          <w:sz w:val="20"/>
          <w:szCs w:val="20"/>
        </w:rPr>
        <w:t>An explanation of how and when a client should update information he or she has provided through the Robo-Adviser Program;</w:t>
      </w:r>
    </w:p>
    <w:p>
      <w:pPr>
        <w:numPr>
          <w:ilvl w:val="0"/>
          <w:numId w:val="252"/>
        </w:numPr>
        <w:ind w:left="720" w:hanging="192"/>
        <w:jc w:val="left"/>
        <w:rPr>
          <w:rFonts w:eastAsia="Arial" w:cs="Arial"/>
          <w:sz w:val="20"/>
          <w:szCs w:val="20"/>
        </w:rPr>
      </w:pPr>
      <w:r>
        <w:rPr>
          <w:rFonts w:eastAsia="Arial" w:cs="Arial"/>
          <w:sz w:val="20"/>
          <w:szCs w:val="20"/>
        </w:rPr>
        <w:t>Whether the Robo-Adviser Program provides a comprehensive financial plan (</w:t>
      </w:r>
      <w:r>
        <w:rPr>
          <w:rFonts w:eastAsia="Arial" w:cs="Arial"/>
          <w:i/>
          <w:iCs/>
          <w:sz w:val="20"/>
          <w:szCs w:val="20"/>
        </w:rPr>
        <w:t>e.g.,</w:t>
      </w:r>
      <w:r>
        <w:rPr>
          <w:rFonts w:eastAsia="Arial" w:cs="Arial"/>
          <w:sz w:val="20"/>
          <w:szCs w:val="20"/>
        </w:rPr>
        <w:t xml:space="preserve"> the Robo-Adviser Program takes into consideration a client's tax situation or debt obligations) and, if not, KCD will disclose that it is not providing a comprehensive financial plan and precisely disclose what services it is providing (</w:t>
      </w:r>
      <w:r>
        <w:rPr>
          <w:rFonts w:eastAsia="Arial" w:cs="Arial"/>
          <w:i/>
          <w:iCs/>
          <w:sz w:val="20"/>
          <w:szCs w:val="20"/>
        </w:rPr>
        <w:t>e.g.,</w:t>
      </w:r>
      <w:r>
        <w:rPr>
          <w:rFonts w:eastAsia="Arial" w:cs="Arial"/>
          <w:sz w:val="20"/>
          <w:szCs w:val="20"/>
        </w:rPr>
        <w:t xml:space="preserve"> retirement planning services only); and</w:t>
      </w:r>
    </w:p>
    <w:p>
      <w:pPr>
        <w:numPr>
          <w:ilvl w:val="0"/>
          <w:numId w:val="252"/>
        </w:numPr>
        <w:spacing w:after="200"/>
        <w:ind w:left="720" w:hanging="192"/>
        <w:jc w:val="left"/>
        <w:rPr>
          <w:rFonts w:eastAsia="Arial" w:cs="Arial"/>
          <w:sz w:val="20"/>
          <w:szCs w:val="20"/>
        </w:rPr>
      </w:pPr>
      <w:r>
        <w:rPr>
          <w:rFonts w:eastAsia="Arial" w:cs="Arial"/>
          <w:sz w:val="20"/>
          <w:szCs w:val="20"/>
        </w:rPr>
        <w:t>Prior full and fair disclosure of its conflicts of interest relating to client transactions through the Robo-Adviser Program including the use of affiliated mutual funds or ETFs to implement the Robo-Adviser Program recommendations, and, if so, all material conflicts of interest presented by its use of such proprietary products in its client accounts.</w:t>
      </w:r>
    </w:p>
    <w:p>
      <w:bookmarkEnd w:id="255"/>
      <w:bookmarkStart w:id="256" w:name="Sec_Chp_061016102250093_061015392"/>
    </w:p>
    <w:p>
      <w:pPr>
        <w:pStyle w:val="Heading4"/>
      </w:pPr>
      <w:r>
        <w:t>5.3.7.7 Disclosure Method</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making disclosure about the Robo-Adviser Program, KCD shall:</w:t>
      </w:r>
    </w:p>
    <w:p>
      <w:pPr>
        <w:numPr>
          <w:ilvl w:val="0"/>
          <w:numId w:val="253"/>
        </w:numPr>
        <w:spacing w:before="200"/>
        <w:ind w:left="720" w:hanging="192"/>
        <w:jc w:val="left"/>
        <w:rPr>
          <w:rFonts w:eastAsia="Arial" w:cs="Arial"/>
          <w:sz w:val="20"/>
          <w:szCs w:val="20"/>
        </w:rPr>
      </w:pPr>
      <w:r>
        <w:rPr>
          <w:rFonts w:eastAsia="Arial" w:cs="Arial"/>
          <w:sz w:val="20"/>
          <w:szCs w:val="20"/>
        </w:rPr>
        <w:t>Make sure that key disclosures are presented prior to the Robo-Adviser Program sign-up process so that information necessary to make an informed investment decision is available to prospective clients prior to them engaging in, and making any investment through, the Robo-Adviser Program;</w:t>
      </w:r>
    </w:p>
    <w:p>
      <w:pPr>
        <w:numPr>
          <w:ilvl w:val="0"/>
          <w:numId w:val="253"/>
        </w:numPr>
        <w:ind w:left="720" w:hanging="192"/>
        <w:jc w:val="left"/>
        <w:rPr>
          <w:rFonts w:eastAsia="Arial" w:cs="Arial"/>
          <w:sz w:val="20"/>
          <w:szCs w:val="20"/>
        </w:rPr>
      </w:pPr>
      <w:r>
        <w:rPr>
          <w:rFonts w:eastAsia="Arial" w:cs="Arial"/>
          <w:sz w:val="20"/>
          <w:szCs w:val="20"/>
        </w:rPr>
        <w:t>Have key disclosures specially emphasized (</w:t>
      </w:r>
      <w:r>
        <w:rPr>
          <w:rFonts w:eastAsia="Arial" w:cs="Arial"/>
          <w:i/>
          <w:iCs/>
          <w:sz w:val="20"/>
          <w:szCs w:val="20"/>
        </w:rPr>
        <w:t>e.g.,</w:t>
      </w:r>
      <w:r>
        <w:rPr>
          <w:rFonts w:eastAsia="Arial" w:cs="Arial"/>
          <w:sz w:val="20"/>
          <w:szCs w:val="20"/>
        </w:rPr>
        <w:t xml:space="preserve"> through design features such as pop-up boxes);</w:t>
      </w:r>
    </w:p>
    <w:p>
      <w:pPr>
        <w:numPr>
          <w:ilvl w:val="0"/>
          <w:numId w:val="253"/>
        </w:numPr>
        <w:ind w:left="720" w:hanging="192"/>
        <w:jc w:val="left"/>
        <w:rPr>
          <w:rFonts w:eastAsia="Arial" w:cs="Arial"/>
          <w:sz w:val="20"/>
          <w:szCs w:val="20"/>
        </w:rPr>
      </w:pPr>
      <w:r>
        <w:rPr>
          <w:rFonts w:eastAsia="Arial" w:cs="Arial"/>
          <w:sz w:val="20"/>
          <w:szCs w:val="20"/>
        </w:rPr>
        <w:t>When appropriate, have key disclosure accompanied by interactive text that provides additional information to clients (</w:t>
      </w:r>
      <w:r>
        <w:rPr>
          <w:rFonts w:eastAsia="Arial" w:cs="Arial"/>
          <w:i/>
          <w:iCs/>
          <w:sz w:val="20"/>
          <w:szCs w:val="20"/>
        </w:rPr>
        <w:t>e.g.,</w:t>
      </w:r>
      <w:r>
        <w:rPr>
          <w:rFonts w:eastAsia="Arial" w:cs="Arial"/>
          <w:sz w:val="20"/>
          <w:szCs w:val="20"/>
        </w:rPr>
        <w:t xml:space="preserve"> a link to a Q&amp;A area of the site); and</w:t>
      </w:r>
    </w:p>
    <w:p>
      <w:pPr>
        <w:numPr>
          <w:ilvl w:val="0"/>
          <w:numId w:val="253"/>
        </w:numPr>
        <w:spacing w:after="200"/>
        <w:ind w:left="720" w:hanging="192"/>
        <w:jc w:val="left"/>
        <w:rPr>
          <w:rFonts w:eastAsia="Arial" w:cs="Arial"/>
          <w:sz w:val="20"/>
          <w:szCs w:val="20"/>
        </w:rPr>
      </w:pPr>
      <w:r>
        <w:rPr>
          <w:rFonts w:eastAsia="Arial" w:cs="Arial"/>
          <w:sz w:val="20"/>
          <w:szCs w:val="20"/>
        </w:rPr>
        <w:t>Ensure that disclosure and the site as a whole can be properly displayed on all electronic venues offering the Robo-Adviser Program (</w:t>
      </w:r>
      <w:r>
        <w:rPr>
          <w:rFonts w:eastAsia="Arial" w:cs="Arial"/>
          <w:i/>
          <w:iCs/>
          <w:sz w:val="20"/>
          <w:szCs w:val="20"/>
        </w:rPr>
        <w:t>e.g.,</w:t>
      </w:r>
      <w:r>
        <w:rPr>
          <w:rFonts w:eastAsia="Arial" w:cs="Arial"/>
          <w:sz w:val="20"/>
          <w:szCs w:val="20"/>
        </w:rPr>
        <w:t xml:space="preserve"> a mobile device such as a cell phone, tablet, </w:t>
      </w:r>
      <w:r>
        <w:rPr>
          <w:rFonts w:eastAsia="Arial" w:cs="Arial"/>
          <w:i/>
          <w:iCs/>
          <w:sz w:val="20"/>
          <w:szCs w:val="20"/>
        </w:rPr>
        <w:t>etc.</w:t>
      </w:r>
      <w:r>
        <w:rPr>
          <w:rFonts w:eastAsia="Arial" w:cs="Arial"/>
          <w:sz w:val="20"/>
          <w:szCs w:val="20"/>
        </w:rPr>
        <w:t>).</w:t>
      </w:r>
    </w:p>
    <w:p>
      <w:bookmarkEnd w:id="256"/>
      <w:bookmarkStart w:id="257" w:name="Sec_Chp_061016102250093_061015393"/>
    </w:p>
    <w:p>
      <w:pPr>
        <w:pStyle w:val="Heading4"/>
      </w:pPr>
      <w:r>
        <w:t>5.3.7.8 Questionnaires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At a minimum, the questionnaire used in the Robo-Adviser Program will:</w:t>
      </w:r>
    </w:p>
    <w:p>
      <w:pPr>
        <w:numPr>
          <w:ilvl w:val="0"/>
          <w:numId w:val="254"/>
        </w:numPr>
        <w:spacing w:before="200"/>
        <w:ind w:left="720" w:hanging="192"/>
        <w:jc w:val="left"/>
        <w:rPr>
          <w:rFonts w:eastAsia="Arial" w:cs="Arial"/>
          <w:sz w:val="20"/>
          <w:szCs w:val="20"/>
        </w:rPr>
      </w:pPr>
      <w:r>
        <w:rPr>
          <w:rFonts w:eastAsia="Arial" w:cs="Arial"/>
          <w:sz w:val="20"/>
          <w:szCs w:val="20"/>
        </w:rPr>
        <w:t>ask for the client's age, income and financial goals;</w:t>
      </w:r>
    </w:p>
    <w:p>
      <w:pPr>
        <w:numPr>
          <w:ilvl w:val="0"/>
          <w:numId w:val="254"/>
        </w:numPr>
        <w:ind w:left="720" w:hanging="192"/>
        <w:jc w:val="left"/>
        <w:rPr>
          <w:rFonts w:eastAsia="Arial" w:cs="Arial"/>
          <w:sz w:val="20"/>
          <w:szCs w:val="20"/>
        </w:rPr>
      </w:pPr>
      <w:r>
        <w:rPr>
          <w:rFonts w:eastAsia="Arial" w:cs="Arial"/>
          <w:sz w:val="20"/>
          <w:szCs w:val="20"/>
        </w:rPr>
        <w:t>request the client's investment horizon, risk tolerance, and/or living and other expenses;</w:t>
      </w:r>
    </w:p>
    <w:p>
      <w:pPr>
        <w:numPr>
          <w:ilvl w:val="0"/>
          <w:numId w:val="254"/>
        </w:numPr>
        <w:ind w:left="720" w:hanging="192"/>
        <w:jc w:val="left"/>
        <w:rPr>
          <w:rFonts w:eastAsia="Arial" w:cs="Arial"/>
          <w:sz w:val="20"/>
          <w:szCs w:val="20"/>
        </w:rPr>
      </w:pPr>
      <w:r>
        <w:rPr>
          <w:rFonts w:eastAsia="Arial" w:cs="Arial"/>
          <w:sz w:val="20"/>
          <w:szCs w:val="20"/>
        </w:rPr>
        <w:t>request the type of information that is appropriate in relation to the nature of the robo-advice that will be given;</w:t>
      </w:r>
    </w:p>
    <w:p>
      <w:pPr>
        <w:numPr>
          <w:ilvl w:val="0"/>
          <w:numId w:val="254"/>
        </w:numPr>
        <w:ind w:left="720" w:hanging="192"/>
        <w:jc w:val="left"/>
        <w:rPr>
          <w:rFonts w:eastAsia="Arial" w:cs="Arial"/>
          <w:sz w:val="20"/>
          <w:szCs w:val="20"/>
        </w:rPr>
      </w:pPr>
      <w:r>
        <w:rPr>
          <w:rFonts w:eastAsia="Arial" w:cs="Arial"/>
          <w:sz w:val="20"/>
          <w:szCs w:val="20"/>
        </w:rPr>
        <w:t>provide a client with the opportunity to give additional information or context concerning the client's selected responses;</w:t>
      </w:r>
    </w:p>
    <w:p>
      <w:pPr>
        <w:numPr>
          <w:ilvl w:val="0"/>
          <w:numId w:val="254"/>
        </w:numPr>
        <w:ind w:left="720" w:hanging="192"/>
        <w:jc w:val="left"/>
        <w:rPr>
          <w:rFonts w:eastAsia="Arial" w:cs="Arial"/>
          <w:sz w:val="20"/>
          <w:szCs w:val="20"/>
        </w:rPr>
      </w:pPr>
      <w:r>
        <w:rPr>
          <w:rFonts w:eastAsia="Arial" w:cs="Arial"/>
          <w:sz w:val="20"/>
          <w:szCs w:val="20"/>
        </w:rPr>
        <w:t>use additional clarification or examples through pop-up boxes or other means for clients when necessary;</w:t>
      </w:r>
    </w:p>
    <w:p>
      <w:pPr>
        <w:numPr>
          <w:ilvl w:val="0"/>
          <w:numId w:val="254"/>
        </w:numPr>
        <w:ind w:left="720" w:hanging="192"/>
        <w:jc w:val="left"/>
        <w:rPr>
          <w:rFonts w:eastAsia="Arial" w:cs="Arial"/>
          <w:sz w:val="20"/>
          <w:szCs w:val="20"/>
        </w:rPr>
      </w:pPr>
      <w:r>
        <w:rPr>
          <w:rFonts w:eastAsia="Arial" w:cs="Arial"/>
          <w:sz w:val="20"/>
          <w:szCs w:val="20"/>
        </w:rPr>
        <w:t>where appropriate and feasible, include design features that automatically alerts KCD and the client when his or her responses appear internally inconsistent and suggest that the client may wish to reconsider such responses (this feature may be especially important if the Robo-Adviser Program does not give the client the opportunity to consult with investment advisory personnel about the client-selected portfolio generated by the questionnaire); and</w:t>
      </w:r>
    </w:p>
    <w:p>
      <w:pPr>
        <w:numPr>
          <w:ilvl w:val="0"/>
          <w:numId w:val="254"/>
        </w:numPr>
        <w:spacing w:after="200"/>
        <w:ind w:left="720" w:hanging="192"/>
        <w:jc w:val="left"/>
        <w:rPr>
          <w:rFonts w:eastAsia="Arial" w:cs="Arial"/>
          <w:sz w:val="20"/>
          <w:szCs w:val="20"/>
        </w:rPr>
      </w:pPr>
      <w:r>
        <w:rPr>
          <w:rFonts w:eastAsia="Arial" w:cs="Arial"/>
          <w:sz w:val="20"/>
          <w:szCs w:val="20"/>
        </w:rPr>
        <w:t>verify that the questionnaire elicits sufficient information to allow the Robo-Adviser Program to conclude that its initial recommendations and ongoing investment advice are suitable and appropriate for that client based on his or her financial situation and investment objectives.</w:t>
      </w:r>
    </w:p>
    <w:p>
      <w:pPr>
        <w:pStyle w:val="normal0"/>
        <w:spacing w:before="200" w:after="200"/>
        <w:rPr>
          <w:rFonts w:eastAsia="Arial" w:cs="Arial"/>
          <w:sz w:val="20"/>
          <w:szCs w:val="20"/>
        </w:rPr>
      </w:pPr>
      <w:r>
        <w:rPr>
          <w:rFonts w:eastAsia="Arial" w:cs="Arial"/>
          <w:sz w:val="20"/>
          <w:szCs w:val="20"/>
        </w:rPr>
        <w:t>When warranted, Firm personnel administering the Robo-Adviser Program will ask follow-up or clarifying questions about a client's responses, address inconsistencies in client responses, or provide a client with help when filling out the questionnaire.</w:t>
      </w:r>
    </w:p>
    <w:p>
      <w:bookmarkEnd w:id="257"/>
      <w:bookmarkStart w:id="258" w:name="Sec_Chp_061016102250093_061015394"/>
    </w:p>
    <w:p>
      <w:pPr>
        <w:pStyle w:val="Heading4"/>
      </w:pPr>
      <w:r>
        <w:t>5.3.7.9 Algorithm</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periodically review and test the functioning of the software, algorithm and other features of the Robo-Adviser Program that generate client investment recommendations and portfolios. KCD shall:</w:t>
      </w:r>
    </w:p>
    <w:p>
      <w:pPr>
        <w:numPr>
          <w:ilvl w:val="0"/>
          <w:numId w:val="255"/>
        </w:numPr>
        <w:spacing w:before="200"/>
        <w:ind w:left="720" w:hanging="192"/>
        <w:jc w:val="left"/>
        <w:rPr>
          <w:rFonts w:eastAsia="Arial" w:cs="Arial"/>
          <w:sz w:val="20"/>
          <w:szCs w:val="20"/>
        </w:rPr>
      </w:pPr>
      <w:r>
        <w:rPr>
          <w:rFonts w:eastAsia="Arial" w:cs="Arial"/>
          <w:sz w:val="20"/>
          <w:szCs w:val="20"/>
        </w:rPr>
        <w:t>test and backtest the algorithmic code to ensure, among other things, that it is performing as programmed and in such tests or backtests include one or more other groups in their testing process, such as portfolio management, compliance, internal audit, and information technology (IT) staff;</w:t>
      </w:r>
    </w:p>
    <w:p>
      <w:pPr>
        <w:numPr>
          <w:ilvl w:val="0"/>
          <w:numId w:val="255"/>
        </w:numPr>
        <w:ind w:left="720" w:hanging="192"/>
        <w:jc w:val="left"/>
        <w:rPr>
          <w:rFonts w:eastAsia="Arial" w:cs="Arial"/>
          <w:sz w:val="20"/>
          <w:szCs w:val="20"/>
        </w:rPr>
      </w:pPr>
      <w:r>
        <w:rPr>
          <w:rFonts w:eastAsia="Arial" w:cs="Arial"/>
          <w:sz w:val="20"/>
          <w:szCs w:val="20"/>
        </w:rPr>
        <w:t>ensure that tests produce high-level and account-specific results;</w:t>
      </w:r>
    </w:p>
    <w:p>
      <w:pPr>
        <w:numPr>
          <w:ilvl w:val="0"/>
          <w:numId w:val="255"/>
        </w:numPr>
        <w:ind w:left="720" w:hanging="192"/>
        <w:jc w:val="left"/>
        <w:rPr>
          <w:rFonts w:eastAsia="Arial" w:cs="Arial"/>
          <w:sz w:val="20"/>
          <w:szCs w:val="20"/>
        </w:rPr>
      </w:pPr>
      <w:r>
        <w:rPr>
          <w:rFonts w:eastAsia="Arial" w:cs="Arial"/>
          <w:sz w:val="20"/>
          <w:szCs w:val="20"/>
        </w:rPr>
        <w:t>instruct compliance staff to perform independent testing and also rely on testing work performed by others;</w:t>
      </w:r>
    </w:p>
    <w:p>
      <w:pPr>
        <w:numPr>
          <w:ilvl w:val="0"/>
          <w:numId w:val="255"/>
        </w:numPr>
        <w:ind w:left="720" w:hanging="192"/>
        <w:jc w:val="left"/>
        <w:rPr>
          <w:rFonts w:eastAsia="Arial" w:cs="Arial"/>
          <w:sz w:val="20"/>
          <w:szCs w:val="20"/>
        </w:rPr>
      </w:pPr>
      <w:r>
        <w:rPr>
          <w:rFonts w:eastAsia="Arial" w:cs="Arial"/>
          <w:sz w:val="20"/>
          <w:szCs w:val="20"/>
        </w:rPr>
        <w:t>share testing results and reports with the algorithm designers/software developers and compliance staff, as well as portfolio management staff and/or IT staff review them;</w:t>
      </w:r>
    </w:p>
    <w:p>
      <w:pPr>
        <w:numPr>
          <w:ilvl w:val="0"/>
          <w:numId w:val="255"/>
        </w:numPr>
        <w:ind w:left="720" w:hanging="192"/>
        <w:jc w:val="left"/>
        <w:rPr>
          <w:rFonts w:eastAsia="Arial" w:cs="Arial"/>
          <w:sz w:val="20"/>
          <w:szCs w:val="20"/>
        </w:rPr>
      </w:pPr>
      <w:r>
        <w:rPr>
          <w:rFonts w:eastAsia="Arial" w:cs="Arial"/>
          <w:sz w:val="20"/>
          <w:szCs w:val="20"/>
        </w:rPr>
        <w:t>monitor the performance of the Program (</w:t>
      </w:r>
      <w:r>
        <w:rPr>
          <w:rFonts w:eastAsia="Arial" w:cs="Arial"/>
          <w:i/>
          <w:iCs/>
          <w:sz w:val="20"/>
          <w:szCs w:val="20"/>
        </w:rPr>
        <w:t>e.g.,</w:t>
      </w:r>
      <w:r>
        <w:rPr>
          <w:rFonts w:eastAsia="Arial" w:cs="Arial"/>
          <w:sz w:val="20"/>
          <w:szCs w:val="20"/>
        </w:rPr>
        <w:t xml:space="preserve"> to ensure that the code performs as represented);</w:t>
      </w:r>
    </w:p>
    <w:p>
      <w:pPr>
        <w:numPr>
          <w:ilvl w:val="0"/>
          <w:numId w:val="255"/>
        </w:numPr>
        <w:ind w:left="720" w:hanging="192"/>
        <w:jc w:val="left"/>
        <w:rPr>
          <w:rFonts w:eastAsia="Arial" w:cs="Arial"/>
          <w:sz w:val="20"/>
          <w:szCs w:val="20"/>
        </w:rPr>
      </w:pPr>
      <w:r>
        <w:rPr>
          <w:rFonts w:eastAsia="Arial" w:cs="Arial"/>
          <w:sz w:val="20"/>
          <w:szCs w:val="20"/>
        </w:rPr>
        <w:t>safeguard the algorithms and ensure that the algorithms (and the Robo-Adviser Program) have preventative measures designed to detect and respond to cybersecurity and other threats by:</w:t>
      </w:r>
    </w:p>
    <w:p>
      <w:pPr>
        <w:numPr>
          <w:ilvl w:val="1"/>
          <w:numId w:val="255"/>
        </w:numPr>
        <w:ind w:left="1440" w:hanging="220"/>
        <w:jc w:val="left"/>
        <w:rPr>
          <w:rFonts w:eastAsia="Arial" w:cs="Arial"/>
          <w:sz w:val="20"/>
          <w:szCs w:val="20"/>
        </w:rPr>
      </w:pPr>
      <w:r>
        <w:rPr>
          <w:rFonts w:eastAsia="Arial" w:cs="Arial"/>
          <w:sz w:val="20"/>
          <w:szCs w:val="20"/>
        </w:rPr>
        <w:t>employing safeguards to prevent unauthorized algorithm changes;</w:t>
      </w:r>
    </w:p>
    <w:p>
      <w:pPr>
        <w:numPr>
          <w:ilvl w:val="1"/>
          <w:numId w:val="255"/>
        </w:numPr>
        <w:ind w:left="1440" w:hanging="220"/>
        <w:jc w:val="left"/>
        <w:rPr>
          <w:rFonts w:eastAsia="Arial" w:cs="Arial"/>
          <w:sz w:val="20"/>
          <w:szCs w:val="20"/>
        </w:rPr>
      </w:pPr>
      <w:r>
        <w:rPr>
          <w:rFonts w:eastAsia="Arial" w:cs="Arial"/>
          <w:sz w:val="20"/>
          <w:szCs w:val="20"/>
        </w:rPr>
        <w:t>limiting code access to certain persons;</w:t>
      </w:r>
    </w:p>
    <w:p>
      <w:pPr>
        <w:numPr>
          <w:ilvl w:val="1"/>
          <w:numId w:val="255"/>
        </w:numPr>
        <w:ind w:left="1440" w:hanging="220"/>
        <w:jc w:val="left"/>
        <w:rPr>
          <w:rFonts w:eastAsia="Arial" w:cs="Arial"/>
          <w:sz w:val="20"/>
          <w:szCs w:val="20"/>
        </w:rPr>
      </w:pPr>
      <w:r>
        <w:rPr>
          <w:rFonts w:eastAsia="Arial" w:cs="Arial"/>
          <w:sz w:val="20"/>
          <w:szCs w:val="20"/>
        </w:rPr>
        <w:t>providing compliance staff with advance notice of substantive algorithm changes or overrides; and</w:t>
      </w:r>
    </w:p>
    <w:p>
      <w:pPr>
        <w:numPr>
          <w:ilvl w:val="1"/>
          <w:numId w:val="255"/>
        </w:numPr>
        <w:spacing w:after="200"/>
        <w:ind w:left="1440" w:hanging="220"/>
        <w:jc w:val="left"/>
        <w:rPr>
          <w:rFonts w:eastAsia="Arial" w:cs="Arial"/>
          <w:sz w:val="20"/>
          <w:szCs w:val="20"/>
        </w:rPr>
      </w:pPr>
      <w:r>
        <w:rPr>
          <w:rFonts w:eastAsia="Arial" w:cs="Arial"/>
          <w:sz w:val="20"/>
          <w:szCs w:val="20"/>
        </w:rPr>
        <w:t>if using white-label platforms, instruct such platform providers to notify KCD of changes to the algorithms.</w:t>
      </w:r>
    </w:p>
    <w:p>
      <w:bookmarkEnd w:id="258"/>
      <w:bookmarkStart w:id="259" w:name="Sec_Chp_061016102250093_061015395"/>
    </w:p>
    <w:p>
      <w:pPr>
        <w:pStyle w:val="Heading4"/>
      </w:pPr>
      <w:r>
        <w:t>5.3.7.10 Code Updates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making any modifications or updates to the Robo-Adviser Program code, KCD will:</w:t>
      </w:r>
    </w:p>
    <w:p>
      <w:pPr>
        <w:numPr>
          <w:ilvl w:val="0"/>
          <w:numId w:val="256"/>
        </w:numPr>
        <w:spacing w:before="200"/>
        <w:ind w:left="720" w:hanging="192"/>
        <w:jc w:val="left"/>
        <w:rPr>
          <w:rFonts w:eastAsia="Arial" w:cs="Arial"/>
          <w:sz w:val="20"/>
          <w:szCs w:val="20"/>
        </w:rPr>
      </w:pPr>
      <w:r>
        <w:rPr>
          <w:rFonts w:eastAsia="Arial" w:cs="Arial"/>
          <w:sz w:val="20"/>
          <w:szCs w:val="20"/>
        </w:rPr>
        <w:t>test the modifications or updates to make sure they would not adversely affect client accounts; and</w:t>
      </w:r>
    </w:p>
    <w:p>
      <w:pPr>
        <w:numPr>
          <w:ilvl w:val="0"/>
          <w:numId w:val="256"/>
        </w:numPr>
        <w:spacing w:after="200"/>
        <w:ind w:left="720" w:hanging="192"/>
        <w:jc w:val="left"/>
        <w:rPr>
          <w:rFonts w:eastAsia="Arial" w:cs="Arial"/>
          <w:sz w:val="20"/>
          <w:szCs w:val="20"/>
        </w:rPr>
      </w:pPr>
      <w:r>
        <w:rPr>
          <w:rFonts w:eastAsia="Arial" w:cs="Arial"/>
          <w:sz w:val="20"/>
          <w:szCs w:val="20"/>
        </w:rPr>
        <w:t>provide disclosure to clients via the website, e-mail or otherwise of the proposed changes to the Robo-Adviser Program as a result of the updated algorithmic code, including the fact that the updates or modifications may materially affect their portfolios.</w:t>
      </w:r>
    </w:p>
    <w:p>
      <w:bookmarkEnd w:id="259"/>
      <w:bookmarkStart w:id="260" w:name="Sec_Chp_061016102250093_061015396"/>
    </w:p>
    <w:p>
      <w:pPr>
        <w:pStyle w:val="Heading4"/>
      </w:pPr>
      <w:r>
        <w:t>5.3.7.11 Advisers Act Compliance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make sure that the Robo-Adviser Program is designed to and complies with all applicable laws and rules and procedures in this Manual including those related to:</w:t>
      </w:r>
    </w:p>
    <w:p>
      <w:pPr>
        <w:numPr>
          <w:ilvl w:val="0"/>
          <w:numId w:val="257"/>
        </w:numPr>
        <w:spacing w:before="200"/>
        <w:ind w:left="720" w:hanging="192"/>
        <w:jc w:val="left"/>
        <w:rPr>
          <w:rFonts w:eastAsia="Arial" w:cs="Arial"/>
          <w:sz w:val="20"/>
          <w:szCs w:val="20"/>
        </w:rPr>
      </w:pPr>
      <w:r>
        <w:rPr>
          <w:rFonts w:eastAsia="Arial" w:cs="Arial"/>
          <w:sz w:val="20"/>
          <w:szCs w:val="20"/>
        </w:rPr>
        <w:t>Firm Brochure delivery requirements;</w:t>
      </w:r>
    </w:p>
    <w:p>
      <w:pPr>
        <w:numPr>
          <w:ilvl w:val="0"/>
          <w:numId w:val="257"/>
        </w:numPr>
        <w:ind w:left="720" w:hanging="192"/>
        <w:jc w:val="left"/>
        <w:rPr>
          <w:rFonts w:eastAsia="Arial" w:cs="Arial"/>
          <w:sz w:val="20"/>
          <w:szCs w:val="20"/>
        </w:rPr>
      </w:pPr>
      <w:r>
        <w:rPr>
          <w:rFonts w:eastAsia="Arial" w:cs="Arial"/>
          <w:sz w:val="20"/>
          <w:szCs w:val="20"/>
        </w:rPr>
        <w:t>Advisers Act advertising rules including reviewing their marketing and performance advertising practices in an effort to detect inadequacies or non-compliance with such rules designed to prevent:</w:t>
      </w:r>
    </w:p>
    <w:p>
      <w:pPr>
        <w:numPr>
          <w:ilvl w:val="1"/>
          <w:numId w:val="257"/>
        </w:numPr>
        <w:ind w:left="1440" w:hanging="220"/>
        <w:jc w:val="left"/>
        <w:rPr>
          <w:rFonts w:eastAsia="Arial" w:cs="Arial"/>
          <w:sz w:val="20"/>
          <w:szCs w:val="20"/>
        </w:rPr>
      </w:pPr>
      <w:r>
        <w:rPr>
          <w:rFonts w:eastAsia="Arial" w:cs="Arial"/>
          <w:sz w:val="20"/>
          <w:szCs w:val="20"/>
        </w:rPr>
        <w:t>misleading or prohibited statements on KCD's website;</w:t>
      </w:r>
    </w:p>
    <w:p>
      <w:pPr>
        <w:numPr>
          <w:ilvl w:val="1"/>
          <w:numId w:val="257"/>
        </w:numPr>
        <w:ind w:left="1440" w:hanging="220"/>
        <w:jc w:val="left"/>
        <w:rPr>
          <w:rFonts w:eastAsia="Arial" w:cs="Arial"/>
          <w:sz w:val="20"/>
          <w:szCs w:val="20"/>
        </w:rPr>
      </w:pPr>
      <w:r>
        <w:rPr>
          <w:rFonts w:eastAsia="Arial" w:cs="Arial"/>
          <w:sz w:val="20"/>
          <w:szCs w:val="20"/>
        </w:rPr>
        <w:t>using vague or unsubstantiated claims that could cause an untrue or misleading implication or inference to be drawn regarding the advisory services provided, investment options available, performance expectations, and costs incurred in investing (</w:t>
      </w:r>
      <w:r>
        <w:rPr>
          <w:rFonts w:eastAsia="Arial" w:cs="Arial"/>
          <w:i/>
          <w:iCs/>
          <w:sz w:val="20"/>
          <w:szCs w:val="20"/>
        </w:rPr>
        <w:t>e.g.,</w:t>
      </w:r>
      <w:r>
        <w:rPr>
          <w:rFonts w:eastAsia="Arial" w:cs="Arial"/>
          <w:sz w:val="20"/>
          <w:szCs w:val="20"/>
        </w:rPr>
        <w:t xml:space="preserve"> a comparative analysis of adviser-offered versus other products and services);</w:t>
      </w:r>
    </w:p>
    <w:p>
      <w:pPr>
        <w:numPr>
          <w:ilvl w:val="1"/>
          <w:numId w:val="257"/>
        </w:numPr>
        <w:ind w:left="1440" w:hanging="220"/>
        <w:jc w:val="left"/>
        <w:rPr>
          <w:rFonts w:eastAsia="Arial" w:cs="Arial"/>
          <w:sz w:val="20"/>
          <w:szCs w:val="20"/>
        </w:rPr>
      </w:pPr>
      <w:r>
        <w:rPr>
          <w:rFonts w:eastAsia="Arial" w:cs="Arial"/>
          <w:sz w:val="20"/>
          <w:szCs w:val="20"/>
        </w:rPr>
        <w:t>misrepresenting SIPC protections by implying that client accounts would be protected from market declines;</w:t>
      </w:r>
    </w:p>
    <w:p>
      <w:pPr>
        <w:numPr>
          <w:ilvl w:val="1"/>
          <w:numId w:val="257"/>
        </w:numPr>
        <w:ind w:left="1440" w:hanging="220"/>
        <w:jc w:val="left"/>
        <w:rPr>
          <w:rFonts w:eastAsia="Arial" w:cs="Arial"/>
          <w:sz w:val="20"/>
          <w:szCs w:val="20"/>
        </w:rPr>
      </w:pPr>
      <w:r>
        <w:rPr>
          <w:rFonts w:eastAsia="Arial" w:cs="Arial"/>
          <w:sz w:val="20"/>
          <w:szCs w:val="20"/>
        </w:rPr>
        <w:t>using press logos (</w:t>
      </w:r>
      <w:r>
        <w:rPr>
          <w:rFonts w:eastAsia="Arial" w:cs="Arial"/>
          <w:i/>
          <w:iCs/>
          <w:sz w:val="20"/>
          <w:szCs w:val="20"/>
        </w:rPr>
        <w:t>e.g.,</w:t>
      </w:r>
      <w:r>
        <w:rPr>
          <w:rFonts w:eastAsia="Arial" w:cs="Arial"/>
          <w:sz w:val="20"/>
          <w:szCs w:val="20"/>
        </w:rPr>
        <w:t xml:space="preserve"> ABC, CNN, or Forbes) without links or disclosure that explain their relevance;</w:t>
      </w:r>
    </w:p>
    <w:p>
      <w:pPr>
        <w:numPr>
          <w:ilvl w:val="1"/>
          <w:numId w:val="257"/>
        </w:numPr>
        <w:ind w:left="1440" w:hanging="220"/>
        <w:jc w:val="left"/>
        <w:rPr>
          <w:rFonts w:eastAsia="Arial" w:cs="Arial"/>
          <w:sz w:val="20"/>
          <w:szCs w:val="20"/>
        </w:rPr>
      </w:pPr>
      <w:r>
        <w:rPr>
          <w:rFonts w:eastAsia="Arial" w:cs="Arial"/>
          <w:sz w:val="20"/>
          <w:szCs w:val="20"/>
        </w:rPr>
        <w:t>referring to, or providing links to, positive third party commentary, without disclosing the relevance, any conflict of interest (</w:t>
      </w:r>
      <w:r>
        <w:rPr>
          <w:rFonts w:eastAsia="Arial" w:cs="Arial"/>
          <w:i/>
          <w:iCs/>
          <w:sz w:val="20"/>
          <w:szCs w:val="20"/>
        </w:rPr>
        <w:t>e.g.,</w:t>
      </w:r>
      <w:r>
        <w:rPr>
          <w:rFonts w:eastAsia="Arial" w:cs="Arial"/>
          <w:sz w:val="20"/>
          <w:szCs w:val="20"/>
        </w:rPr>
        <w:t xml:space="preserve"> adviser compensation), or both;</w:t>
      </w:r>
    </w:p>
    <w:p>
      <w:pPr>
        <w:numPr>
          <w:ilvl w:val="1"/>
          <w:numId w:val="257"/>
        </w:numPr>
        <w:ind w:left="1440" w:hanging="220"/>
        <w:jc w:val="left"/>
        <w:rPr>
          <w:rFonts w:eastAsia="Arial" w:cs="Arial"/>
          <w:sz w:val="20"/>
          <w:szCs w:val="20"/>
        </w:rPr>
      </w:pPr>
      <w:r>
        <w:rPr>
          <w:rFonts w:eastAsia="Arial" w:cs="Arial"/>
          <w:sz w:val="20"/>
          <w:szCs w:val="20"/>
        </w:rPr>
        <w:t>using materially misleading performance advertisements on the website, including hypothetical performance results of an investment model applied retroactively without including disclosures that would make the presentation not misleading; and</w:t>
      </w:r>
    </w:p>
    <w:p>
      <w:pPr>
        <w:numPr>
          <w:ilvl w:val="1"/>
          <w:numId w:val="257"/>
        </w:numPr>
        <w:ind w:left="1440" w:hanging="220"/>
        <w:jc w:val="left"/>
        <w:rPr>
          <w:rFonts w:eastAsia="Arial" w:cs="Arial"/>
          <w:sz w:val="20"/>
          <w:szCs w:val="20"/>
        </w:rPr>
      </w:pPr>
      <w:r>
        <w:rPr>
          <w:rFonts w:eastAsia="Arial" w:cs="Arial"/>
          <w:sz w:val="20"/>
          <w:szCs w:val="20"/>
        </w:rPr>
        <w:t>providing inadequate or insufficient disclosure about "human" services (</w:t>
      </w:r>
      <w:r>
        <w:rPr>
          <w:rFonts w:eastAsia="Arial" w:cs="Arial"/>
          <w:i/>
          <w:iCs/>
          <w:sz w:val="20"/>
          <w:szCs w:val="20"/>
        </w:rPr>
        <w:t>e.g.,</w:t>
      </w:r>
      <w:r>
        <w:rPr>
          <w:rFonts w:eastAsia="Arial" w:cs="Arial"/>
          <w:sz w:val="20"/>
          <w:szCs w:val="20"/>
        </w:rPr>
        <w:t xml:space="preserve"> whether interactions with live individuals are available, mandatory, or restricted; whether they cost extra; or whether the client is assigned a financial professional). </w:t>
      </w:r>
    </w:p>
    <w:p>
      <w:pPr>
        <w:numPr>
          <w:ilvl w:val="0"/>
          <w:numId w:val="257"/>
        </w:numPr>
        <w:ind w:left="720" w:hanging="192"/>
        <w:jc w:val="left"/>
        <w:rPr>
          <w:rFonts w:eastAsia="Arial" w:cs="Arial"/>
          <w:sz w:val="20"/>
          <w:szCs w:val="20"/>
        </w:rPr>
      </w:pPr>
      <w:r>
        <w:rPr>
          <w:rFonts w:eastAsia="Arial" w:cs="Arial"/>
          <w:sz w:val="20"/>
          <w:szCs w:val="20"/>
        </w:rPr>
        <w:t>Advisers Act advisory contract rules including the presence of prohibited hedge clauses and/or other exculpatory language;</w:t>
      </w:r>
    </w:p>
    <w:p>
      <w:pPr>
        <w:numPr>
          <w:ilvl w:val="0"/>
          <w:numId w:val="257"/>
        </w:numPr>
        <w:ind w:left="720" w:hanging="192"/>
        <w:jc w:val="left"/>
        <w:rPr>
          <w:rFonts w:eastAsia="Arial" w:cs="Arial"/>
          <w:sz w:val="20"/>
          <w:szCs w:val="20"/>
        </w:rPr>
      </w:pPr>
      <w:r>
        <w:rPr>
          <w:rFonts w:eastAsia="Arial" w:cs="Arial"/>
          <w:sz w:val="20"/>
          <w:szCs w:val="20"/>
        </w:rPr>
        <w:t>Advisers Act code of ethics rules including: (1) receiving the required holdings and/or transaction reports from all access persons, typically because not all access persons had been identified; (2) obtaining or maintaining the required written acknowledgements from all supervised persons confirming receipt of the advisers' codes; and/or (3) ensuring that their codes contain all required provisions;</w:t>
      </w:r>
    </w:p>
    <w:p>
      <w:pPr>
        <w:numPr>
          <w:ilvl w:val="0"/>
          <w:numId w:val="257"/>
        </w:numPr>
        <w:ind w:left="720" w:hanging="192"/>
        <w:jc w:val="left"/>
        <w:rPr>
          <w:rFonts w:eastAsia="Arial" w:cs="Arial"/>
          <w:sz w:val="20"/>
          <w:szCs w:val="20"/>
        </w:rPr>
      </w:pPr>
      <w:r>
        <w:rPr>
          <w:rFonts w:eastAsia="Arial" w:cs="Arial"/>
          <w:sz w:val="20"/>
          <w:szCs w:val="20"/>
        </w:rPr>
        <w:t>Advisers Act custody rules;</w:t>
      </w:r>
    </w:p>
    <w:p>
      <w:pPr>
        <w:numPr>
          <w:ilvl w:val="0"/>
          <w:numId w:val="257"/>
        </w:numPr>
        <w:ind w:left="720" w:hanging="192"/>
        <w:jc w:val="left"/>
        <w:rPr>
          <w:rFonts w:eastAsia="Arial" w:cs="Arial"/>
          <w:sz w:val="20"/>
          <w:szCs w:val="20"/>
        </w:rPr>
      </w:pPr>
      <w:r>
        <w:rPr>
          <w:rFonts w:eastAsia="Arial" w:cs="Arial"/>
          <w:sz w:val="20"/>
          <w:szCs w:val="20"/>
        </w:rPr>
        <w:t>Form ADV, including disclosure of conflicts of interest, advisory fees, investment practices, and ownership structure;</w:t>
      </w:r>
    </w:p>
    <w:p>
      <w:pPr>
        <w:numPr>
          <w:ilvl w:val="0"/>
          <w:numId w:val="257"/>
        </w:numPr>
        <w:ind w:left="720" w:hanging="192"/>
        <w:jc w:val="left"/>
        <w:rPr>
          <w:rFonts w:eastAsia="Arial" w:cs="Arial"/>
          <w:sz w:val="20"/>
          <w:szCs w:val="20"/>
        </w:rPr>
      </w:pPr>
      <w:r>
        <w:rPr>
          <w:rFonts w:eastAsia="Arial" w:cs="Arial"/>
          <w:sz w:val="20"/>
          <w:szCs w:val="20"/>
        </w:rPr>
        <w:t>Advisers Act Internet exemption. If KCD is claiming reliance on this exemption from registration, it will ensure it is complying with the requirements of the exemption, requiring verification that: (1) it has an interactive website; and (2) it provides advisory personnel who can expand upon the investment advice provided by KCD's interactive website or otherwise provide investment advice to clients, such as financial planning;</w:t>
      </w:r>
    </w:p>
    <w:p>
      <w:pPr>
        <w:numPr>
          <w:ilvl w:val="0"/>
          <w:numId w:val="257"/>
        </w:numPr>
        <w:ind w:left="720" w:hanging="192"/>
        <w:jc w:val="left"/>
        <w:rPr>
          <w:rFonts w:eastAsia="Arial" w:cs="Arial"/>
          <w:sz w:val="20"/>
          <w:szCs w:val="20"/>
        </w:rPr>
      </w:pPr>
      <w:r>
        <w:rPr>
          <w:rFonts w:eastAsia="Arial" w:cs="Arial"/>
          <w:sz w:val="20"/>
          <w:szCs w:val="20"/>
        </w:rPr>
        <w:t>Rule 3a-4 under the Investment Company Act of 1940; and</w:t>
      </w:r>
    </w:p>
    <w:p>
      <w:pPr>
        <w:numPr>
          <w:ilvl w:val="0"/>
          <w:numId w:val="257"/>
        </w:numPr>
        <w:spacing w:after="200"/>
        <w:ind w:left="720" w:hanging="192"/>
        <w:jc w:val="left"/>
        <w:rPr>
          <w:rFonts w:eastAsia="Arial" w:cs="Arial"/>
          <w:sz w:val="20"/>
          <w:szCs w:val="20"/>
        </w:rPr>
      </w:pPr>
      <w:r>
        <w:rPr>
          <w:rFonts w:eastAsia="Arial" w:cs="Arial"/>
          <w:sz w:val="20"/>
          <w:szCs w:val="20"/>
        </w:rPr>
        <w:t>Regulation S-ID, Regulation S-P, if KCD has covered accounts.</w:t>
      </w:r>
    </w:p>
    <w:p>
      <w:bookmarkEnd w:id="260"/>
      <w:bookmarkStart w:id="261" w:name="Sec_Chp_061016102250093_061015397"/>
    </w:p>
    <w:p>
      <w:pPr>
        <w:pStyle w:val="Heading4"/>
      </w:pPr>
      <w:r>
        <w:t>5.3.7.12 Robo-Advice State Law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has, or seeks to have, robo-advisory clients in one or more states, it will address any laws and regulations in such states governing robo-advice through procedures designed to comply with such state laws and rules, including potentially addressing:</w:t>
      </w:r>
    </w:p>
    <w:p>
      <w:pPr>
        <w:numPr>
          <w:ilvl w:val="0"/>
          <w:numId w:val="258"/>
        </w:numPr>
        <w:spacing w:before="200"/>
        <w:ind w:left="720" w:hanging="192"/>
        <w:jc w:val="left"/>
        <w:rPr>
          <w:rFonts w:eastAsia="Arial" w:cs="Arial"/>
          <w:sz w:val="20"/>
          <w:szCs w:val="20"/>
        </w:rPr>
      </w:pPr>
      <w:r>
        <w:rPr>
          <w:rFonts w:eastAsia="Arial" w:cs="Arial"/>
          <w:sz w:val="20"/>
          <w:szCs w:val="20"/>
        </w:rPr>
        <w:t>if and to the extent KCD meets with or conducts significant due diligence on a robo-advisory client;</w:t>
      </w:r>
    </w:p>
    <w:p>
      <w:pPr>
        <w:numPr>
          <w:ilvl w:val="0"/>
          <w:numId w:val="258"/>
        </w:numPr>
        <w:ind w:left="720" w:hanging="192"/>
        <w:jc w:val="left"/>
        <w:rPr>
          <w:rFonts w:eastAsia="Arial" w:cs="Arial"/>
          <w:sz w:val="20"/>
          <w:szCs w:val="20"/>
        </w:rPr>
      </w:pPr>
      <w:r>
        <w:rPr>
          <w:rFonts w:eastAsia="Arial" w:cs="Arial"/>
          <w:sz w:val="20"/>
          <w:szCs w:val="20"/>
        </w:rPr>
        <w:t>the degree to which the investment advice provided by KCD to a robo-advisory client is personalized;</w:t>
      </w:r>
    </w:p>
    <w:p>
      <w:pPr>
        <w:numPr>
          <w:ilvl w:val="0"/>
          <w:numId w:val="258"/>
        </w:numPr>
        <w:ind w:left="720" w:hanging="192"/>
        <w:jc w:val="left"/>
        <w:rPr>
          <w:rFonts w:eastAsia="Arial" w:cs="Arial"/>
          <w:sz w:val="20"/>
          <w:szCs w:val="20"/>
        </w:rPr>
      </w:pPr>
      <w:r>
        <w:rPr>
          <w:rFonts w:eastAsia="Arial" w:cs="Arial"/>
          <w:sz w:val="20"/>
          <w:szCs w:val="20"/>
        </w:rPr>
        <w:t xml:space="preserve">the standard of care used when providing investment advice to a robo-advisory client; </w:t>
      </w:r>
    </w:p>
    <w:p>
      <w:pPr>
        <w:numPr>
          <w:ilvl w:val="0"/>
          <w:numId w:val="258"/>
        </w:numPr>
        <w:ind w:left="720" w:hanging="192"/>
        <w:jc w:val="left"/>
        <w:rPr>
          <w:rFonts w:eastAsia="Arial" w:cs="Arial"/>
          <w:sz w:val="20"/>
          <w:szCs w:val="20"/>
        </w:rPr>
      </w:pPr>
      <w:r>
        <w:rPr>
          <w:rFonts w:eastAsia="Arial" w:cs="Arial"/>
          <w:sz w:val="20"/>
          <w:szCs w:val="20"/>
        </w:rPr>
        <w:t>the need for any disclaimers on KCD's website regarding its robo-advice services; and</w:t>
      </w:r>
    </w:p>
    <w:p>
      <w:pPr>
        <w:numPr>
          <w:ilvl w:val="0"/>
          <w:numId w:val="258"/>
        </w:numPr>
        <w:spacing w:after="200"/>
        <w:ind w:left="720" w:hanging="192"/>
        <w:jc w:val="left"/>
        <w:rPr>
          <w:rFonts w:eastAsia="Arial" w:cs="Arial"/>
          <w:sz w:val="20"/>
          <w:szCs w:val="20"/>
        </w:rPr>
      </w:pPr>
      <w:r>
        <w:rPr>
          <w:rFonts w:eastAsia="Arial" w:cs="Arial"/>
          <w:sz w:val="20"/>
          <w:szCs w:val="20"/>
        </w:rPr>
        <w:t>the extent to which the investment advice will be in the robo-advisory client's best interests.</w:t>
      </w:r>
    </w:p>
    <w:p>
      <w:bookmarkEnd w:id="261"/>
      <w:bookmarkStart w:id="262" w:name="Sec_Chp_061016102250093_0610153935398"/>
    </w:p>
    <w:p>
      <w:pPr>
        <w:pStyle w:val="Heading4"/>
      </w:pPr>
      <w:r>
        <w:t>5.3.7.13 Personalized Robo-Advice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To the extent possible, KCD's robo-advice program will offer clients personalized services for, among other reasons, to ensure that the robo-advice program complies with the Rule 3a-4 inadvertent investment company safe harbor. In an effort to ensure compliance with Rule 3a-4, KCD will:</w:t>
      </w:r>
    </w:p>
    <w:p>
      <w:pPr>
        <w:numPr>
          <w:ilvl w:val="0"/>
          <w:numId w:val="259"/>
        </w:numPr>
        <w:spacing w:before="200"/>
        <w:ind w:left="720" w:hanging="192"/>
        <w:jc w:val="left"/>
        <w:rPr>
          <w:rFonts w:eastAsia="Arial" w:cs="Arial"/>
          <w:sz w:val="20"/>
          <w:szCs w:val="20"/>
        </w:rPr>
      </w:pPr>
      <w:r>
        <w:rPr>
          <w:rFonts w:eastAsia="Arial" w:cs="Arial"/>
          <w:sz w:val="20"/>
          <w:szCs w:val="20"/>
        </w:rPr>
        <w:t>obtain information from each client regarding the client's financial situation and investment objectives. This information will be obtained at the opening of the account and updated periodically thereafter;</w:t>
      </w:r>
    </w:p>
    <w:p>
      <w:pPr>
        <w:numPr>
          <w:ilvl w:val="0"/>
          <w:numId w:val="259"/>
        </w:numPr>
        <w:ind w:left="720" w:hanging="192"/>
        <w:jc w:val="left"/>
        <w:rPr>
          <w:rFonts w:eastAsia="Arial" w:cs="Arial"/>
          <w:sz w:val="20"/>
          <w:szCs w:val="20"/>
        </w:rPr>
      </w:pPr>
      <w:r>
        <w:rPr>
          <w:rFonts w:eastAsia="Arial" w:cs="Arial"/>
          <w:sz w:val="20"/>
          <w:szCs w:val="20"/>
        </w:rPr>
        <w:t>use questionnaires to gather information pertinent to providing individualized advice that include a sufficient number of data points;</w:t>
      </w:r>
    </w:p>
    <w:p>
      <w:pPr>
        <w:numPr>
          <w:ilvl w:val="0"/>
          <w:numId w:val="259"/>
        </w:numPr>
        <w:ind w:left="720" w:hanging="192"/>
        <w:jc w:val="left"/>
        <w:rPr>
          <w:rFonts w:eastAsia="Arial" w:cs="Arial"/>
          <w:sz w:val="20"/>
          <w:szCs w:val="20"/>
        </w:rPr>
      </w:pPr>
      <w:r>
        <w:rPr>
          <w:rFonts w:eastAsia="Arial" w:cs="Arial"/>
          <w:sz w:val="20"/>
          <w:szCs w:val="20"/>
        </w:rPr>
        <w:t>inquire as to whether the client wishes to impose any reasonable restrictions on the management of the client's account, offering the client the ability to designate particular securities or types of securities that should not be purchased or that should be sold if held;</w:t>
      </w:r>
    </w:p>
    <w:p>
      <w:pPr>
        <w:numPr>
          <w:ilvl w:val="0"/>
          <w:numId w:val="259"/>
        </w:numPr>
        <w:ind w:left="720" w:hanging="192"/>
        <w:jc w:val="left"/>
        <w:rPr>
          <w:rFonts w:eastAsia="Arial" w:cs="Arial"/>
          <w:sz w:val="20"/>
          <w:szCs w:val="20"/>
        </w:rPr>
      </w:pPr>
      <w:r>
        <w:rPr>
          <w:rFonts w:eastAsia="Arial" w:cs="Arial"/>
          <w:sz w:val="20"/>
          <w:szCs w:val="20"/>
        </w:rPr>
        <w:t>adequately disclose that clients can impose reasonable restrictions on KCD's management of their accounts;</w:t>
      </w:r>
    </w:p>
    <w:p>
      <w:pPr>
        <w:numPr>
          <w:ilvl w:val="0"/>
          <w:numId w:val="259"/>
        </w:numPr>
        <w:ind w:left="720" w:hanging="192"/>
        <w:jc w:val="left"/>
        <w:rPr>
          <w:rFonts w:eastAsia="Arial" w:cs="Arial"/>
          <w:sz w:val="20"/>
          <w:szCs w:val="20"/>
        </w:rPr>
      </w:pPr>
      <w:r>
        <w:rPr>
          <w:rFonts w:eastAsia="Arial" w:cs="Arial"/>
          <w:sz w:val="20"/>
          <w:szCs w:val="20"/>
        </w:rPr>
        <w:t>contact each client at least annually to: (1) update the client's financial situation or investment objectives; and (2) determine if the client wishes to impose any reasonable restrictions on KCD’s management of the client's account or reasonably modify existing restrictions. In addition, at least quarterly, KCD will provide its clients with written notification to contact the Firm with any changes to such information. KCD will strive to make sure the client is sufficiently knowledgeable about his or her account and its management;</w:t>
      </w:r>
    </w:p>
    <w:p>
      <w:pPr>
        <w:numPr>
          <w:ilvl w:val="0"/>
          <w:numId w:val="259"/>
        </w:numPr>
        <w:ind w:left="720" w:hanging="192"/>
        <w:jc w:val="left"/>
        <w:rPr>
          <w:rFonts w:eastAsia="Arial" w:cs="Arial"/>
          <w:sz w:val="20"/>
          <w:szCs w:val="20"/>
        </w:rPr>
      </w:pPr>
      <w:r>
        <w:rPr>
          <w:rFonts w:eastAsia="Arial" w:cs="Arial"/>
          <w:sz w:val="20"/>
          <w:szCs w:val="20"/>
        </w:rPr>
        <w:t>provide clients with access to Firm advisory personnel knowledgeable about the client's account and its management and make such Firm advisory personnel available to the clients for consultation;</w:t>
      </w:r>
    </w:p>
    <w:p>
      <w:pPr>
        <w:numPr>
          <w:ilvl w:val="0"/>
          <w:numId w:val="259"/>
        </w:numPr>
        <w:ind w:left="720" w:hanging="192"/>
        <w:jc w:val="left"/>
        <w:rPr>
          <w:rFonts w:eastAsia="Arial" w:cs="Arial"/>
          <w:sz w:val="20"/>
          <w:szCs w:val="20"/>
        </w:rPr>
      </w:pPr>
      <w:r>
        <w:rPr>
          <w:rFonts w:eastAsia="Arial" w:cs="Arial"/>
          <w:sz w:val="20"/>
          <w:szCs w:val="20"/>
        </w:rPr>
        <w:t>provide each client with a statement, at least quarterly, that contains information required by Rule 3a-4;</w:t>
      </w:r>
    </w:p>
    <w:p>
      <w:pPr>
        <w:numPr>
          <w:ilvl w:val="0"/>
          <w:numId w:val="259"/>
        </w:numPr>
        <w:ind w:left="720" w:hanging="192"/>
        <w:jc w:val="left"/>
        <w:rPr>
          <w:rFonts w:eastAsia="Arial" w:cs="Arial"/>
          <w:sz w:val="20"/>
          <w:szCs w:val="20"/>
        </w:rPr>
      </w:pPr>
      <w:r>
        <w:rPr>
          <w:rFonts w:eastAsia="Arial" w:cs="Arial"/>
          <w:sz w:val="20"/>
          <w:szCs w:val="20"/>
        </w:rPr>
        <w:t>not restrict any client's ability to withdraw cash or securities from his or her account;</w:t>
      </w:r>
    </w:p>
    <w:p>
      <w:pPr>
        <w:numPr>
          <w:ilvl w:val="0"/>
          <w:numId w:val="259"/>
        </w:numPr>
        <w:ind w:left="720" w:hanging="192"/>
        <w:jc w:val="left"/>
        <w:rPr>
          <w:rFonts w:eastAsia="Arial" w:cs="Arial"/>
          <w:sz w:val="20"/>
          <w:szCs w:val="20"/>
        </w:rPr>
      </w:pPr>
      <w:r>
        <w:rPr>
          <w:rFonts w:eastAsia="Arial" w:cs="Arial"/>
          <w:sz w:val="20"/>
          <w:szCs w:val="20"/>
        </w:rPr>
        <w:t>allow clients to vote proxies or to delegate that right to a third-party for any or all securities;</w:t>
      </w:r>
    </w:p>
    <w:p>
      <w:pPr>
        <w:numPr>
          <w:ilvl w:val="0"/>
          <w:numId w:val="259"/>
        </w:numPr>
        <w:ind w:left="720" w:hanging="192"/>
        <w:jc w:val="left"/>
        <w:rPr>
          <w:rFonts w:eastAsia="Arial" w:cs="Arial"/>
          <w:sz w:val="20"/>
          <w:szCs w:val="20"/>
        </w:rPr>
      </w:pPr>
      <w:r>
        <w:rPr>
          <w:rFonts w:eastAsia="Arial" w:cs="Arial"/>
          <w:sz w:val="20"/>
          <w:szCs w:val="20"/>
        </w:rPr>
        <w:t>ensure that clients are being sent legally required documents (</w:t>
      </w:r>
      <w:r>
        <w:rPr>
          <w:rFonts w:eastAsia="Arial" w:cs="Arial"/>
          <w:i/>
          <w:iCs/>
          <w:sz w:val="20"/>
          <w:szCs w:val="20"/>
        </w:rPr>
        <w:t>e.g.,</w:t>
      </w:r>
      <w:r>
        <w:rPr>
          <w:rFonts w:eastAsia="Arial" w:cs="Arial"/>
          <w:sz w:val="20"/>
          <w:szCs w:val="20"/>
        </w:rPr>
        <w:t xml:space="preserve"> trade confirmations and prospectuses); and</w:t>
      </w:r>
    </w:p>
    <w:p>
      <w:pPr>
        <w:numPr>
          <w:ilvl w:val="0"/>
          <w:numId w:val="259"/>
        </w:numPr>
        <w:spacing w:after="200"/>
        <w:ind w:left="720" w:hanging="192"/>
        <w:jc w:val="left"/>
        <w:rPr>
          <w:rFonts w:eastAsia="Arial" w:cs="Arial"/>
          <w:sz w:val="20"/>
          <w:szCs w:val="20"/>
        </w:rPr>
      </w:pPr>
      <w:r>
        <w:rPr>
          <w:rFonts w:eastAsia="Arial" w:cs="Arial"/>
          <w:sz w:val="20"/>
          <w:szCs w:val="20"/>
        </w:rPr>
        <w:t>not interfere with a client's legal right to proceed, directly as a security holder, against the issuer of any security in the client's account, as prescribed in Rule 3a-4.</w:t>
      </w:r>
    </w:p>
    <w:p>
      <w:pPr>
        <w:spacing w:before="200" w:after="200"/>
        <w:rPr>
          <w:rFonts w:eastAsia="Arial" w:cs="Arial"/>
          <w:sz w:val="20"/>
          <w:szCs w:val="20"/>
        </w:rPr>
      </w:pPr>
      <w:r>
        <w:rPr>
          <w:rFonts w:eastAsia="Arial" w:cs="Arial"/>
          <w:sz w:val="20"/>
          <w:szCs w:val="20"/>
        </w:rPr>
        <w:t>In addition, KCD will consider offering the following services to advance the above goals:</w:t>
      </w:r>
    </w:p>
    <w:p>
      <w:pPr>
        <w:numPr>
          <w:ilvl w:val="0"/>
          <w:numId w:val="260"/>
        </w:numPr>
        <w:spacing w:before="200"/>
        <w:ind w:left="720" w:hanging="192"/>
        <w:jc w:val="left"/>
        <w:rPr>
          <w:rFonts w:eastAsia="Arial" w:cs="Arial"/>
          <w:sz w:val="20"/>
          <w:szCs w:val="20"/>
        </w:rPr>
      </w:pPr>
      <w:r>
        <w:rPr>
          <w:rFonts w:eastAsia="Arial" w:cs="Arial"/>
          <w:sz w:val="20"/>
          <w:szCs w:val="20"/>
        </w:rPr>
        <w:t>provide clients with access (</w:t>
      </w:r>
      <w:r>
        <w:rPr>
          <w:rFonts w:eastAsia="Arial" w:cs="Arial"/>
          <w:i/>
          <w:iCs/>
          <w:sz w:val="20"/>
          <w:szCs w:val="20"/>
        </w:rPr>
        <w:t>e.g.,</w:t>
      </w:r>
      <w:r>
        <w:rPr>
          <w:rFonts w:eastAsia="Arial" w:cs="Arial"/>
          <w:sz w:val="20"/>
          <w:szCs w:val="20"/>
        </w:rPr>
        <w:t xml:space="preserve"> 24-hour access) to interactive information about his or her holdings (</w:t>
      </w:r>
      <w:r>
        <w:rPr>
          <w:rFonts w:eastAsia="Arial" w:cs="Arial"/>
          <w:i/>
          <w:iCs/>
          <w:sz w:val="20"/>
          <w:szCs w:val="20"/>
        </w:rPr>
        <w:t>e.g.,</w:t>
      </w:r>
      <w:r>
        <w:rPr>
          <w:rFonts w:eastAsia="Arial" w:cs="Arial"/>
          <w:sz w:val="20"/>
          <w:szCs w:val="20"/>
        </w:rPr>
        <w:t xml:space="preserve"> performance information);</w:t>
      </w:r>
    </w:p>
    <w:p>
      <w:pPr>
        <w:numPr>
          <w:ilvl w:val="0"/>
          <w:numId w:val="260"/>
        </w:numPr>
        <w:ind w:left="720" w:hanging="192"/>
        <w:jc w:val="left"/>
        <w:rPr>
          <w:rFonts w:eastAsia="Arial" w:cs="Arial"/>
          <w:sz w:val="20"/>
          <w:szCs w:val="20"/>
        </w:rPr>
      </w:pPr>
      <w:r>
        <w:rPr>
          <w:rFonts w:eastAsia="Arial" w:cs="Arial"/>
          <w:sz w:val="20"/>
          <w:szCs w:val="20"/>
        </w:rPr>
        <w:t>offer tools or features that allow: clients to personalize his or her portfolio (</w:t>
      </w:r>
      <w:r>
        <w:rPr>
          <w:rFonts w:eastAsia="Arial" w:cs="Arial"/>
          <w:i/>
          <w:iCs/>
          <w:sz w:val="20"/>
          <w:szCs w:val="20"/>
        </w:rPr>
        <w:t>e.g.,</w:t>
      </w:r>
      <w:r>
        <w:rPr>
          <w:rFonts w:eastAsia="Arial" w:cs="Arial"/>
          <w:sz w:val="20"/>
          <w:szCs w:val="20"/>
        </w:rPr>
        <w:t xml:space="preserve"> change his or her portfolio allocation mix); adjust his or her risk profile; and turn on or off portfolio rebalancing;</w:t>
      </w:r>
    </w:p>
    <w:p>
      <w:pPr>
        <w:numPr>
          <w:ilvl w:val="0"/>
          <w:numId w:val="260"/>
        </w:numPr>
        <w:ind w:left="720" w:hanging="192"/>
        <w:jc w:val="left"/>
        <w:rPr>
          <w:rFonts w:eastAsia="Arial" w:cs="Arial"/>
          <w:sz w:val="20"/>
          <w:szCs w:val="20"/>
        </w:rPr>
      </w:pPr>
      <w:r>
        <w:rPr>
          <w:rFonts w:eastAsia="Arial" w:cs="Arial"/>
          <w:sz w:val="20"/>
          <w:szCs w:val="20"/>
        </w:rPr>
        <w:t xml:space="preserve">offer telephone, e-mail and/or chat features that allow clients to ask KCD questions about his or her account; </w:t>
      </w:r>
    </w:p>
    <w:p>
      <w:pPr>
        <w:numPr>
          <w:ilvl w:val="0"/>
          <w:numId w:val="260"/>
        </w:numPr>
        <w:ind w:left="720" w:hanging="192"/>
        <w:jc w:val="left"/>
        <w:rPr>
          <w:rFonts w:eastAsia="Arial" w:cs="Arial"/>
          <w:sz w:val="20"/>
          <w:szCs w:val="20"/>
        </w:rPr>
      </w:pPr>
      <w:r>
        <w:rPr>
          <w:rFonts w:eastAsia="Arial" w:cs="Arial"/>
          <w:sz w:val="20"/>
          <w:szCs w:val="20"/>
        </w:rPr>
        <w:t>make available client support to assist clients with requests and questions; and</w:t>
      </w:r>
    </w:p>
    <w:p>
      <w:pPr>
        <w:numPr>
          <w:ilvl w:val="0"/>
          <w:numId w:val="260"/>
        </w:numPr>
        <w:spacing w:after="200"/>
        <w:ind w:left="720" w:hanging="192"/>
        <w:jc w:val="left"/>
        <w:rPr>
          <w:rFonts w:eastAsia="Arial" w:cs="Arial"/>
          <w:sz w:val="20"/>
          <w:szCs w:val="20"/>
        </w:rPr>
      </w:pPr>
      <w:r>
        <w:rPr>
          <w:rFonts w:eastAsia="Arial" w:cs="Arial"/>
          <w:sz w:val="20"/>
          <w:szCs w:val="20"/>
        </w:rPr>
        <w:t>collect client data and client online behavior to better tailor the advisory services to each client.</w:t>
      </w:r>
    </w:p>
    <w:p>
      <w:bookmarkEnd w:id="262"/>
      <w:bookmarkStart w:id="263" w:name="Sec_Chp_061016102250093_061016102250734"/>
    </w:p>
    <w:p>
      <w:pPr>
        <w:pStyle w:val="Heading3"/>
      </w:pPr>
      <w:bookmarkStart w:id="264" w:name="_Toc256000077"/>
      <w:r>
        <w:t>5.3.8 ERISA</w:t>
      </w:r>
      <w:bookmarkEnd w:id="264"/>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determine under what circumstances KCD will be a "fiduciary" to a retirement plan, which would subject KCD to regulation under ERISA.</w:t>
      </w:r>
    </w:p>
    <w:p>
      <w:pPr>
        <w:pStyle w:val="normal0"/>
        <w:spacing w:before="200" w:after="200"/>
        <w:rPr>
          <w:rFonts w:eastAsia="Arial" w:cs="Arial"/>
          <w:sz w:val="20"/>
          <w:szCs w:val="20"/>
        </w:rPr>
      </w:pPr>
      <w:r>
        <w:rPr>
          <w:rFonts w:eastAsia="Arial" w:cs="Arial"/>
          <w:sz w:val="20"/>
          <w:szCs w:val="20"/>
        </w:rPr>
        <w:t>KCD potentially may become a "fiduciary" for ERISA purposes with respect to a client that is a retirement plan ("Plan") if:</w:t>
      </w:r>
    </w:p>
    <w:p>
      <w:pPr>
        <w:numPr>
          <w:ilvl w:val="0"/>
          <w:numId w:val="261"/>
        </w:numPr>
        <w:spacing w:before="200"/>
        <w:ind w:left="720" w:hanging="192"/>
        <w:jc w:val="left"/>
        <w:rPr>
          <w:rFonts w:eastAsia="Arial" w:cs="Arial"/>
          <w:sz w:val="20"/>
          <w:szCs w:val="20"/>
        </w:rPr>
      </w:pPr>
      <w:r>
        <w:rPr>
          <w:rFonts w:eastAsia="Arial" w:cs="Arial"/>
          <w:sz w:val="20"/>
          <w:szCs w:val="20"/>
        </w:rPr>
        <w:t xml:space="preserve">KCD directly manages or sub-advises the retirement plan; or </w:t>
      </w:r>
    </w:p>
    <w:p>
      <w:pPr>
        <w:numPr>
          <w:ilvl w:val="0"/>
          <w:numId w:val="261"/>
        </w:numPr>
        <w:spacing w:after="200"/>
        <w:ind w:left="720" w:hanging="192"/>
        <w:jc w:val="left"/>
        <w:rPr>
          <w:rFonts w:eastAsia="Arial" w:cs="Arial"/>
          <w:sz w:val="20"/>
          <w:szCs w:val="20"/>
        </w:rPr>
      </w:pPr>
      <w:r>
        <w:rPr>
          <w:rFonts w:eastAsia="Arial" w:cs="Arial"/>
          <w:sz w:val="20"/>
          <w:szCs w:val="20"/>
        </w:rPr>
        <w:t>KCD directly manages or sub-advises an investment vehicle (</w:t>
      </w:r>
      <w:r>
        <w:rPr>
          <w:rFonts w:eastAsia="Arial" w:cs="Arial"/>
          <w:i/>
          <w:iCs/>
          <w:sz w:val="20"/>
          <w:szCs w:val="20"/>
        </w:rPr>
        <w:t>e.g.,</w:t>
      </w:r>
      <w:r>
        <w:rPr>
          <w:rFonts w:eastAsia="Arial" w:cs="Arial"/>
          <w:sz w:val="20"/>
          <w:szCs w:val="20"/>
        </w:rPr>
        <w:t xml:space="preserve"> a hedge fund) in which the retirement plan invests.</w:t>
      </w:r>
    </w:p>
    <w:p>
      <w:pPr>
        <w:pStyle w:val="normal0"/>
        <w:spacing w:before="200" w:after="200"/>
        <w:rPr>
          <w:rFonts w:eastAsia="Arial" w:cs="Arial"/>
          <w:sz w:val="20"/>
          <w:szCs w:val="20"/>
        </w:rPr>
      </w:pPr>
      <w:r>
        <w:rPr>
          <w:rFonts w:eastAsia="Arial" w:cs="Arial"/>
          <w:sz w:val="20"/>
          <w:szCs w:val="20"/>
        </w:rPr>
        <w:t>If a client that is a Plan invests in the interests of any investment vehicle that is managed by KCD (</w:t>
      </w:r>
      <w:r>
        <w:rPr>
          <w:rFonts w:eastAsia="Arial" w:cs="Arial"/>
          <w:i/>
          <w:iCs/>
          <w:sz w:val="20"/>
          <w:szCs w:val="20"/>
        </w:rPr>
        <w:t>e.g.,</w:t>
      </w:r>
      <w:r>
        <w:rPr>
          <w:rFonts w:eastAsia="Arial" w:cs="Arial"/>
          <w:sz w:val="20"/>
          <w:szCs w:val="20"/>
        </w:rPr>
        <w:t xml:space="preserve"> a hedge fund), then that investment vehicle will be deemed to hold "Plan Assets," unless:</w:t>
      </w:r>
    </w:p>
    <w:p>
      <w:pPr>
        <w:numPr>
          <w:ilvl w:val="0"/>
          <w:numId w:val="262"/>
        </w:numPr>
        <w:spacing w:before="200"/>
        <w:ind w:left="720" w:hanging="192"/>
        <w:jc w:val="left"/>
        <w:rPr>
          <w:rFonts w:eastAsia="Arial" w:cs="Arial"/>
          <w:sz w:val="20"/>
          <w:szCs w:val="20"/>
        </w:rPr>
      </w:pPr>
      <w:r>
        <w:rPr>
          <w:rFonts w:eastAsia="Arial" w:cs="Arial"/>
          <w:sz w:val="20"/>
          <w:szCs w:val="20"/>
        </w:rPr>
        <w:t xml:space="preserve">the interest is a "publicly-offered security;" </w:t>
      </w:r>
    </w:p>
    <w:p>
      <w:pPr>
        <w:numPr>
          <w:ilvl w:val="0"/>
          <w:numId w:val="262"/>
        </w:numPr>
        <w:ind w:left="720" w:hanging="192"/>
        <w:jc w:val="left"/>
        <w:rPr>
          <w:rFonts w:eastAsia="Arial" w:cs="Arial"/>
          <w:sz w:val="20"/>
          <w:szCs w:val="20"/>
        </w:rPr>
      </w:pPr>
      <w:r>
        <w:rPr>
          <w:rFonts w:eastAsia="Arial" w:cs="Arial"/>
          <w:sz w:val="20"/>
          <w:szCs w:val="20"/>
        </w:rPr>
        <w:t xml:space="preserve">the interest was issued by an investment company registered under the Investment Company Act of 1940; </w:t>
      </w:r>
    </w:p>
    <w:p>
      <w:pPr>
        <w:numPr>
          <w:ilvl w:val="0"/>
          <w:numId w:val="262"/>
        </w:numPr>
        <w:ind w:left="720" w:hanging="192"/>
        <w:jc w:val="left"/>
        <w:rPr>
          <w:rFonts w:eastAsia="Arial" w:cs="Arial"/>
          <w:sz w:val="20"/>
          <w:szCs w:val="20"/>
        </w:rPr>
      </w:pPr>
      <w:r>
        <w:rPr>
          <w:rFonts w:eastAsia="Arial" w:cs="Arial"/>
          <w:sz w:val="20"/>
          <w:szCs w:val="20"/>
        </w:rPr>
        <w:t xml:space="preserve">the entity is an "operating company" (which includes a venture capital operating company and a real estate operating company); </w:t>
      </w:r>
    </w:p>
    <w:p>
      <w:pPr>
        <w:numPr>
          <w:ilvl w:val="0"/>
          <w:numId w:val="262"/>
        </w:numPr>
        <w:ind w:left="720" w:hanging="192"/>
        <w:jc w:val="left"/>
        <w:rPr>
          <w:rFonts w:eastAsia="Arial" w:cs="Arial"/>
          <w:sz w:val="20"/>
          <w:szCs w:val="20"/>
        </w:rPr>
      </w:pPr>
      <w:r>
        <w:rPr>
          <w:rFonts w:eastAsia="Arial" w:cs="Arial"/>
          <w:sz w:val="20"/>
          <w:szCs w:val="20"/>
        </w:rPr>
        <w:t>equity participation in the Plan investors is not "significant;" or</w:t>
      </w:r>
    </w:p>
    <w:p>
      <w:pPr>
        <w:numPr>
          <w:ilvl w:val="0"/>
          <w:numId w:val="262"/>
        </w:numPr>
        <w:spacing w:after="200"/>
        <w:ind w:left="720" w:hanging="192"/>
        <w:jc w:val="left"/>
        <w:rPr>
          <w:rFonts w:eastAsia="Arial" w:cs="Arial"/>
          <w:sz w:val="20"/>
          <w:szCs w:val="20"/>
        </w:rPr>
      </w:pPr>
      <w:r>
        <w:rPr>
          <w:rFonts w:eastAsia="Arial" w:cs="Arial"/>
          <w:sz w:val="20"/>
          <w:szCs w:val="20"/>
        </w:rPr>
        <w:t>the interest is a debt instrument.</w:t>
      </w:r>
    </w:p>
    <w:p>
      <w:bookmarkEnd w:id="263"/>
      <w:bookmarkStart w:id="265" w:name="Sec_Chp_061016102250093_061016102250750"/>
    </w:p>
    <w:p>
      <w:pPr>
        <w:pStyle w:val="Heading4"/>
      </w:pPr>
      <w:r>
        <w:t>5.3.8.1 ERISA Fiduciary Status</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The United States Department of Labor (the DOL) adopted Prohibited Transaction Exemption 2020-02, Improving Investment Advice for Workers &amp; Retirees (PTE 2020-02 or the Exemption), a prohibited transaction exemption under Title I of the Employee Retirement Income Security Act of 1974 (ERISA), as amended, and the Internal Revenue Code of 1986, as amended (the Code), that impacts registered investment advisers who provide fiduciary investment advice to "Retirement Investors," a term which includes participants in workplace retirement plans (Plans) and Plan beneficiaries, individual retirement account (IRA) beneficial owners, and Plan and IRA fiduciaries. PTE-2020-02 allows such Advisers to receive otherwise prohibited compensation, including commissions, 12b-1 fees, trailing fees, sales loads, revenue sharing payments, and mark ups and mark downs in certain principal transactions, in exchange for rendering fiduciary investment advice. </w:t>
            </w:r>
          </w:p>
        </w:tc>
      </w:tr>
    </w:tbl>
    <w:p>
      <w:pPr>
        <w:pStyle w:val="normal0"/>
        <w:spacing w:before="200" w:after="200"/>
        <w:rPr>
          <w:rFonts w:eastAsia="Arial" w:cs="Arial"/>
          <w:sz w:val="20"/>
          <w:szCs w:val="20"/>
        </w:rPr>
      </w:pPr>
      <w:r>
        <w:rPr>
          <w:rFonts w:eastAsia="Arial" w:cs="Arial"/>
          <w:sz w:val="20"/>
          <w:szCs w:val="20"/>
        </w:rPr>
        <w:t>KCD recognizes that by providing investment management services to retirement plans, participants and IRAs, it will be acting as a fiduciary with respect to its activities. Specifically, KCD in connection with advisory services to a retirement plan or IRA will be a fiduciary when rendering investment advice for a fee or other compensation, direct or indirect, with respect to any moneys or other property of such plan, or having any authority or responsibility to do so.</w:t>
      </w:r>
    </w:p>
    <w:p>
      <w:pPr>
        <w:pStyle w:val="normal0"/>
        <w:spacing w:before="200" w:after="200"/>
        <w:rPr>
          <w:rFonts w:eastAsia="Arial" w:cs="Arial"/>
          <w:sz w:val="20"/>
          <w:szCs w:val="20"/>
        </w:rPr>
      </w:pPr>
      <w:r>
        <w:rPr>
          <w:rFonts w:eastAsia="Arial" w:cs="Arial"/>
          <w:sz w:val="20"/>
          <w:szCs w:val="20"/>
        </w:rPr>
        <w:t>Recommendations made by KCD to plans are considered investment advice when:</w:t>
      </w:r>
    </w:p>
    <w:p>
      <w:pPr>
        <w:numPr>
          <w:ilvl w:val="0"/>
          <w:numId w:val="263"/>
        </w:numPr>
        <w:spacing w:before="200"/>
        <w:ind w:left="720" w:hanging="192"/>
        <w:jc w:val="left"/>
        <w:rPr>
          <w:rFonts w:eastAsia="Arial" w:cs="Arial"/>
          <w:sz w:val="20"/>
          <w:szCs w:val="20"/>
        </w:rPr>
      </w:pPr>
      <w:r>
        <w:rPr>
          <w:rFonts w:eastAsia="Arial" w:cs="Arial"/>
          <w:sz w:val="20"/>
          <w:szCs w:val="20"/>
        </w:rPr>
        <w:t>advice is rendered as to the value of securities or other property, or that pertain to the advisability of investing in, purchasing, or selling securities or other property;</w:t>
      </w:r>
    </w:p>
    <w:p>
      <w:pPr>
        <w:numPr>
          <w:ilvl w:val="0"/>
          <w:numId w:val="263"/>
        </w:numPr>
        <w:ind w:left="720" w:hanging="192"/>
        <w:jc w:val="left"/>
        <w:rPr>
          <w:rFonts w:eastAsia="Arial" w:cs="Arial"/>
          <w:sz w:val="20"/>
          <w:szCs w:val="20"/>
        </w:rPr>
      </w:pPr>
      <w:r>
        <w:rPr>
          <w:rFonts w:eastAsia="Arial" w:cs="Arial"/>
          <w:sz w:val="20"/>
          <w:szCs w:val="20"/>
        </w:rPr>
        <w:t>on a regular basis;</w:t>
      </w:r>
    </w:p>
    <w:p>
      <w:pPr>
        <w:numPr>
          <w:ilvl w:val="0"/>
          <w:numId w:val="263"/>
        </w:numPr>
        <w:ind w:left="720" w:hanging="192"/>
        <w:jc w:val="left"/>
        <w:rPr>
          <w:rFonts w:eastAsia="Arial" w:cs="Arial"/>
          <w:sz w:val="20"/>
          <w:szCs w:val="20"/>
        </w:rPr>
      </w:pPr>
      <w:r>
        <w:rPr>
          <w:rFonts w:eastAsia="Arial" w:cs="Arial"/>
          <w:sz w:val="20"/>
          <w:szCs w:val="20"/>
        </w:rPr>
        <w:t>pursuant to a mutual agreement, arrangement, or understanding with the plan, plan fiduciary, or IRA owner;</w:t>
      </w:r>
    </w:p>
    <w:p>
      <w:pPr>
        <w:numPr>
          <w:ilvl w:val="0"/>
          <w:numId w:val="263"/>
        </w:numPr>
        <w:ind w:left="720" w:hanging="192"/>
        <w:jc w:val="left"/>
        <w:rPr>
          <w:rFonts w:eastAsia="Arial" w:cs="Arial"/>
          <w:sz w:val="20"/>
          <w:szCs w:val="20"/>
        </w:rPr>
      </w:pPr>
      <w:r>
        <w:rPr>
          <w:rFonts w:eastAsia="Arial" w:cs="Arial"/>
          <w:sz w:val="20"/>
          <w:szCs w:val="20"/>
        </w:rPr>
        <w:t>the recommendation will serve as the primary basis for investment decisions with respect to plan or IRA assets; and</w:t>
      </w:r>
    </w:p>
    <w:p>
      <w:pPr>
        <w:numPr>
          <w:ilvl w:val="0"/>
          <w:numId w:val="263"/>
        </w:numPr>
        <w:spacing w:after="200"/>
        <w:ind w:left="720" w:hanging="192"/>
        <w:jc w:val="left"/>
        <w:rPr>
          <w:rFonts w:eastAsia="Arial" w:cs="Arial"/>
          <w:sz w:val="20"/>
          <w:szCs w:val="20"/>
        </w:rPr>
      </w:pPr>
      <w:r>
        <w:rPr>
          <w:rFonts w:eastAsia="Arial" w:cs="Arial"/>
          <w:sz w:val="20"/>
          <w:szCs w:val="20"/>
        </w:rPr>
        <w:t>the recommendation will be individualized based on the particular needs of the plan or IRA.</w:t>
      </w:r>
    </w:p>
    <w:p>
      <w:pPr>
        <w:pStyle w:val="normal0"/>
        <w:spacing w:before="200" w:after="200"/>
        <w:rPr>
          <w:rFonts w:eastAsia="Arial" w:cs="Arial"/>
          <w:sz w:val="20"/>
          <w:szCs w:val="20"/>
        </w:rPr>
      </w:pPr>
      <w:r>
        <w:rPr>
          <w:rFonts w:eastAsia="Arial" w:cs="Arial"/>
          <w:sz w:val="20"/>
          <w:szCs w:val="20"/>
        </w:rPr>
        <w:t>1. Prior to accepting a new client, KCD will verify whether the client is one of the following:</w:t>
      </w:r>
    </w:p>
    <w:p>
      <w:pPr>
        <w:numPr>
          <w:ilvl w:val="0"/>
          <w:numId w:val="264"/>
        </w:numPr>
        <w:spacing w:before="200"/>
        <w:ind w:left="720" w:hanging="192"/>
        <w:jc w:val="left"/>
        <w:rPr>
          <w:rFonts w:eastAsia="Arial" w:cs="Arial"/>
          <w:sz w:val="20"/>
          <w:szCs w:val="20"/>
        </w:rPr>
      </w:pPr>
      <w:r>
        <w:rPr>
          <w:rFonts w:eastAsia="Arial" w:cs="Arial"/>
          <w:sz w:val="20"/>
          <w:szCs w:val="20"/>
        </w:rPr>
        <w:t>Retirement plan</w:t>
      </w:r>
    </w:p>
    <w:p>
      <w:pPr>
        <w:numPr>
          <w:ilvl w:val="0"/>
          <w:numId w:val="264"/>
        </w:numPr>
        <w:ind w:left="720" w:hanging="192"/>
        <w:jc w:val="left"/>
        <w:rPr>
          <w:rFonts w:eastAsia="Arial" w:cs="Arial"/>
          <w:sz w:val="20"/>
          <w:szCs w:val="20"/>
        </w:rPr>
      </w:pPr>
      <w:r>
        <w:rPr>
          <w:rFonts w:eastAsia="Arial" w:cs="Arial"/>
          <w:sz w:val="20"/>
          <w:szCs w:val="20"/>
        </w:rPr>
        <w:t>Representative acting as a fiduciary for a retirement plan</w:t>
      </w:r>
    </w:p>
    <w:p>
      <w:pPr>
        <w:numPr>
          <w:ilvl w:val="0"/>
          <w:numId w:val="264"/>
        </w:numPr>
        <w:ind w:left="720" w:hanging="192"/>
        <w:jc w:val="left"/>
        <w:rPr>
          <w:rFonts w:eastAsia="Arial" w:cs="Arial"/>
          <w:sz w:val="20"/>
          <w:szCs w:val="20"/>
        </w:rPr>
      </w:pPr>
      <w:r>
        <w:rPr>
          <w:rFonts w:eastAsia="Arial" w:cs="Arial"/>
          <w:sz w:val="20"/>
          <w:szCs w:val="20"/>
        </w:rPr>
        <w:t>Retirement fiduciary plan participant</w:t>
      </w:r>
    </w:p>
    <w:p>
      <w:pPr>
        <w:numPr>
          <w:ilvl w:val="0"/>
          <w:numId w:val="264"/>
        </w:numPr>
        <w:ind w:left="720" w:hanging="192"/>
        <w:jc w:val="left"/>
        <w:rPr>
          <w:rFonts w:eastAsia="Arial" w:cs="Arial"/>
          <w:sz w:val="20"/>
          <w:szCs w:val="20"/>
        </w:rPr>
      </w:pPr>
      <w:r>
        <w:rPr>
          <w:rFonts w:eastAsia="Arial" w:cs="Arial"/>
          <w:sz w:val="20"/>
          <w:szCs w:val="20"/>
        </w:rPr>
        <w:t>Retirement plan beneficiary</w:t>
      </w:r>
    </w:p>
    <w:p>
      <w:pPr>
        <w:numPr>
          <w:ilvl w:val="0"/>
          <w:numId w:val="264"/>
        </w:numPr>
        <w:spacing w:after="200"/>
        <w:ind w:left="720" w:hanging="192"/>
        <w:jc w:val="left"/>
        <w:rPr>
          <w:rFonts w:eastAsia="Arial" w:cs="Arial"/>
          <w:sz w:val="20"/>
          <w:szCs w:val="20"/>
        </w:rPr>
      </w:pPr>
      <w:r>
        <w:rPr>
          <w:rFonts w:eastAsia="Arial" w:cs="Arial"/>
          <w:sz w:val="20"/>
          <w:szCs w:val="20"/>
        </w:rPr>
        <w:t>Individual retirement account (IRA) owner</w:t>
      </w:r>
    </w:p>
    <w:p>
      <w:pPr>
        <w:pStyle w:val="normal0"/>
        <w:spacing w:before="200" w:after="200"/>
        <w:rPr>
          <w:rFonts w:eastAsia="Arial" w:cs="Arial"/>
          <w:sz w:val="20"/>
          <w:szCs w:val="20"/>
        </w:rPr>
      </w:pPr>
      <w:r>
        <w:rPr>
          <w:rFonts w:eastAsia="Arial" w:cs="Arial"/>
          <w:sz w:val="20"/>
          <w:szCs w:val="20"/>
        </w:rPr>
        <w:t>2. If one of the above types of clients, KCD will provide investment advice to such client in the capacity of a fiduciary consistent with the fiduciary principles set forth in these procedures.</w:t>
      </w:r>
    </w:p>
    <w:p>
      <w:bookmarkEnd w:id="265"/>
      <w:bookmarkStart w:id="266" w:name="Sec_Chp_061016102250093_061016102250765"/>
    </w:p>
    <w:p>
      <w:pPr>
        <w:pStyle w:val="Heading4"/>
      </w:pPr>
      <w:r>
        <w:t>5.3.8.2 Providing Advice Under ERISA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is a fiduciary for purposes of ERISA, the [Chief Compliance Officer] prior to effecting trades for the ERISA account, will review the ERISA plan instrument, the plan's trust agreement, and KCD's agreement with respect to the plan to: </w:t>
      </w:r>
    </w:p>
    <w:p>
      <w:pPr>
        <w:numPr>
          <w:ilvl w:val="0"/>
          <w:numId w:val="265"/>
        </w:numPr>
        <w:spacing w:before="200"/>
        <w:ind w:left="720" w:hanging="192"/>
        <w:jc w:val="left"/>
        <w:rPr>
          <w:rFonts w:eastAsia="Arial" w:cs="Arial"/>
          <w:sz w:val="20"/>
          <w:szCs w:val="20"/>
        </w:rPr>
      </w:pPr>
      <w:r>
        <w:rPr>
          <w:rFonts w:eastAsia="Arial" w:cs="Arial"/>
          <w:sz w:val="20"/>
          <w:szCs w:val="20"/>
        </w:rPr>
        <w:t xml:space="preserve">Identify who is responsible for administering the plan and who has other responsibilities; </w:t>
      </w:r>
    </w:p>
    <w:p>
      <w:pPr>
        <w:numPr>
          <w:ilvl w:val="0"/>
          <w:numId w:val="265"/>
        </w:numPr>
        <w:ind w:left="720" w:hanging="192"/>
        <w:jc w:val="left"/>
        <w:rPr>
          <w:rFonts w:eastAsia="Arial" w:cs="Arial"/>
          <w:sz w:val="20"/>
          <w:szCs w:val="20"/>
        </w:rPr>
      </w:pPr>
      <w:r>
        <w:rPr>
          <w:rFonts w:eastAsia="Arial" w:cs="Arial"/>
          <w:sz w:val="20"/>
          <w:szCs w:val="20"/>
        </w:rPr>
        <w:t xml:space="preserve">Verify that KCD has been properly appointed to manage the plan's assets; and </w:t>
      </w:r>
    </w:p>
    <w:p>
      <w:pPr>
        <w:numPr>
          <w:ilvl w:val="0"/>
          <w:numId w:val="265"/>
        </w:numPr>
        <w:spacing w:after="200"/>
        <w:ind w:left="720" w:hanging="192"/>
        <w:jc w:val="left"/>
        <w:rPr>
          <w:rFonts w:eastAsia="Arial" w:cs="Arial"/>
          <w:sz w:val="20"/>
          <w:szCs w:val="20"/>
        </w:rPr>
      </w:pPr>
      <w:r>
        <w:rPr>
          <w:rFonts w:eastAsia="Arial" w:cs="Arial"/>
          <w:sz w:val="20"/>
          <w:szCs w:val="20"/>
        </w:rPr>
        <w:t xml:space="preserve">Identify all stated objectives and restrictions governing the plan account. </w:t>
      </w:r>
    </w:p>
    <w:p>
      <w:bookmarkEnd w:id="266"/>
      <w:bookmarkStart w:id="267" w:name="Sec_Chp_061016102250093_061016102250781"/>
    </w:p>
    <w:p>
      <w:pPr>
        <w:pStyle w:val="Heading4"/>
      </w:pPr>
      <w:r>
        <w:t>5.3.8.3 New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Consistent with the procedures in the </w:t>
      </w:r>
      <w:r>
        <w:rPr>
          <w:rFonts w:eastAsia="Arial" w:cs="Arial"/>
          <w:i/>
          <w:iCs/>
          <w:sz w:val="20"/>
          <w:szCs w:val="20"/>
        </w:rPr>
        <w:t>NEW CLIENTS</w:t>
      </w:r>
      <w:r>
        <w:rPr>
          <w:rFonts w:eastAsia="Arial" w:cs="Arial"/>
          <w:sz w:val="20"/>
          <w:szCs w:val="20"/>
        </w:rPr>
        <w:t xml:space="preserve"> chapter of this Manual, the Chief Compliance Officer will code each new investor as an ERISA Plan if it is a retirement plan subject to ERISA. </w:t>
      </w:r>
    </w:p>
    <w:p>
      <w:bookmarkEnd w:id="267"/>
      <w:bookmarkStart w:id="268" w:name="Sec_Chp_061016102250093_061016102250796"/>
    </w:p>
    <w:p>
      <w:pPr>
        <w:pStyle w:val="Heading4"/>
      </w:pPr>
      <w:r>
        <w:t>5.3.8.4 Fiduciary Principals</w:t>
      </w:r>
    </w:p>
    <w:p/>
    <w:p>
      <w:pPr>
        <w:rPr>
          <w:rFonts w:eastAsia="Arial" w:cs="Arial"/>
          <w:sz w:val="16"/>
          <w:szCs w:val="16"/>
        </w:rPr>
      </w:pPr>
      <w:r>
        <w:rPr>
          <w:rFonts w:eastAsia="Arial" w:cs="Arial"/>
          <w:sz w:val="16"/>
          <w:szCs w:val="16"/>
        </w:rPr>
        <w:t>[ERISA (Department of Labor) Rule 404a-1]</w:t>
      </w:r>
    </w:p>
    <w:p/>
    <w:p>
      <w:pPr>
        <w:pStyle w:val="normal0"/>
        <w:spacing w:after="200"/>
        <w:rPr>
          <w:rFonts w:eastAsia="Arial" w:cs="Arial"/>
          <w:sz w:val="20"/>
          <w:szCs w:val="20"/>
        </w:rPr>
      </w:pPr>
      <w:r>
        <w:rPr>
          <w:rFonts w:eastAsia="Arial" w:cs="Arial"/>
          <w:sz w:val="20"/>
          <w:szCs w:val="20"/>
        </w:rPr>
        <w:t>If KCD is a fiduciary for purposes of ERISA as determined above, it will be subject to the fiduciary responsibility provisions of Title I of ERISA and, accordingly, will:</w:t>
      </w:r>
    </w:p>
    <w:p>
      <w:pPr>
        <w:numPr>
          <w:ilvl w:val="0"/>
          <w:numId w:val="266"/>
        </w:numPr>
        <w:spacing w:before="200"/>
        <w:ind w:left="720" w:hanging="192"/>
        <w:jc w:val="left"/>
        <w:rPr>
          <w:rFonts w:eastAsia="Arial" w:cs="Arial"/>
          <w:sz w:val="20"/>
          <w:szCs w:val="20"/>
        </w:rPr>
      </w:pPr>
      <w:r>
        <w:rPr>
          <w:rFonts w:eastAsia="Arial" w:cs="Arial"/>
          <w:sz w:val="20"/>
          <w:szCs w:val="20"/>
        </w:rPr>
        <w:t xml:space="preserve">Act solely in the interest of, and for the exclusive benefit of the plan client and plan client assets; </w:t>
      </w:r>
    </w:p>
    <w:p>
      <w:pPr>
        <w:numPr>
          <w:ilvl w:val="0"/>
          <w:numId w:val="266"/>
        </w:numPr>
        <w:ind w:left="720" w:hanging="192"/>
        <w:jc w:val="left"/>
        <w:rPr>
          <w:rFonts w:eastAsia="Arial" w:cs="Arial"/>
          <w:sz w:val="20"/>
          <w:szCs w:val="20"/>
        </w:rPr>
      </w:pPr>
      <w:r>
        <w:rPr>
          <w:rFonts w:eastAsia="Arial" w:cs="Arial"/>
          <w:sz w:val="20"/>
          <w:szCs w:val="20"/>
        </w:rPr>
        <w:t xml:space="preserve">Perform all duties with the level of care, skill, and diligence that a prudent expert must use when conducting similar business. To act prudently, KCD will (i) consider all available alternatives; (ii) evaluate all the facts on each investment and investment strategy; (iii) consider how the investment fits into the overall goals of each plan client; and (iv) obtain the best value for all services supplied to the plan client; </w:t>
      </w:r>
    </w:p>
    <w:p>
      <w:pPr>
        <w:numPr>
          <w:ilvl w:val="0"/>
          <w:numId w:val="266"/>
        </w:numPr>
        <w:ind w:left="720" w:hanging="192"/>
        <w:jc w:val="left"/>
        <w:rPr>
          <w:rFonts w:eastAsia="Arial" w:cs="Arial"/>
          <w:sz w:val="20"/>
          <w:szCs w:val="20"/>
        </w:rPr>
      </w:pPr>
      <w:r>
        <w:rPr>
          <w:rFonts w:eastAsia="Arial" w:cs="Arial"/>
          <w:sz w:val="20"/>
          <w:szCs w:val="20"/>
        </w:rPr>
        <w:t xml:space="preserve">Ensure that assets of each plan client are sufficiently diversified; and </w:t>
      </w:r>
    </w:p>
    <w:p>
      <w:pPr>
        <w:numPr>
          <w:ilvl w:val="0"/>
          <w:numId w:val="266"/>
        </w:numPr>
        <w:spacing w:after="200"/>
        <w:ind w:left="720" w:hanging="192"/>
        <w:jc w:val="left"/>
        <w:rPr>
          <w:rFonts w:eastAsia="Arial" w:cs="Arial"/>
          <w:sz w:val="20"/>
          <w:szCs w:val="20"/>
        </w:rPr>
      </w:pPr>
      <w:r>
        <w:rPr>
          <w:rFonts w:eastAsia="Arial" w:cs="Arial"/>
          <w:sz w:val="20"/>
          <w:szCs w:val="20"/>
        </w:rPr>
        <w:t>Act in accordance with the applicable plan documents.</w:t>
      </w:r>
    </w:p>
    <w:p>
      <w:pPr>
        <w:pStyle w:val="normal0"/>
        <w:spacing w:before="200" w:after="200"/>
        <w:rPr>
          <w:rFonts w:eastAsia="Arial" w:cs="Arial"/>
          <w:sz w:val="20"/>
          <w:szCs w:val="20"/>
        </w:rPr>
      </w:pPr>
      <w:r>
        <w:rPr>
          <w:rFonts w:eastAsia="Arial" w:cs="Arial"/>
          <w:sz w:val="20"/>
          <w:szCs w:val="20"/>
        </w:rPr>
        <w:t>To meet these standards, KCD with respect to an account subject to ERISA will comply with ERISA Rule 404a-1.</w:t>
      </w:r>
    </w:p>
    <w:p>
      <w:pPr>
        <w:pStyle w:val="normal0"/>
        <w:spacing w:before="200" w:after="200"/>
        <w:rPr>
          <w:rFonts w:eastAsia="Arial" w:cs="Arial"/>
          <w:sz w:val="20"/>
          <w:szCs w:val="20"/>
        </w:rPr>
      </w:pPr>
      <w:r>
        <w:rPr>
          <w:rFonts w:eastAsia="Arial" w:cs="Arial"/>
          <w:sz w:val="20"/>
          <w:szCs w:val="20"/>
        </w:rPr>
        <w:t>With regard to the consideration of an investment or investment course of action taken by KCD with respect to an employee benefit plan pursuant to KCD's fiduciary investment duties, KCD:</w:t>
      </w:r>
    </w:p>
    <w:p>
      <w:pPr>
        <w:numPr>
          <w:ilvl w:val="0"/>
          <w:numId w:val="267"/>
        </w:numPr>
        <w:spacing w:before="200"/>
        <w:ind w:left="720" w:hanging="192"/>
        <w:jc w:val="left"/>
        <w:rPr>
          <w:rFonts w:eastAsia="Arial" w:cs="Arial"/>
          <w:sz w:val="20"/>
          <w:szCs w:val="20"/>
        </w:rPr>
      </w:pPr>
      <w:r>
        <w:rPr>
          <w:rFonts w:eastAsia="Arial" w:cs="Arial"/>
          <w:sz w:val="20"/>
          <w:szCs w:val="20"/>
        </w:rPr>
        <w:t xml:space="preserve">shall give </w:t>
      </w:r>
      <w:r>
        <w:rPr>
          <w:rFonts w:eastAsia="Arial" w:cs="Arial"/>
          <w:i/>
          <w:iCs/>
          <w:sz w:val="20"/>
          <w:szCs w:val="20"/>
        </w:rPr>
        <w:t>appropriate consideration</w:t>
      </w:r>
      <w:r>
        <w:rPr>
          <w:rFonts w:eastAsia="Arial" w:cs="Arial"/>
          <w:sz w:val="20"/>
          <w:szCs w:val="20"/>
        </w:rPr>
        <w:t xml:space="preserve"> to those facts and circumstances that, given the scope of such fiduciary's investment duties, KCD knows or should know are relevant to the particular investment or investment course of action involved, including the role the investment or investment course of action plays in that portion of the plan's investment portfolio or menu with respect to which KCD has investment duties; and</w:t>
      </w:r>
    </w:p>
    <w:p>
      <w:pPr>
        <w:numPr>
          <w:ilvl w:val="0"/>
          <w:numId w:val="267"/>
        </w:numPr>
        <w:spacing w:after="200"/>
        <w:ind w:left="720" w:hanging="192"/>
        <w:jc w:val="left"/>
        <w:rPr>
          <w:rFonts w:eastAsia="Arial" w:cs="Arial"/>
          <w:sz w:val="20"/>
          <w:szCs w:val="20"/>
        </w:rPr>
      </w:pPr>
      <w:r>
        <w:rPr>
          <w:rFonts w:eastAsia="Arial" w:cs="Arial"/>
          <w:sz w:val="20"/>
          <w:szCs w:val="20"/>
        </w:rPr>
        <w:t>act accordingly.</w:t>
      </w:r>
    </w:p>
    <w:p>
      <w:pPr>
        <w:pStyle w:val="normal0"/>
        <w:spacing w:before="200" w:after="200"/>
        <w:rPr>
          <w:rFonts w:eastAsia="Arial" w:cs="Arial"/>
          <w:sz w:val="20"/>
          <w:szCs w:val="20"/>
        </w:rPr>
      </w:pPr>
      <w:r>
        <w:rPr>
          <w:rFonts w:eastAsia="Arial" w:cs="Arial"/>
          <w:sz w:val="20"/>
          <w:szCs w:val="20"/>
        </w:rPr>
        <w:t>In giving appropriate consideration, KCD shall, among other things:</w:t>
      </w:r>
    </w:p>
    <w:p>
      <w:pPr>
        <w:numPr>
          <w:ilvl w:val="0"/>
          <w:numId w:val="268"/>
        </w:numPr>
        <w:spacing w:before="200"/>
        <w:ind w:left="720" w:hanging="192"/>
        <w:jc w:val="left"/>
        <w:rPr>
          <w:rFonts w:eastAsia="Arial" w:cs="Arial"/>
          <w:sz w:val="20"/>
          <w:szCs w:val="20"/>
        </w:rPr>
      </w:pPr>
      <w:r>
        <w:rPr>
          <w:rFonts w:eastAsia="Arial" w:cs="Arial"/>
          <w:sz w:val="20"/>
          <w:szCs w:val="20"/>
        </w:rPr>
        <w:t>determine that the particular investment or investment course of action is reasonably designed, as part of the portfolio (or, where applicable, that portion of the plan portfolio with respect to which KCD has investment duties) or menu, to further the purposes of the plan, taking into consideration the risk of loss and the opportunity for gain (or other return) associated with the investment or investment course of action compared to the opportunity for gain (or other return) associated with reasonably available alternatives with similar risks; and</w:t>
      </w:r>
    </w:p>
    <w:p>
      <w:pPr>
        <w:numPr>
          <w:ilvl w:val="0"/>
          <w:numId w:val="268"/>
        </w:numPr>
        <w:ind w:left="720" w:hanging="192"/>
        <w:jc w:val="left"/>
        <w:rPr>
          <w:rFonts w:eastAsia="Arial" w:cs="Arial"/>
          <w:sz w:val="20"/>
          <w:szCs w:val="20"/>
        </w:rPr>
      </w:pPr>
      <w:r>
        <w:rPr>
          <w:rFonts w:eastAsia="Arial" w:cs="Arial"/>
          <w:sz w:val="20"/>
          <w:szCs w:val="20"/>
        </w:rPr>
        <w:t>in the case of employee benefit plans other than participant-directed individual account plans, consider the following factors as they relate to such portion of the portfolio:</w:t>
      </w:r>
    </w:p>
    <w:p>
      <w:pPr>
        <w:numPr>
          <w:ilvl w:val="1"/>
          <w:numId w:val="268"/>
        </w:numPr>
        <w:ind w:left="1440" w:hanging="220"/>
        <w:jc w:val="left"/>
        <w:rPr>
          <w:rFonts w:eastAsia="Arial" w:cs="Arial"/>
          <w:sz w:val="20"/>
          <w:szCs w:val="20"/>
        </w:rPr>
      </w:pPr>
      <w:r>
        <w:rPr>
          <w:rFonts w:eastAsia="Arial" w:cs="Arial"/>
          <w:sz w:val="20"/>
          <w:szCs w:val="20"/>
        </w:rPr>
        <w:t>The composition of the portfolio with regard to diversification;</w:t>
      </w:r>
    </w:p>
    <w:p>
      <w:pPr>
        <w:numPr>
          <w:ilvl w:val="1"/>
          <w:numId w:val="268"/>
        </w:numPr>
        <w:ind w:left="1440" w:hanging="220"/>
        <w:jc w:val="left"/>
        <w:rPr>
          <w:rFonts w:eastAsia="Arial" w:cs="Arial"/>
          <w:sz w:val="20"/>
          <w:szCs w:val="20"/>
        </w:rPr>
      </w:pPr>
      <w:r>
        <w:rPr>
          <w:rFonts w:eastAsia="Arial" w:cs="Arial"/>
          <w:sz w:val="20"/>
          <w:szCs w:val="20"/>
        </w:rPr>
        <w:t>The liquidity and current return of the portfolio relative to the anticipated cash flow requirements of the plan; and</w:t>
      </w:r>
    </w:p>
    <w:p>
      <w:pPr>
        <w:numPr>
          <w:ilvl w:val="1"/>
          <w:numId w:val="268"/>
        </w:numPr>
        <w:spacing w:after="200"/>
        <w:ind w:left="1440" w:hanging="220"/>
        <w:jc w:val="left"/>
        <w:rPr>
          <w:rFonts w:eastAsia="Arial" w:cs="Arial"/>
          <w:sz w:val="20"/>
          <w:szCs w:val="20"/>
        </w:rPr>
      </w:pPr>
      <w:r>
        <w:rPr>
          <w:rFonts w:eastAsia="Arial" w:cs="Arial"/>
          <w:sz w:val="20"/>
          <w:szCs w:val="20"/>
        </w:rPr>
        <w:t>The projected return of the portfolio relative to the funding objectives of the plan.</w:t>
      </w:r>
    </w:p>
    <w:p>
      <w:pPr>
        <w:pStyle w:val="normal0"/>
        <w:spacing w:before="200" w:after="200"/>
        <w:rPr>
          <w:rFonts w:eastAsia="Arial" w:cs="Arial"/>
          <w:sz w:val="20"/>
          <w:szCs w:val="20"/>
        </w:rPr>
      </w:pPr>
      <w:r>
        <w:rPr>
          <w:rFonts w:eastAsia="Arial" w:cs="Arial"/>
          <w:sz w:val="20"/>
          <w:szCs w:val="20"/>
        </w:rPr>
        <w:t>KCD's determination with respect to an investment or investment course of action will be based on factors that KCD as a fiduciary reasonably determines are relevant to a risk and return analysis, using appropriate investment horizons consistent with the plan's investment objectives and taking into account the funding policy of the plan established pursuant to section 402(b)(1) of ERISA. Risk and return factors may include the economic effects of climate change and other environmental, social, or governance factors on the particular investment or investment course of action. Whether any particular consideration is a risk-return factor depends on the individual facts and circumstances. The weight given to any factor by KCD should appropriately reflect a reasonable assessment of its impact on risk-return.</w:t>
      </w:r>
    </w:p>
    <w:p>
      <w:bookmarkEnd w:id="268"/>
      <w:bookmarkStart w:id="269" w:name="Sec_Chp_061016102250093_061016102250812"/>
    </w:p>
    <w:p>
      <w:pPr>
        <w:pStyle w:val="Heading4"/>
      </w:pPr>
      <w:r>
        <w:t>5.3.8.5 Plan Documents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With respect to each plan client, KCD will review, familiarize itself with, and follow the specific guidelines, limitations and restrictions under which the plan operates. KCD shall invest plan client assets only if such investment is permitted by, and consistent with, the plan documents that govern the plan client. </w:t>
      </w:r>
    </w:p>
    <w:p>
      <w:bookmarkEnd w:id="269"/>
      <w:bookmarkStart w:id="270" w:name="Sec_Chp_061016102250093_061016102250828"/>
    </w:p>
    <w:p>
      <w:pPr>
        <w:pStyle w:val="Heading4"/>
      </w:pPr>
      <w:r>
        <w:t>5.3.8.6 Investments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 each plan client, KCD will be a fiduciary and the investments made by KCD on behalf of such client will be subject to general fiduciary principles.</w:t>
      </w:r>
    </w:p>
    <w:p>
      <w:bookmarkEnd w:id="270"/>
      <w:bookmarkStart w:id="271" w:name="Sec_Chp_061016102250093_061016102250843"/>
    </w:p>
    <w:p>
      <w:pPr>
        <w:pStyle w:val="Heading4"/>
      </w:pPr>
      <w:r>
        <w:t>5.3.8.7 Prohibited Transactions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with respect to Plan clients, will not engage in any prohibited transactions unless an exemption is available. The two categories of prohibited transactions are: (1) transactions with "parties-in-interests;" and (2) transactions with fiduciaries.</w:t>
      </w: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Pr>
      <w:tblGrid>
        <w:gridCol w:w="9920"/>
      </w:tblGrid>
      <w:tr>
        <w:tblPrEx>
          <w:tblW w:w="5000" w:type="pct"/>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 fiduciary of a plan may not cause the plan to engage in a transaction if the fiduciary knows or should know the transaction constitutes a direct or indirect prohibited transaction under ERISA. A fiduciary that engages in a prohibited transaction is subject to an excise tax of 15% per year of the amount involved until the transaction is undone. If the transaction has not been undone within 90 days of the imposition of the 15% excise tax, the excise tax increases to 100% of the amount involved.</w:t>
            </w:r>
          </w:p>
        </w:tc>
      </w:tr>
    </w:tbl>
    <w:p>
      <w:pPr>
        <w:pStyle w:val="normal0"/>
        <w:spacing w:before="200" w:after="200"/>
        <w:rPr>
          <w:rFonts w:eastAsia="Arial" w:cs="Arial"/>
          <w:sz w:val="20"/>
          <w:szCs w:val="20"/>
        </w:rPr>
      </w:pPr>
      <w:r>
        <w:rPr>
          <w:rFonts w:eastAsia="Arial" w:cs="Arial"/>
          <w:sz w:val="20"/>
          <w:szCs w:val="20"/>
        </w:rPr>
        <w:t>KCD will not use its authority, control and responsibility to cause a Plan client to:</w:t>
      </w:r>
    </w:p>
    <w:p>
      <w:pPr>
        <w:numPr>
          <w:ilvl w:val="0"/>
          <w:numId w:val="269"/>
        </w:numPr>
        <w:spacing w:before="200"/>
        <w:ind w:left="720" w:hanging="192"/>
        <w:jc w:val="left"/>
        <w:rPr>
          <w:rFonts w:eastAsia="Arial" w:cs="Arial"/>
          <w:sz w:val="20"/>
          <w:szCs w:val="20"/>
        </w:rPr>
      </w:pPr>
      <w:r>
        <w:rPr>
          <w:rFonts w:eastAsia="Arial" w:cs="Arial"/>
          <w:sz w:val="20"/>
          <w:szCs w:val="20"/>
        </w:rPr>
        <w:t xml:space="preserve">pay an additional fee to itself or an affiliate to provide a service; and </w:t>
      </w:r>
    </w:p>
    <w:p>
      <w:pPr>
        <w:numPr>
          <w:ilvl w:val="0"/>
          <w:numId w:val="269"/>
        </w:numPr>
        <w:spacing w:after="200"/>
        <w:ind w:left="720" w:hanging="192"/>
        <w:jc w:val="left"/>
        <w:rPr>
          <w:rFonts w:eastAsia="Arial" w:cs="Arial"/>
          <w:sz w:val="20"/>
          <w:szCs w:val="20"/>
        </w:rPr>
      </w:pPr>
      <w:r>
        <w:rPr>
          <w:rFonts w:eastAsia="Arial" w:cs="Arial"/>
          <w:sz w:val="20"/>
          <w:szCs w:val="20"/>
        </w:rPr>
        <w:t xml:space="preserve">enter into a transaction involving Plan client assets whereby KCD or an affiliate will receive compensation from a third party in connection with such transaction. </w:t>
      </w:r>
    </w:p>
    <w:p>
      <w:bookmarkEnd w:id="271"/>
      <w:bookmarkStart w:id="272" w:name="Sec_Chp_061016102250093_061016102250859"/>
    </w:p>
    <w:p>
      <w:pPr>
        <w:pStyle w:val="Heading5"/>
      </w:pPr>
      <w:r>
        <w:t>5.3.8.7.1 Transactions with Parties-In-Interests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will be deemed "parties-in-interests" with respect to each Plan client:</w:t>
      </w:r>
    </w:p>
    <w:p>
      <w:pPr>
        <w:numPr>
          <w:ilvl w:val="0"/>
          <w:numId w:val="270"/>
        </w:numPr>
        <w:spacing w:before="200"/>
        <w:ind w:left="720" w:hanging="192"/>
        <w:jc w:val="left"/>
        <w:rPr>
          <w:rFonts w:eastAsia="Arial" w:cs="Arial"/>
          <w:sz w:val="20"/>
          <w:szCs w:val="20"/>
        </w:rPr>
      </w:pPr>
      <w:r>
        <w:rPr>
          <w:rFonts w:eastAsia="Arial" w:cs="Arial"/>
          <w:sz w:val="20"/>
          <w:szCs w:val="20"/>
        </w:rPr>
        <w:t xml:space="preserve">KCD; </w:t>
      </w:r>
    </w:p>
    <w:p>
      <w:pPr>
        <w:numPr>
          <w:ilvl w:val="0"/>
          <w:numId w:val="270"/>
        </w:numPr>
        <w:ind w:left="720" w:hanging="192"/>
        <w:jc w:val="left"/>
        <w:rPr>
          <w:rFonts w:eastAsia="Arial" w:cs="Arial"/>
          <w:sz w:val="20"/>
          <w:szCs w:val="20"/>
        </w:rPr>
      </w:pPr>
      <w:r>
        <w:rPr>
          <w:rFonts w:eastAsia="Arial" w:cs="Arial"/>
          <w:sz w:val="20"/>
          <w:szCs w:val="20"/>
        </w:rPr>
        <w:t xml:space="preserve">Fiduciary, counsel or employee of the Plan; </w:t>
      </w:r>
    </w:p>
    <w:p>
      <w:pPr>
        <w:numPr>
          <w:ilvl w:val="0"/>
          <w:numId w:val="270"/>
        </w:numPr>
        <w:ind w:left="720" w:hanging="192"/>
        <w:jc w:val="left"/>
        <w:rPr>
          <w:rFonts w:eastAsia="Arial" w:cs="Arial"/>
          <w:sz w:val="20"/>
          <w:szCs w:val="20"/>
        </w:rPr>
      </w:pPr>
      <w:r>
        <w:rPr>
          <w:rFonts w:eastAsia="Arial" w:cs="Arial"/>
          <w:sz w:val="20"/>
          <w:szCs w:val="20"/>
        </w:rPr>
        <w:t>Person providing services to the Plan;</w:t>
      </w:r>
    </w:p>
    <w:p>
      <w:pPr>
        <w:numPr>
          <w:ilvl w:val="0"/>
          <w:numId w:val="270"/>
        </w:numPr>
        <w:ind w:left="720" w:hanging="192"/>
        <w:jc w:val="left"/>
        <w:rPr>
          <w:rFonts w:eastAsia="Arial" w:cs="Arial"/>
          <w:sz w:val="20"/>
          <w:szCs w:val="20"/>
        </w:rPr>
      </w:pPr>
      <w:r>
        <w:rPr>
          <w:rFonts w:eastAsia="Arial" w:cs="Arial"/>
          <w:sz w:val="20"/>
          <w:szCs w:val="20"/>
        </w:rPr>
        <w:t xml:space="preserve">Employers of participants investing in Plans that retain KCD; </w:t>
      </w:r>
    </w:p>
    <w:p>
      <w:pPr>
        <w:numPr>
          <w:ilvl w:val="0"/>
          <w:numId w:val="270"/>
        </w:numPr>
        <w:ind w:left="720" w:hanging="192"/>
        <w:jc w:val="left"/>
        <w:rPr>
          <w:rFonts w:eastAsia="Arial" w:cs="Arial"/>
          <w:sz w:val="20"/>
          <w:szCs w:val="20"/>
        </w:rPr>
      </w:pPr>
      <w:r>
        <w:rPr>
          <w:rFonts w:eastAsia="Arial" w:cs="Arial"/>
          <w:sz w:val="20"/>
          <w:szCs w:val="20"/>
        </w:rPr>
        <w:t xml:space="preserve">Trustee(s) of each Plan that retain KCD; </w:t>
      </w:r>
    </w:p>
    <w:p>
      <w:pPr>
        <w:numPr>
          <w:ilvl w:val="0"/>
          <w:numId w:val="270"/>
        </w:numPr>
        <w:ind w:left="720" w:hanging="192"/>
        <w:jc w:val="left"/>
        <w:rPr>
          <w:rFonts w:eastAsia="Arial" w:cs="Arial"/>
          <w:sz w:val="20"/>
          <w:szCs w:val="20"/>
        </w:rPr>
      </w:pPr>
      <w:r>
        <w:rPr>
          <w:rFonts w:eastAsia="Arial" w:cs="Arial"/>
          <w:sz w:val="20"/>
          <w:szCs w:val="20"/>
        </w:rPr>
        <w:t xml:space="preserve">Custodian of the Plan assets; </w:t>
      </w:r>
    </w:p>
    <w:p>
      <w:pPr>
        <w:numPr>
          <w:ilvl w:val="0"/>
          <w:numId w:val="270"/>
        </w:numPr>
        <w:ind w:left="720" w:hanging="192"/>
        <w:jc w:val="left"/>
        <w:rPr>
          <w:rFonts w:eastAsia="Arial" w:cs="Arial"/>
          <w:sz w:val="20"/>
          <w:szCs w:val="20"/>
        </w:rPr>
      </w:pPr>
      <w:r>
        <w:rPr>
          <w:rFonts w:eastAsia="Arial" w:cs="Arial"/>
          <w:sz w:val="20"/>
          <w:szCs w:val="20"/>
        </w:rPr>
        <w:t xml:space="preserve">Certain other service providers to the Plans; </w:t>
      </w:r>
    </w:p>
    <w:p>
      <w:pPr>
        <w:numPr>
          <w:ilvl w:val="0"/>
          <w:numId w:val="270"/>
        </w:numPr>
        <w:ind w:left="720" w:hanging="192"/>
        <w:jc w:val="left"/>
        <w:rPr>
          <w:rFonts w:eastAsia="Arial" w:cs="Arial"/>
          <w:sz w:val="20"/>
          <w:szCs w:val="20"/>
        </w:rPr>
      </w:pPr>
      <w:r>
        <w:rPr>
          <w:rFonts w:eastAsia="Arial" w:cs="Arial"/>
          <w:sz w:val="20"/>
          <w:szCs w:val="20"/>
        </w:rPr>
        <w:t>Employee organization (</w:t>
      </w:r>
      <w:r>
        <w:rPr>
          <w:rFonts w:eastAsia="Arial" w:cs="Arial"/>
          <w:i/>
          <w:iCs/>
          <w:sz w:val="20"/>
          <w:szCs w:val="20"/>
        </w:rPr>
        <w:t>e.g.,</w:t>
      </w:r>
      <w:r>
        <w:rPr>
          <w:rFonts w:eastAsia="Arial" w:cs="Arial"/>
          <w:sz w:val="20"/>
          <w:szCs w:val="20"/>
        </w:rPr>
        <w:t xml:space="preserve"> union) whose members are covered by the Plan; </w:t>
      </w:r>
    </w:p>
    <w:p>
      <w:pPr>
        <w:numPr>
          <w:ilvl w:val="0"/>
          <w:numId w:val="270"/>
        </w:numPr>
        <w:ind w:left="720" w:hanging="192"/>
        <w:jc w:val="left"/>
        <w:rPr>
          <w:rFonts w:eastAsia="Arial" w:cs="Arial"/>
          <w:sz w:val="20"/>
          <w:szCs w:val="20"/>
        </w:rPr>
      </w:pPr>
      <w:r>
        <w:rPr>
          <w:rFonts w:eastAsia="Arial" w:cs="Arial"/>
          <w:sz w:val="20"/>
          <w:szCs w:val="20"/>
        </w:rPr>
        <w:t xml:space="preserve">Spouse, ancestor, lineal descendant or spouse of a lineal descendant of any such persons listed herein; </w:t>
      </w:r>
    </w:p>
    <w:p>
      <w:pPr>
        <w:numPr>
          <w:ilvl w:val="0"/>
          <w:numId w:val="270"/>
        </w:numPr>
        <w:ind w:left="720" w:hanging="192"/>
        <w:jc w:val="left"/>
        <w:rPr>
          <w:rFonts w:eastAsia="Arial" w:cs="Arial"/>
          <w:sz w:val="20"/>
          <w:szCs w:val="20"/>
        </w:rPr>
      </w:pPr>
      <w:r>
        <w:rPr>
          <w:rFonts w:eastAsia="Arial" w:cs="Arial"/>
          <w:sz w:val="20"/>
          <w:szCs w:val="20"/>
        </w:rPr>
        <w:t>Corporation, partnership, trust or estate, 50% or more of which is owned directly or indirectly by such persons listed herein;</w:t>
      </w:r>
    </w:p>
    <w:p>
      <w:pPr>
        <w:numPr>
          <w:ilvl w:val="0"/>
          <w:numId w:val="270"/>
        </w:numPr>
        <w:ind w:left="720" w:hanging="192"/>
        <w:jc w:val="left"/>
        <w:rPr>
          <w:rFonts w:eastAsia="Arial" w:cs="Arial"/>
          <w:sz w:val="20"/>
          <w:szCs w:val="20"/>
        </w:rPr>
      </w:pPr>
      <w:r>
        <w:rPr>
          <w:rFonts w:eastAsia="Arial" w:cs="Arial"/>
          <w:sz w:val="20"/>
          <w:szCs w:val="20"/>
        </w:rPr>
        <w:t xml:space="preserve">Employee, officer, director or a 10% or more shareholder of a person described above; or </w:t>
      </w:r>
    </w:p>
    <w:p>
      <w:pPr>
        <w:numPr>
          <w:ilvl w:val="0"/>
          <w:numId w:val="270"/>
        </w:numPr>
        <w:spacing w:after="200"/>
        <w:ind w:left="720" w:hanging="192"/>
        <w:jc w:val="left"/>
        <w:rPr>
          <w:rFonts w:eastAsia="Arial" w:cs="Arial"/>
          <w:sz w:val="20"/>
          <w:szCs w:val="20"/>
        </w:rPr>
      </w:pPr>
      <w:r>
        <w:rPr>
          <w:rFonts w:eastAsia="Arial" w:cs="Arial"/>
          <w:sz w:val="20"/>
          <w:szCs w:val="20"/>
        </w:rPr>
        <w:t>10% or more partner of a person described above (with the exception of Employee, officer, director or a 10% or more shareholder of a person described above).</w:t>
      </w:r>
    </w:p>
    <w:p>
      <w:bookmarkEnd w:id="272"/>
      <w:bookmarkStart w:id="273" w:name="Sec_Chp_061016102250093_061016102250875"/>
    </w:p>
    <w:p>
      <w:pPr>
        <w:pStyle w:val="Heading5"/>
      </w:pPr>
      <w:r>
        <w:t>5.3.8.7.2 Prohibited Party-In-Interest Transactions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engage in any of the following transactions between or on behalf of an ERISA client with a party-in-interest:</w:t>
      </w:r>
    </w:p>
    <w:p>
      <w:pPr>
        <w:numPr>
          <w:ilvl w:val="0"/>
          <w:numId w:val="271"/>
        </w:numPr>
        <w:spacing w:before="200"/>
        <w:ind w:left="720" w:hanging="192"/>
        <w:jc w:val="left"/>
        <w:rPr>
          <w:rFonts w:eastAsia="Arial" w:cs="Arial"/>
          <w:sz w:val="20"/>
          <w:szCs w:val="20"/>
        </w:rPr>
      </w:pPr>
      <w:r>
        <w:rPr>
          <w:rFonts w:eastAsia="Arial" w:cs="Arial"/>
          <w:sz w:val="20"/>
          <w:szCs w:val="20"/>
        </w:rPr>
        <w:t xml:space="preserve">The sale, exchange, or leasing of any property between the ERISA client and a party-in-interest; </w:t>
      </w:r>
    </w:p>
    <w:p>
      <w:pPr>
        <w:numPr>
          <w:ilvl w:val="0"/>
          <w:numId w:val="271"/>
        </w:numPr>
        <w:ind w:left="720" w:hanging="192"/>
        <w:jc w:val="left"/>
        <w:rPr>
          <w:rFonts w:eastAsia="Arial" w:cs="Arial"/>
          <w:sz w:val="20"/>
          <w:szCs w:val="20"/>
        </w:rPr>
      </w:pPr>
      <w:r>
        <w:rPr>
          <w:rFonts w:eastAsia="Arial" w:cs="Arial"/>
          <w:sz w:val="20"/>
          <w:szCs w:val="20"/>
        </w:rPr>
        <w:t xml:space="preserve">The lending of money or other extension of credit by an ERISA client to a party-in-interest; </w:t>
      </w:r>
    </w:p>
    <w:p>
      <w:pPr>
        <w:numPr>
          <w:ilvl w:val="0"/>
          <w:numId w:val="271"/>
        </w:numPr>
        <w:ind w:left="720" w:hanging="192"/>
        <w:jc w:val="left"/>
        <w:rPr>
          <w:rFonts w:eastAsia="Arial" w:cs="Arial"/>
          <w:sz w:val="20"/>
          <w:szCs w:val="20"/>
        </w:rPr>
      </w:pPr>
      <w:r>
        <w:rPr>
          <w:rFonts w:eastAsia="Arial" w:cs="Arial"/>
          <w:sz w:val="20"/>
          <w:szCs w:val="20"/>
        </w:rPr>
        <w:t xml:space="preserve">The providing or purchasing of goods, services, or facilities between an ERISA client and a party-in-interest; </w:t>
      </w:r>
    </w:p>
    <w:p>
      <w:pPr>
        <w:numPr>
          <w:ilvl w:val="0"/>
          <w:numId w:val="271"/>
        </w:numPr>
        <w:ind w:left="720" w:hanging="192"/>
        <w:jc w:val="left"/>
        <w:rPr>
          <w:rFonts w:eastAsia="Arial" w:cs="Arial"/>
          <w:sz w:val="20"/>
          <w:szCs w:val="20"/>
        </w:rPr>
      </w:pPr>
      <w:r>
        <w:rPr>
          <w:rFonts w:eastAsia="Arial" w:cs="Arial"/>
          <w:sz w:val="20"/>
          <w:szCs w:val="20"/>
        </w:rPr>
        <w:t xml:space="preserve">The transfer of plan assets to a party-in-interest or the use of plan assets for the benefit of a party-in-interest; </w:t>
      </w:r>
    </w:p>
    <w:p>
      <w:pPr>
        <w:numPr>
          <w:ilvl w:val="0"/>
          <w:numId w:val="271"/>
        </w:numPr>
        <w:ind w:left="720" w:hanging="192"/>
        <w:jc w:val="left"/>
        <w:rPr>
          <w:rFonts w:eastAsia="Arial" w:cs="Arial"/>
          <w:sz w:val="20"/>
          <w:szCs w:val="20"/>
        </w:rPr>
      </w:pPr>
      <w:r>
        <w:rPr>
          <w:rFonts w:eastAsia="Arial" w:cs="Arial"/>
          <w:sz w:val="20"/>
          <w:szCs w:val="20"/>
        </w:rPr>
        <w:t>The acquisition by the ERISA client of securities issued by the employer of participants of the plan investing in the ERISA client; or</w:t>
      </w:r>
    </w:p>
    <w:p>
      <w:pPr>
        <w:numPr>
          <w:ilvl w:val="0"/>
          <w:numId w:val="271"/>
        </w:numPr>
        <w:spacing w:after="200"/>
        <w:ind w:left="720" w:hanging="192"/>
        <w:jc w:val="left"/>
        <w:rPr>
          <w:rFonts w:eastAsia="Arial" w:cs="Arial"/>
          <w:sz w:val="20"/>
          <w:szCs w:val="20"/>
        </w:rPr>
      </w:pPr>
      <w:r>
        <w:rPr>
          <w:rFonts w:eastAsia="Arial" w:cs="Arial"/>
          <w:sz w:val="20"/>
          <w:szCs w:val="20"/>
        </w:rPr>
        <w:t>The acquisition of real property by the employer of participants of the plan investing in the ERISA client.</w:t>
      </w:r>
    </w:p>
    <w:p>
      <w:bookmarkEnd w:id="273"/>
      <w:bookmarkStart w:id="274" w:name="Sec_Chp_061016102250093_061016102250890"/>
    </w:p>
    <w:p>
      <w:pPr>
        <w:pStyle w:val="Heading5"/>
      </w:pPr>
      <w:r>
        <w:t>5.3.8.7.3 Transactions with Fiduciaries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engage in any of the following transactions related to a plan client:</w:t>
      </w:r>
    </w:p>
    <w:p>
      <w:pPr>
        <w:numPr>
          <w:ilvl w:val="0"/>
          <w:numId w:val="272"/>
        </w:numPr>
        <w:spacing w:before="200"/>
        <w:ind w:left="720" w:hanging="192"/>
        <w:jc w:val="left"/>
        <w:rPr>
          <w:rFonts w:eastAsia="Arial" w:cs="Arial"/>
          <w:sz w:val="20"/>
          <w:szCs w:val="20"/>
        </w:rPr>
      </w:pPr>
      <w:r>
        <w:rPr>
          <w:rFonts w:eastAsia="Arial" w:cs="Arial"/>
          <w:sz w:val="20"/>
          <w:szCs w:val="20"/>
        </w:rPr>
        <w:t xml:space="preserve">Self-dealing, which would occur if KCD used the plan client assets for its own benefit; </w:t>
      </w:r>
    </w:p>
    <w:p>
      <w:pPr>
        <w:numPr>
          <w:ilvl w:val="0"/>
          <w:numId w:val="272"/>
        </w:numPr>
        <w:ind w:left="720" w:hanging="192"/>
        <w:jc w:val="left"/>
        <w:rPr>
          <w:rFonts w:eastAsia="Arial" w:cs="Arial"/>
          <w:sz w:val="20"/>
          <w:szCs w:val="20"/>
        </w:rPr>
      </w:pPr>
      <w:r>
        <w:rPr>
          <w:rFonts w:eastAsia="Arial" w:cs="Arial"/>
          <w:sz w:val="20"/>
          <w:szCs w:val="20"/>
        </w:rPr>
        <w:t xml:space="preserve">A transaction in which KCD's interests conflict with those of the plan client; and </w:t>
      </w:r>
    </w:p>
    <w:p>
      <w:pPr>
        <w:numPr>
          <w:ilvl w:val="0"/>
          <w:numId w:val="272"/>
        </w:numPr>
        <w:spacing w:after="200"/>
        <w:ind w:left="720" w:hanging="192"/>
        <w:jc w:val="left"/>
        <w:rPr>
          <w:rFonts w:eastAsia="Arial" w:cs="Arial"/>
          <w:sz w:val="20"/>
          <w:szCs w:val="20"/>
        </w:rPr>
      </w:pPr>
      <w:r>
        <w:rPr>
          <w:rFonts w:eastAsia="Arial" w:cs="Arial"/>
          <w:sz w:val="20"/>
          <w:szCs w:val="20"/>
        </w:rPr>
        <w:t>A transaction in which KCD receives a kick-back in connection with the plan client transaction.</w:t>
      </w:r>
    </w:p>
    <w:p>
      <w:bookmarkEnd w:id="274"/>
      <w:bookmarkStart w:id="275" w:name="Sec_Chp_061016102250093_061016102250894"/>
    </w:p>
    <w:p>
      <w:pPr>
        <w:pStyle w:val="Heading5"/>
      </w:pPr>
      <w:r>
        <w:t xml:space="preserve">5.3.8.7.4 Prohibited Self-Dealing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with respect to a Plan client, will not:</w:t>
      </w:r>
    </w:p>
    <w:p>
      <w:pPr>
        <w:numPr>
          <w:ilvl w:val="0"/>
          <w:numId w:val="273"/>
        </w:numPr>
        <w:spacing w:before="200"/>
        <w:ind w:left="720" w:hanging="192"/>
        <w:jc w:val="left"/>
        <w:rPr>
          <w:rFonts w:eastAsia="Arial" w:cs="Arial"/>
          <w:sz w:val="20"/>
          <w:szCs w:val="20"/>
        </w:rPr>
      </w:pPr>
      <w:r>
        <w:rPr>
          <w:rFonts w:eastAsia="Arial" w:cs="Arial"/>
          <w:sz w:val="20"/>
          <w:szCs w:val="20"/>
        </w:rPr>
        <w:t>Deal with the income or assets of the Plan client in its own interest or for its account;</w:t>
      </w:r>
    </w:p>
    <w:p>
      <w:pPr>
        <w:numPr>
          <w:ilvl w:val="0"/>
          <w:numId w:val="273"/>
        </w:numPr>
        <w:ind w:left="720" w:hanging="192"/>
        <w:jc w:val="left"/>
        <w:rPr>
          <w:rFonts w:eastAsia="Arial" w:cs="Arial"/>
          <w:sz w:val="20"/>
          <w:szCs w:val="20"/>
        </w:rPr>
      </w:pPr>
      <w:r>
        <w:rPr>
          <w:rFonts w:eastAsia="Arial" w:cs="Arial"/>
          <w:sz w:val="20"/>
          <w:szCs w:val="20"/>
        </w:rPr>
        <w:t xml:space="preserve">Act in any transaction involving the Plan client on behalf of a party (or representative of a party) whose interests are adverse to the interests of the Plan client; or </w:t>
      </w:r>
    </w:p>
    <w:p>
      <w:pPr>
        <w:numPr>
          <w:ilvl w:val="0"/>
          <w:numId w:val="273"/>
        </w:numPr>
        <w:spacing w:after="200"/>
        <w:ind w:left="720" w:hanging="192"/>
        <w:jc w:val="left"/>
        <w:rPr>
          <w:rFonts w:eastAsia="Arial" w:cs="Arial"/>
          <w:sz w:val="20"/>
          <w:szCs w:val="20"/>
        </w:rPr>
      </w:pPr>
      <w:r>
        <w:rPr>
          <w:rFonts w:eastAsia="Arial" w:cs="Arial"/>
          <w:sz w:val="20"/>
          <w:szCs w:val="20"/>
        </w:rPr>
        <w:t>Receive any consideration for its own personal account from any party dealing with the Plan client in connection with the transaction involving the income or assets of the Plan client.</w:t>
      </w:r>
    </w:p>
    <w:p>
      <w:pPr>
        <w:pStyle w:val="normal0"/>
        <w:spacing w:before="200" w:after="200"/>
        <w:rPr>
          <w:rFonts w:eastAsia="Arial" w:cs="Arial"/>
          <w:sz w:val="20"/>
          <w:szCs w:val="20"/>
        </w:rPr>
      </w:pPr>
      <w:r>
        <w:rPr>
          <w:rFonts w:eastAsia="Arial" w:cs="Arial"/>
          <w:sz w:val="20"/>
          <w:szCs w:val="20"/>
        </w:rPr>
        <w:t>Accordingly, KCD shall not:</w:t>
      </w:r>
    </w:p>
    <w:p>
      <w:pPr>
        <w:numPr>
          <w:ilvl w:val="0"/>
          <w:numId w:val="274"/>
        </w:numPr>
        <w:spacing w:before="200"/>
        <w:ind w:left="720" w:hanging="192"/>
        <w:jc w:val="left"/>
        <w:rPr>
          <w:rFonts w:eastAsia="Arial" w:cs="Arial"/>
          <w:sz w:val="20"/>
          <w:szCs w:val="20"/>
        </w:rPr>
      </w:pPr>
      <w:r>
        <w:rPr>
          <w:rFonts w:eastAsia="Arial" w:cs="Arial"/>
          <w:sz w:val="20"/>
          <w:szCs w:val="20"/>
        </w:rPr>
        <w:t xml:space="preserve">Enter into a principal transaction with a Plan client; </w:t>
      </w:r>
    </w:p>
    <w:p>
      <w:pPr>
        <w:numPr>
          <w:ilvl w:val="0"/>
          <w:numId w:val="274"/>
        </w:numPr>
        <w:ind w:left="720" w:hanging="192"/>
        <w:jc w:val="left"/>
        <w:rPr>
          <w:rFonts w:eastAsia="Arial" w:cs="Arial"/>
          <w:sz w:val="20"/>
          <w:szCs w:val="20"/>
        </w:rPr>
      </w:pPr>
      <w:r>
        <w:rPr>
          <w:rFonts w:eastAsia="Arial" w:cs="Arial"/>
          <w:sz w:val="20"/>
          <w:szCs w:val="20"/>
        </w:rPr>
        <w:t xml:space="preserve">Execute Plan client transactions for a fee or commission through an affiliated broker-dealer (but see </w:t>
      </w:r>
      <w:r>
        <w:rPr>
          <w:rFonts w:eastAsia="Arial" w:cs="Arial"/>
          <w:i/>
          <w:iCs/>
          <w:sz w:val="20"/>
          <w:szCs w:val="20"/>
        </w:rPr>
        <w:t>Affiliated Broker-Dealer Exemption</w:t>
      </w:r>
      <w:r>
        <w:rPr>
          <w:rFonts w:eastAsia="Arial" w:cs="Arial"/>
          <w:sz w:val="20"/>
          <w:szCs w:val="20"/>
        </w:rPr>
        <w:t xml:space="preserve"> section of this chapter of this Manual);</w:t>
      </w:r>
    </w:p>
    <w:p>
      <w:pPr>
        <w:numPr>
          <w:ilvl w:val="0"/>
          <w:numId w:val="274"/>
        </w:numPr>
        <w:ind w:left="720" w:hanging="192"/>
        <w:jc w:val="left"/>
        <w:rPr>
          <w:rFonts w:eastAsia="Arial" w:cs="Arial"/>
          <w:sz w:val="20"/>
          <w:szCs w:val="20"/>
        </w:rPr>
      </w:pPr>
      <w:r>
        <w:rPr>
          <w:rFonts w:eastAsia="Arial" w:cs="Arial"/>
          <w:sz w:val="20"/>
          <w:szCs w:val="20"/>
        </w:rPr>
        <w:t>Cause a Plan client asset to generate soft dollar credits that may be used for the benefit of KCD, including soft dollars that may benefit other clients of KCD (unless otherwise permitted by Section 28(e) under the Securities Exchange Act of 1934); or</w:t>
      </w:r>
    </w:p>
    <w:p>
      <w:pPr>
        <w:numPr>
          <w:ilvl w:val="0"/>
          <w:numId w:val="274"/>
        </w:numPr>
        <w:spacing w:after="200"/>
        <w:ind w:left="720" w:hanging="192"/>
        <w:jc w:val="left"/>
        <w:rPr>
          <w:rFonts w:eastAsia="Arial" w:cs="Arial"/>
          <w:sz w:val="20"/>
          <w:szCs w:val="20"/>
        </w:rPr>
      </w:pPr>
      <w:r>
        <w:rPr>
          <w:rFonts w:eastAsia="Arial" w:cs="Arial"/>
          <w:sz w:val="20"/>
          <w:szCs w:val="20"/>
        </w:rPr>
        <w:t>Cause a Plan client to enter into a cross trade (</w:t>
      </w:r>
      <w:r>
        <w:rPr>
          <w:rFonts w:eastAsia="Arial" w:cs="Arial"/>
          <w:i/>
          <w:iCs/>
          <w:sz w:val="20"/>
          <w:szCs w:val="20"/>
        </w:rPr>
        <w:t>e.g.,</w:t>
      </w:r>
      <w:r>
        <w:rPr>
          <w:rFonts w:eastAsia="Arial" w:cs="Arial"/>
          <w:sz w:val="20"/>
          <w:szCs w:val="20"/>
        </w:rPr>
        <w:t xml:space="preserve"> rebalancing transaction between Plan clients managed pursuant to the same investment objective) unless KCD causes each Plan client to effect such transactions through separate brokers.</w:t>
      </w:r>
    </w:p>
    <w:p>
      <w:bookmarkEnd w:id="275"/>
      <w:bookmarkStart w:id="276" w:name="Sec_Chp_061016102250093_061016102250906"/>
    </w:p>
    <w:p>
      <w:pPr>
        <w:pStyle w:val="Heading4"/>
      </w:pPr>
      <w:r>
        <w:t>5.3.8.8 Exemptions</w:t>
      </w:r>
    </w:p>
    <w:p/>
    <w:p>
      <w:pPr>
        <w:rPr>
          <w:rFonts w:eastAsia="Arial" w:cs="Arial"/>
          <w:sz w:val="16"/>
          <w:szCs w:val="16"/>
        </w:rPr>
      </w:pPr>
    </w:p>
    <w:p>
      <w:bookmarkEnd w:id="276"/>
      <w:bookmarkStart w:id="277" w:name="Sec_Chp_061016102250093_061016102250921"/>
    </w:p>
    <w:p>
      <w:pPr>
        <w:pStyle w:val="Heading5"/>
      </w:pPr>
      <w:r>
        <w:t xml:space="preserve">5.3.8.8.1 Necessary Services Exemption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a party-in-interest, it may contract for or make reasonable arrangements with the Plan client for services necessary for the establishment or operation of the Plan client, including investment management services, provided these guidelines are followed:</w:t>
      </w:r>
    </w:p>
    <w:p>
      <w:pPr>
        <w:numPr>
          <w:ilvl w:val="0"/>
          <w:numId w:val="275"/>
        </w:numPr>
        <w:spacing w:before="200"/>
        <w:ind w:left="720" w:hanging="192"/>
        <w:jc w:val="left"/>
        <w:rPr>
          <w:rFonts w:eastAsia="Arial" w:cs="Arial"/>
          <w:sz w:val="20"/>
          <w:szCs w:val="20"/>
        </w:rPr>
      </w:pPr>
      <w:r>
        <w:rPr>
          <w:rFonts w:eastAsia="Arial" w:cs="Arial"/>
          <w:b/>
          <w:bCs/>
          <w:sz w:val="20"/>
          <w:szCs w:val="20"/>
        </w:rPr>
        <w:t>Necessary Services:</w:t>
      </w:r>
      <w:r>
        <w:rPr>
          <w:rFonts w:eastAsia="Arial" w:cs="Arial"/>
          <w:sz w:val="20"/>
          <w:szCs w:val="20"/>
        </w:rPr>
        <w:t xml:space="preserve"> A particular service is necessary for establishing or operating a Plan client provided the service is appropriate and helpful to the Plan client obtaining the service in carrying out the purposes for which the Plan client is established or maintained. </w:t>
      </w:r>
    </w:p>
    <w:p>
      <w:pPr>
        <w:numPr>
          <w:ilvl w:val="0"/>
          <w:numId w:val="275"/>
        </w:numPr>
        <w:ind w:left="720" w:hanging="192"/>
        <w:jc w:val="left"/>
        <w:rPr>
          <w:rFonts w:eastAsia="Arial" w:cs="Arial"/>
          <w:sz w:val="20"/>
          <w:szCs w:val="20"/>
        </w:rPr>
      </w:pPr>
      <w:r>
        <w:rPr>
          <w:rFonts w:eastAsia="Arial" w:cs="Arial"/>
          <w:b/>
          <w:bCs/>
          <w:sz w:val="20"/>
          <w:szCs w:val="20"/>
        </w:rPr>
        <w:t>Reasonable Contract/Arrangement:</w:t>
      </w:r>
      <w:r>
        <w:rPr>
          <w:rFonts w:eastAsia="Arial" w:cs="Arial"/>
          <w:sz w:val="20"/>
          <w:szCs w:val="20"/>
        </w:rPr>
        <w:t xml:space="preserve"> A contract or arrangement is reasonable only if it permits termination by the Plan client without penalty to the Plan client on reasonably short notice. A contract or arrangement will not be reasonable if the Plan client is locked into the arrangement. The service provider, however, may be compensated for loss caused by an early termination of the contract or arrangement. Generally, 60 to 90 days notice is considered reasonably short notice.</w:t>
      </w:r>
    </w:p>
    <w:p>
      <w:pPr>
        <w:numPr>
          <w:ilvl w:val="0"/>
          <w:numId w:val="275"/>
        </w:numPr>
        <w:ind w:left="720" w:hanging="192"/>
        <w:jc w:val="left"/>
        <w:rPr>
          <w:rFonts w:eastAsia="Arial" w:cs="Arial"/>
          <w:sz w:val="20"/>
          <w:szCs w:val="20"/>
        </w:rPr>
      </w:pPr>
      <w:r>
        <w:rPr>
          <w:rFonts w:eastAsia="Arial" w:cs="Arial"/>
          <w:b/>
          <w:bCs/>
          <w:sz w:val="20"/>
          <w:szCs w:val="20"/>
        </w:rPr>
        <w:t>Adequate Consideration:</w:t>
      </w:r>
      <w:r>
        <w:rPr>
          <w:rFonts w:eastAsia="Arial" w:cs="Arial"/>
          <w:sz w:val="20"/>
          <w:szCs w:val="20"/>
        </w:rPr>
        <w:t xml:space="preserve"> Adequate consideration depends on the facts and circumstances of each case. Adequate consideration means:</w:t>
      </w:r>
    </w:p>
    <w:p>
      <w:pPr>
        <w:numPr>
          <w:ilvl w:val="1"/>
          <w:numId w:val="275"/>
        </w:numPr>
        <w:ind w:left="1440" w:hanging="220"/>
        <w:jc w:val="left"/>
        <w:rPr>
          <w:rFonts w:eastAsia="Arial" w:cs="Arial"/>
          <w:sz w:val="20"/>
          <w:szCs w:val="20"/>
        </w:rPr>
      </w:pPr>
      <w:r>
        <w:rPr>
          <w:rFonts w:eastAsia="Arial" w:cs="Arial"/>
          <w:sz w:val="20"/>
          <w:szCs w:val="20"/>
        </w:rPr>
        <w:t>In the case of a security for which there is a generally recognized market, (i) the price of the security prevailing on a national securities exchange, taking into account factors such as the size of the transaction and the marketability of the security; and (ii) if the security is not traded on a national securities exchange, a price not less favorable to the Plan client than the offering price for the security as established by the current bid and asked prices quoted by persons independent of the issuer and the party in interest, taking into account factors such as the size of the transaction and the marketability of the security; and</w:t>
      </w:r>
    </w:p>
    <w:p>
      <w:pPr>
        <w:numPr>
          <w:ilvl w:val="1"/>
          <w:numId w:val="275"/>
        </w:numPr>
        <w:spacing w:after="200"/>
        <w:ind w:left="1440" w:hanging="220"/>
        <w:jc w:val="left"/>
        <w:rPr>
          <w:rFonts w:eastAsia="Arial" w:cs="Arial"/>
          <w:sz w:val="20"/>
          <w:szCs w:val="20"/>
        </w:rPr>
      </w:pPr>
      <w:r>
        <w:rPr>
          <w:rFonts w:eastAsia="Arial" w:cs="Arial"/>
          <w:sz w:val="20"/>
          <w:szCs w:val="20"/>
        </w:rPr>
        <w:t>In the case of an asset other than a security for which there is a generally recognized market, the fair market value of the asset as determined in good faith by KCD in accordance with regulations promulgated by the Department of Labor.</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KCD shall provide disclosure about the services it provides in a disclosure guide that is modeled after the Department of Labor's "Sample Guide to Initial Disclosures."</w:t>
            </w:r>
          </w:p>
        </w:tc>
      </w:tr>
    </w:tbl>
    <w:p>
      <w:bookmarkEnd w:id="277"/>
      <w:bookmarkStart w:id="278" w:name="Sec_Chp_061016102250093_061016102250937"/>
    </w:p>
    <w:p>
      <w:pPr>
        <w:pStyle w:val="Heading5"/>
      </w:pPr>
      <w:r>
        <w:t xml:space="preserve">5.3.8.8.2 QPAM Exemption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meets the definition of "qualified professional asset manager" (QPAM), it may be able to enter into, on behalf of the Plan client, certain prohibited transactions. These exemptions are set forth in PTCE 84-14. </w:t>
      </w:r>
    </w:p>
    <w:p>
      <w:pPr>
        <w:spacing w:before="200" w:after="200"/>
        <w:rPr>
          <w:rFonts w:eastAsia="Arial" w:cs="Arial"/>
          <w:sz w:val="20"/>
          <w:szCs w:val="20"/>
        </w:rPr>
      </w:pPr>
      <w:r>
        <w:rPr>
          <w:rFonts w:eastAsia="Arial" w:cs="Arial"/>
          <w:b/>
          <w:bCs/>
          <w:sz w:val="20"/>
          <w:szCs w:val="20"/>
        </w:rPr>
        <w:t>Definition</w:t>
      </w:r>
    </w:p>
    <w:p>
      <w:pPr>
        <w:spacing w:before="200" w:after="200"/>
        <w:rPr>
          <w:rFonts w:eastAsia="Arial" w:cs="Arial"/>
          <w:sz w:val="20"/>
          <w:szCs w:val="20"/>
        </w:rPr>
      </w:pPr>
      <w:r>
        <w:rPr>
          <w:rFonts w:eastAsia="Arial" w:cs="Arial"/>
          <w:sz w:val="20"/>
          <w:szCs w:val="20"/>
        </w:rPr>
        <w:t>KCD will rely upon the QPAM exemption only if it meets the following QPAM status requirements:</w:t>
      </w:r>
    </w:p>
    <w:p>
      <w:pPr>
        <w:numPr>
          <w:ilvl w:val="0"/>
          <w:numId w:val="276"/>
        </w:numPr>
        <w:spacing w:before="200"/>
        <w:ind w:left="720" w:hanging="192"/>
        <w:jc w:val="left"/>
        <w:rPr>
          <w:rFonts w:eastAsia="Arial" w:cs="Arial"/>
          <w:sz w:val="20"/>
          <w:szCs w:val="20"/>
        </w:rPr>
      </w:pPr>
      <w:r>
        <w:rPr>
          <w:rFonts w:eastAsia="Arial" w:cs="Arial"/>
          <w:sz w:val="20"/>
          <w:szCs w:val="20"/>
        </w:rPr>
        <w:t>It is an SEC-registered investment adviser;</w:t>
      </w:r>
    </w:p>
    <w:p>
      <w:pPr>
        <w:numPr>
          <w:ilvl w:val="0"/>
          <w:numId w:val="276"/>
        </w:numPr>
        <w:ind w:left="720" w:hanging="192"/>
        <w:jc w:val="left"/>
        <w:rPr>
          <w:rFonts w:eastAsia="Arial" w:cs="Arial"/>
          <w:sz w:val="20"/>
          <w:szCs w:val="20"/>
        </w:rPr>
      </w:pPr>
      <w:r>
        <w:rPr>
          <w:rFonts w:eastAsia="Arial" w:cs="Arial"/>
          <w:sz w:val="20"/>
          <w:szCs w:val="20"/>
        </w:rPr>
        <w:t>It has total non-proprietary client assets under management in excess of $85,000,000;</w:t>
      </w:r>
    </w:p>
    <w:p>
      <w:pPr>
        <w:numPr>
          <w:ilvl w:val="0"/>
          <w:numId w:val="276"/>
        </w:numPr>
        <w:ind w:left="720" w:hanging="192"/>
        <w:jc w:val="left"/>
        <w:rPr>
          <w:rFonts w:eastAsia="Arial" w:cs="Arial"/>
          <w:sz w:val="20"/>
          <w:szCs w:val="20"/>
        </w:rPr>
      </w:pPr>
      <w:r>
        <w:rPr>
          <w:rFonts w:eastAsia="Arial" w:cs="Arial"/>
          <w:sz w:val="20"/>
          <w:szCs w:val="20"/>
        </w:rPr>
        <w:t>It has shareholders' or partners' equity in excess of $1,000,000, or all of its liabilities are paid, including liability from breach of fiduciary duty guaranteed by person controlling, controlled by, or common control with the QPAM (if that person has shareholders' or partners' equity in excess of $1,000,000, a bank, S&amp;L or insurance company, or a broker-dealer registered with the SEC with a net worth in excess of $1,000,000);</w:t>
      </w:r>
    </w:p>
    <w:p>
      <w:pPr>
        <w:numPr>
          <w:ilvl w:val="0"/>
          <w:numId w:val="276"/>
        </w:numPr>
        <w:ind w:left="720" w:hanging="192"/>
        <w:jc w:val="left"/>
        <w:rPr>
          <w:rFonts w:eastAsia="Arial" w:cs="Arial"/>
          <w:sz w:val="20"/>
          <w:szCs w:val="20"/>
        </w:rPr>
      </w:pPr>
      <w:r>
        <w:rPr>
          <w:rFonts w:eastAsia="Arial" w:cs="Arial"/>
          <w:sz w:val="20"/>
          <w:szCs w:val="20"/>
        </w:rPr>
        <w:t>It acknowledges in a written management agreement that it is a fiduciary to the Plan client; and</w:t>
      </w:r>
    </w:p>
    <w:p>
      <w:pPr>
        <w:numPr>
          <w:ilvl w:val="0"/>
          <w:numId w:val="276"/>
        </w:numPr>
        <w:spacing w:after="200"/>
        <w:ind w:left="720" w:hanging="192"/>
        <w:jc w:val="left"/>
        <w:rPr>
          <w:rFonts w:eastAsia="Arial" w:cs="Arial"/>
          <w:sz w:val="20"/>
          <w:szCs w:val="20"/>
        </w:rPr>
      </w:pPr>
      <w:r>
        <w:rPr>
          <w:rFonts w:eastAsia="Arial" w:cs="Arial"/>
          <w:sz w:val="20"/>
          <w:szCs w:val="20"/>
        </w:rPr>
        <w:t>None of its affiliates and none of its 5% or more owners within the last 10 years have been convicted of felonies or released from prison in connection therewith.</w:t>
      </w:r>
    </w:p>
    <w:p>
      <w:pPr>
        <w:spacing w:before="200" w:after="200"/>
        <w:rPr>
          <w:rFonts w:eastAsia="Arial" w:cs="Arial"/>
          <w:sz w:val="20"/>
          <w:szCs w:val="20"/>
        </w:rPr>
      </w:pPr>
      <w:r>
        <w:rPr>
          <w:rFonts w:eastAsia="Arial" w:cs="Arial"/>
          <w:b/>
          <w:bCs/>
          <w:sz w:val="20"/>
          <w:szCs w:val="20"/>
        </w:rPr>
        <w:t>QPAM Transaction Requirements</w:t>
      </w:r>
    </w:p>
    <w:p>
      <w:pPr>
        <w:spacing w:before="200" w:after="200"/>
        <w:rPr>
          <w:rFonts w:eastAsia="Arial" w:cs="Arial"/>
          <w:sz w:val="20"/>
          <w:szCs w:val="20"/>
        </w:rPr>
      </w:pPr>
      <w:r>
        <w:rPr>
          <w:rFonts w:eastAsia="Arial" w:cs="Arial"/>
          <w:sz w:val="20"/>
          <w:szCs w:val="20"/>
        </w:rPr>
        <w:t>KCD may enter into certain prohibited transactions on behalf of its Plan clients with a party-in-interest of the Plan client, provided KCD meets the definition of "QPAM" and:</w:t>
      </w:r>
    </w:p>
    <w:p>
      <w:pPr>
        <w:numPr>
          <w:ilvl w:val="0"/>
          <w:numId w:val="277"/>
        </w:numPr>
        <w:spacing w:before="200"/>
        <w:ind w:left="720" w:hanging="192"/>
        <w:jc w:val="left"/>
        <w:rPr>
          <w:rFonts w:eastAsia="Arial" w:cs="Arial"/>
          <w:sz w:val="20"/>
          <w:szCs w:val="20"/>
        </w:rPr>
      </w:pPr>
      <w:r>
        <w:rPr>
          <w:rFonts w:eastAsia="Arial" w:cs="Arial"/>
          <w:sz w:val="20"/>
          <w:szCs w:val="20"/>
        </w:rPr>
        <w:t>The terms of the transaction are negotiated on behalf of the Plan client by the QPAM and the QPAM makes the decision on behalf of the Plan client to enter into the transaction;</w:t>
      </w:r>
    </w:p>
    <w:p>
      <w:pPr>
        <w:numPr>
          <w:ilvl w:val="0"/>
          <w:numId w:val="277"/>
        </w:numPr>
        <w:ind w:left="720" w:hanging="192"/>
        <w:jc w:val="left"/>
        <w:rPr>
          <w:rFonts w:eastAsia="Arial" w:cs="Arial"/>
          <w:sz w:val="20"/>
          <w:szCs w:val="20"/>
        </w:rPr>
      </w:pPr>
      <w:r>
        <w:rPr>
          <w:rFonts w:eastAsia="Arial" w:cs="Arial"/>
          <w:sz w:val="20"/>
          <w:szCs w:val="20"/>
        </w:rPr>
        <w:t>The transaction is not part of an agreement, arrangement or understanding designed to benefit a party-in-interest;</w:t>
      </w:r>
    </w:p>
    <w:p>
      <w:pPr>
        <w:numPr>
          <w:ilvl w:val="0"/>
          <w:numId w:val="277"/>
        </w:numPr>
        <w:ind w:left="720" w:hanging="192"/>
        <w:jc w:val="left"/>
        <w:rPr>
          <w:rFonts w:eastAsia="Arial" w:cs="Arial"/>
          <w:sz w:val="20"/>
          <w:szCs w:val="20"/>
        </w:rPr>
      </w:pPr>
      <w:r>
        <w:rPr>
          <w:rFonts w:eastAsia="Arial" w:cs="Arial"/>
          <w:sz w:val="20"/>
          <w:szCs w:val="20"/>
        </w:rPr>
        <w:t>The terms of the transaction are at least as favorable to the Plan client as the terms generally available in an arm's length transaction between unrelated parties (at the time of the transaction or any subsequent renewal); and</w:t>
      </w:r>
    </w:p>
    <w:p>
      <w:pPr>
        <w:numPr>
          <w:ilvl w:val="0"/>
          <w:numId w:val="277"/>
        </w:numPr>
        <w:spacing w:after="200"/>
        <w:ind w:left="720" w:hanging="192"/>
        <w:jc w:val="left"/>
        <w:rPr>
          <w:rFonts w:eastAsia="Arial" w:cs="Arial"/>
          <w:sz w:val="20"/>
          <w:szCs w:val="20"/>
        </w:rPr>
      </w:pPr>
      <w:r>
        <w:rPr>
          <w:rFonts w:eastAsia="Arial" w:cs="Arial"/>
          <w:sz w:val="20"/>
          <w:szCs w:val="20"/>
        </w:rPr>
        <w:t>Neither the QPAM nor an affiliate has been convicted or released from imprisonment as a result of crimes specified in the exemption within ten years preceding the transaction.</w:t>
      </w:r>
    </w:p>
    <w:p>
      <w:pPr>
        <w:spacing w:before="200" w:after="200"/>
        <w:rPr>
          <w:rFonts w:eastAsia="Arial" w:cs="Arial"/>
          <w:sz w:val="20"/>
          <w:szCs w:val="20"/>
        </w:rPr>
      </w:pPr>
      <w:r>
        <w:rPr>
          <w:rFonts w:eastAsia="Arial" w:cs="Arial"/>
          <w:b/>
          <w:bCs/>
          <w:sz w:val="20"/>
          <w:szCs w:val="20"/>
        </w:rPr>
        <w:t>Ineligible QPAM Transactions</w:t>
      </w:r>
    </w:p>
    <w:p>
      <w:pPr>
        <w:spacing w:before="200" w:after="200"/>
        <w:rPr>
          <w:rFonts w:eastAsia="Arial" w:cs="Arial"/>
          <w:sz w:val="20"/>
          <w:szCs w:val="20"/>
        </w:rPr>
      </w:pPr>
      <w:r>
        <w:rPr>
          <w:rFonts w:eastAsia="Arial" w:cs="Arial"/>
          <w:sz w:val="20"/>
          <w:szCs w:val="20"/>
        </w:rPr>
        <w:t>The following are not eligible QPAM Transactions:</w:t>
      </w:r>
    </w:p>
    <w:p>
      <w:pPr>
        <w:numPr>
          <w:ilvl w:val="0"/>
          <w:numId w:val="278"/>
        </w:numPr>
        <w:spacing w:before="200"/>
        <w:ind w:left="720" w:hanging="192"/>
        <w:jc w:val="left"/>
        <w:rPr>
          <w:rFonts w:eastAsia="Arial" w:cs="Arial"/>
          <w:sz w:val="20"/>
          <w:szCs w:val="20"/>
        </w:rPr>
      </w:pPr>
      <w:r>
        <w:rPr>
          <w:rFonts w:eastAsia="Arial" w:cs="Arial"/>
          <w:sz w:val="20"/>
          <w:szCs w:val="20"/>
        </w:rPr>
        <w:t xml:space="preserve">borrowing money on behalf of the Plan client from a party-in-interest; </w:t>
      </w:r>
    </w:p>
    <w:p>
      <w:pPr>
        <w:numPr>
          <w:ilvl w:val="0"/>
          <w:numId w:val="278"/>
        </w:numPr>
        <w:ind w:left="720" w:hanging="192"/>
        <w:jc w:val="left"/>
        <w:rPr>
          <w:rFonts w:eastAsia="Arial" w:cs="Arial"/>
          <w:sz w:val="20"/>
          <w:szCs w:val="20"/>
        </w:rPr>
      </w:pPr>
      <w:r>
        <w:rPr>
          <w:rFonts w:eastAsia="Arial" w:cs="Arial"/>
          <w:sz w:val="20"/>
          <w:szCs w:val="20"/>
        </w:rPr>
        <w:t>acquiring securities on behalf of the Plan client from a party-in-interest;</w:t>
      </w:r>
    </w:p>
    <w:p>
      <w:pPr>
        <w:numPr>
          <w:ilvl w:val="0"/>
          <w:numId w:val="278"/>
        </w:numPr>
        <w:ind w:left="720" w:hanging="192"/>
        <w:jc w:val="left"/>
        <w:rPr>
          <w:rFonts w:eastAsia="Arial" w:cs="Arial"/>
          <w:sz w:val="20"/>
          <w:szCs w:val="20"/>
        </w:rPr>
      </w:pPr>
      <w:r>
        <w:rPr>
          <w:rFonts w:eastAsia="Arial" w:cs="Arial"/>
          <w:sz w:val="20"/>
          <w:szCs w:val="20"/>
        </w:rPr>
        <w:t>engaging in swap transactions on behalf of the Plan client with a party-in-interest; or</w:t>
      </w:r>
    </w:p>
    <w:p>
      <w:pPr>
        <w:numPr>
          <w:ilvl w:val="0"/>
          <w:numId w:val="278"/>
        </w:numPr>
        <w:ind w:left="720" w:hanging="192"/>
        <w:jc w:val="left"/>
        <w:rPr>
          <w:rFonts w:eastAsia="Arial" w:cs="Arial"/>
          <w:sz w:val="20"/>
          <w:szCs w:val="20"/>
        </w:rPr>
      </w:pPr>
      <w:r>
        <w:rPr>
          <w:rFonts w:eastAsia="Arial" w:cs="Arial"/>
          <w:sz w:val="20"/>
          <w:szCs w:val="20"/>
        </w:rPr>
        <w:t>such transaction is with a party-in-interest or any of its affiliates that has the authority:</w:t>
      </w:r>
    </w:p>
    <w:p>
      <w:pPr>
        <w:numPr>
          <w:ilvl w:val="1"/>
          <w:numId w:val="278"/>
        </w:numPr>
        <w:ind w:left="1440" w:hanging="220"/>
        <w:jc w:val="left"/>
        <w:rPr>
          <w:rFonts w:eastAsia="Arial" w:cs="Arial"/>
          <w:sz w:val="20"/>
          <w:szCs w:val="20"/>
        </w:rPr>
      </w:pPr>
      <w:r>
        <w:rPr>
          <w:rFonts w:eastAsia="Arial" w:cs="Arial"/>
          <w:sz w:val="20"/>
          <w:szCs w:val="20"/>
        </w:rPr>
        <w:t>to appoint or terminate the QPAM as a manager of the plan's assets used in transaction;</w:t>
      </w:r>
    </w:p>
    <w:p>
      <w:pPr>
        <w:numPr>
          <w:ilvl w:val="1"/>
          <w:numId w:val="278"/>
        </w:numPr>
        <w:ind w:left="1440" w:hanging="220"/>
        <w:jc w:val="left"/>
        <w:rPr>
          <w:rFonts w:eastAsia="Arial" w:cs="Arial"/>
          <w:sz w:val="20"/>
          <w:szCs w:val="20"/>
        </w:rPr>
      </w:pPr>
      <w:r>
        <w:rPr>
          <w:rFonts w:eastAsia="Arial" w:cs="Arial"/>
          <w:sz w:val="20"/>
          <w:szCs w:val="20"/>
        </w:rPr>
        <w:t>with the QPAM or QPAM related entities; or</w:t>
      </w:r>
    </w:p>
    <w:p>
      <w:pPr>
        <w:numPr>
          <w:ilvl w:val="1"/>
          <w:numId w:val="278"/>
        </w:numPr>
        <w:spacing w:after="200"/>
        <w:ind w:left="1440" w:hanging="220"/>
        <w:jc w:val="left"/>
        <w:rPr>
          <w:rFonts w:eastAsia="Arial" w:cs="Arial"/>
          <w:sz w:val="20"/>
          <w:szCs w:val="20"/>
        </w:rPr>
      </w:pPr>
      <w:r>
        <w:rPr>
          <w:rFonts w:eastAsia="Arial" w:cs="Arial"/>
          <w:sz w:val="20"/>
          <w:szCs w:val="20"/>
        </w:rPr>
        <w:t>with a party-in-interest with respect to any Plan client whose assets managed by the QPAM, when combined with the assets of other plans maintained by the employer or same organization and managed by the QPAM, represent more than 20% of the total client assets managed by the QPAM at the time of the transaction.</w:t>
      </w:r>
    </w:p>
    <w:p>
      <w:pPr>
        <w:spacing w:before="200" w:after="200"/>
        <w:rPr>
          <w:rFonts w:eastAsia="Arial" w:cs="Arial"/>
          <w:sz w:val="20"/>
          <w:szCs w:val="20"/>
        </w:rPr>
      </w:pPr>
      <w:r>
        <w:rPr>
          <w:rFonts w:eastAsia="Arial" w:cs="Arial"/>
          <w:b/>
          <w:bCs/>
          <w:sz w:val="20"/>
          <w:szCs w:val="20"/>
        </w:rPr>
        <w:t>Outside Counsel</w:t>
      </w:r>
    </w:p>
    <w:p>
      <w:pPr>
        <w:spacing w:before="200" w:after="200"/>
        <w:rPr>
          <w:rFonts w:eastAsia="Arial" w:cs="Arial"/>
          <w:sz w:val="20"/>
          <w:szCs w:val="20"/>
        </w:rPr>
      </w:pPr>
      <w:r>
        <w:rPr>
          <w:rFonts w:eastAsia="Arial" w:cs="Arial"/>
          <w:sz w:val="20"/>
          <w:szCs w:val="20"/>
        </w:rPr>
        <w:t>Prior to relying on the QPAM Exemption to enter into a transaction on behalf of a Plan client with a party-in-interest for the first time, KCD will consult outside counsel with knowledge of, and experience with, giving advice on ERISA-related issues.</w:t>
      </w:r>
    </w:p>
    <w:p>
      <w:bookmarkEnd w:id="278"/>
      <w:bookmarkStart w:id="279" w:name="Sec_Chp_061016102250093_061016102250984"/>
    </w:p>
    <w:p>
      <w:pPr>
        <w:pStyle w:val="Heading5"/>
      </w:pPr>
      <w:r>
        <w:t xml:space="preserve">5.3.8.8.3 Affiliated Broker-Dealer Exemption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a party-in-interest and directs Plan client trades to an affiliated broker-dealer, it shall take steps to meet the conditions set forth in ERISA Prohibited Transaction Class Exemption 86-128. These conditions are:</w:t>
      </w:r>
    </w:p>
    <w:p>
      <w:pPr>
        <w:numPr>
          <w:ilvl w:val="0"/>
          <w:numId w:val="279"/>
        </w:numPr>
        <w:spacing w:before="200"/>
        <w:ind w:left="720" w:hanging="192"/>
        <w:jc w:val="left"/>
        <w:rPr>
          <w:rFonts w:eastAsia="Arial" w:cs="Arial"/>
          <w:sz w:val="20"/>
          <w:szCs w:val="20"/>
        </w:rPr>
      </w:pPr>
      <w:r>
        <w:rPr>
          <w:rFonts w:eastAsia="Arial" w:cs="Arial"/>
          <w:sz w:val="20"/>
          <w:szCs w:val="20"/>
        </w:rPr>
        <w:t xml:space="preserve">KCD will not be the administrator or trustee of the Plan to which its client is a participant, nor will KCD employees be covered by the Plan client; </w:t>
      </w:r>
    </w:p>
    <w:p>
      <w:pPr>
        <w:numPr>
          <w:ilvl w:val="0"/>
          <w:numId w:val="279"/>
        </w:numPr>
        <w:ind w:left="720" w:hanging="192"/>
        <w:jc w:val="left"/>
        <w:rPr>
          <w:rFonts w:eastAsia="Arial" w:cs="Arial"/>
          <w:sz w:val="20"/>
          <w:szCs w:val="20"/>
        </w:rPr>
      </w:pPr>
      <w:r>
        <w:rPr>
          <w:rFonts w:eastAsia="Arial" w:cs="Arial"/>
          <w:sz w:val="20"/>
          <w:szCs w:val="20"/>
        </w:rPr>
        <w:t xml:space="preserve">The Plan trustee or other fiduciary will authorize in writing brokerage services being directed to an affiliated broker-dealer of KCD and such Plan trustee or fiduciary may not be affiliated with KCD or the broker-dealer; </w:t>
      </w:r>
    </w:p>
    <w:p>
      <w:pPr>
        <w:numPr>
          <w:ilvl w:val="0"/>
          <w:numId w:val="279"/>
        </w:numPr>
        <w:ind w:left="720" w:hanging="192"/>
        <w:jc w:val="left"/>
        <w:rPr>
          <w:rFonts w:eastAsia="Arial" w:cs="Arial"/>
          <w:sz w:val="20"/>
          <w:szCs w:val="20"/>
        </w:rPr>
      </w:pPr>
      <w:r>
        <w:rPr>
          <w:rFonts w:eastAsia="Arial" w:cs="Arial"/>
          <w:sz w:val="20"/>
          <w:szCs w:val="20"/>
        </w:rPr>
        <w:t xml:space="preserve">The written authorization referred to herein will be terminable at will by the Plan client, provided the Plan client provides written notice to KCD; and </w:t>
      </w:r>
    </w:p>
    <w:p>
      <w:pPr>
        <w:numPr>
          <w:ilvl w:val="0"/>
          <w:numId w:val="279"/>
        </w:numPr>
        <w:spacing w:after="200"/>
        <w:ind w:left="720" w:hanging="192"/>
        <w:jc w:val="left"/>
        <w:rPr>
          <w:rFonts w:eastAsia="Arial" w:cs="Arial"/>
          <w:sz w:val="20"/>
          <w:szCs w:val="20"/>
        </w:rPr>
      </w:pPr>
      <w:r>
        <w:rPr>
          <w:rFonts w:eastAsia="Arial" w:cs="Arial"/>
          <w:sz w:val="20"/>
          <w:szCs w:val="20"/>
        </w:rPr>
        <w:t>KCD will provide the Plan trustee with the reports required by Prohibited Transaction Class Exemption 86-128.</w:t>
      </w:r>
    </w:p>
    <w:p>
      <w:bookmarkEnd w:id="279"/>
      <w:bookmarkStart w:id="280" w:name="Sec_Chp_061016102250093_0610161022509846"/>
    </w:p>
    <w:p>
      <w:pPr>
        <w:pStyle w:val="Heading5"/>
      </w:pPr>
      <w:r>
        <w:t xml:space="preserve">5.3.8.8.4 Trading Exemptions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rely on exemptions available from the prohibited transaction rules to engage in principal trades, cross trades and block trades, which are set forth in the "Trades" chapter of this Manual.</w:t>
      </w:r>
    </w:p>
    <w:p>
      <w:bookmarkEnd w:id="280"/>
      <w:bookmarkStart w:id="281" w:name="Sec_Chp_061016102250093_061016102251000"/>
    </w:p>
    <w:p>
      <w:pPr>
        <w:pStyle w:val="Heading5"/>
      </w:pPr>
      <w:r>
        <w:t>5.3.8.8.5  Exception to the Prohibited Transaction Rule for Advisers Offering Investment Products to Plans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KCD providing investment advice to both Plan clients and Plan client participants who have the ability to self direct their Plan investments, KCD and appropriate compliance personnel shall consult applicable Department of Labor rules and advisory opinions that govern, among other things, the fees and types of investment advice, including certain computerized models, that are permissible under such arrangements.</w:t>
      </w:r>
    </w:p>
    <w:p>
      <w:bookmarkEnd w:id="281"/>
      <w:bookmarkStart w:id="282" w:name="Sec_Chp_061016102250093_06101653988"/>
    </w:p>
    <w:p>
      <w:pPr>
        <w:pStyle w:val="Heading5"/>
      </w:pPr>
      <w:r>
        <w:t>5.3.8.8.6 Performance Fees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After consulting applicable Department of Labor Advisory Opinions, KCD may charge a performance fee or enter into some other incentive compensation arrangement with a Plan client provided:</w:t>
      </w:r>
    </w:p>
    <w:p>
      <w:pPr>
        <w:numPr>
          <w:ilvl w:val="0"/>
          <w:numId w:val="280"/>
        </w:numPr>
        <w:spacing w:before="200"/>
        <w:ind w:left="720" w:hanging="192"/>
        <w:jc w:val="left"/>
        <w:rPr>
          <w:rFonts w:eastAsia="Arial" w:cs="Arial"/>
          <w:sz w:val="20"/>
          <w:szCs w:val="20"/>
        </w:rPr>
      </w:pPr>
      <w:r>
        <w:rPr>
          <w:rFonts w:eastAsia="Arial" w:cs="Arial"/>
          <w:sz w:val="20"/>
          <w:szCs w:val="20"/>
        </w:rPr>
        <w:t>The decision to make the investment and to pay the performance fee is made by an independent plan fiduciary;</w:t>
      </w:r>
    </w:p>
    <w:p>
      <w:pPr>
        <w:numPr>
          <w:ilvl w:val="0"/>
          <w:numId w:val="280"/>
        </w:numPr>
        <w:ind w:left="720" w:hanging="192"/>
        <w:jc w:val="left"/>
        <w:rPr>
          <w:rFonts w:eastAsia="Arial" w:cs="Arial"/>
          <w:sz w:val="20"/>
          <w:szCs w:val="20"/>
        </w:rPr>
      </w:pPr>
      <w:r>
        <w:rPr>
          <w:rFonts w:eastAsia="Arial" w:cs="Arial"/>
          <w:sz w:val="20"/>
          <w:szCs w:val="20"/>
        </w:rPr>
        <w:t>The independent plan fiduciary is a sophisticated investor and represents that it fully understands the formula for calculating the performance fee and the fee risks associated with such an arrangement;</w:t>
      </w:r>
    </w:p>
    <w:p>
      <w:pPr>
        <w:numPr>
          <w:ilvl w:val="0"/>
          <w:numId w:val="280"/>
        </w:numPr>
        <w:ind w:left="720" w:hanging="192"/>
        <w:jc w:val="left"/>
        <w:rPr>
          <w:rFonts w:eastAsia="Arial" w:cs="Arial"/>
          <w:sz w:val="20"/>
          <w:szCs w:val="20"/>
        </w:rPr>
      </w:pPr>
      <w:r>
        <w:rPr>
          <w:rFonts w:eastAsia="Arial" w:cs="Arial"/>
          <w:sz w:val="20"/>
          <w:szCs w:val="20"/>
        </w:rPr>
        <w:t>The independent plan fiduciary can withdraw from the investment on reasonable short notice;</w:t>
      </w:r>
    </w:p>
    <w:p>
      <w:pPr>
        <w:numPr>
          <w:ilvl w:val="0"/>
          <w:numId w:val="280"/>
        </w:numPr>
        <w:ind w:left="720" w:hanging="192"/>
        <w:jc w:val="left"/>
        <w:rPr>
          <w:rFonts w:eastAsia="Arial" w:cs="Arial"/>
          <w:sz w:val="20"/>
          <w:szCs w:val="20"/>
        </w:rPr>
      </w:pPr>
      <w:r>
        <w:rPr>
          <w:rFonts w:eastAsia="Arial" w:cs="Arial"/>
          <w:sz w:val="20"/>
          <w:szCs w:val="20"/>
        </w:rPr>
        <w:t>The performance fee complies with Rule 205-3 under the Investment Advisers Act of 1940;</w:t>
      </w:r>
    </w:p>
    <w:p>
      <w:pPr>
        <w:numPr>
          <w:ilvl w:val="0"/>
          <w:numId w:val="280"/>
        </w:numPr>
        <w:ind w:left="720" w:hanging="192"/>
        <w:jc w:val="left"/>
        <w:rPr>
          <w:rFonts w:eastAsia="Arial" w:cs="Arial"/>
          <w:sz w:val="20"/>
          <w:szCs w:val="20"/>
        </w:rPr>
      </w:pPr>
      <w:r>
        <w:rPr>
          <w:rFonts w:eastAsia="Arial" w:cs="Arial"/>
          <w:sz w:val="20"/>
          <w:szCs w:val="20"/>
        </w:rPr>
        <w:t>The incentive compensation is based on annual performance, taking into account both realized and unrealized gains and losses, and termination of the investment net profit is determined through the termination date; and</w:t>
      </w:r>
    </w:p>
    <w:p>
      <w:pPr>
        <w:numPr>
          <w:ilvl w:val="0"/>
          <w:numId w:val="280"/>
        </w:numPr>
        <w:spacing w:after="200"/>
        <w:ind w:left="720" w:hanging="192"/>
        <w:jc w:val="left"/>
        <w:rPr>
          <w:rFonts w:eastAsia="Arial" w:cs="Arial"/>
          <w:sz w:val="20"/>
          <w:szCs w:val="20"/>
        </w:rPr>
      </w:pPr>
      <w:r>
        <w:rPr>
          <w:rFonts w:eastAsia="Arial" w:cs="Arial"/>
          <w:sz w:val="20"/>
          <w:szCs w:val="20"/>
        </w:rPr>
        <w:t>Investments are made only in securities for which independent market valuations are readily available, or securities are valued by a qualified party who is independent of KCD and approved by the independent plan fiduciary.</w:t>
      </w:r>
    </w:p>
    <w:p>
      <w:bookmarkEnd w:id="282"/>
      <w:bookmarkStart w:id="283" w:name="Sec_Chp_061016102250093_531087"/>
    </w:p>
    <w:p>
      <w:pPr>
        <w:pStyle w:val="Heading5"/>
      </w:pPr>
      <w:r>
        <w:t>5.3.8.8.7 PTE 2020-02 Exemption</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PTE 2020-02 allows "investment advice fiduciaries" to employee benefit plans and individual retirement accounts (IRAs) to receive certain otherwise prohibited compensation, including commissions, Rule 12b-1 fees, revenue sharing, and mark-ups and mark-downs in certain principal transactions. The exemption also expressly covers prohibited transactions resulting from rollover advice, advice on how to invest assets within a plan or IRA, and advice on whether to engage in certain principal transactions.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will rely on PTE 2020-02 in an effort to mitigate conflicts of interest and ensure plan clients are receiving advice that is prudent and loyal by meeting the requirements of the exemption and establishing procedures set forth herein designed to ensure that such requirements are met.</w:t>
      </w:r>
    </w:p>
    <w:p>
      <w:pPr>
        <w:pStyle w:val="normal0"/>
        <w:spacing w:before="200" w:after="200"/>
        <w:rPr>
          <w:rFonts w:eastAsia="Arial" w:cs="Arial"/>
          <w:sz w:val="20"/>
          <w:szCs w:val="20"/>
        </w:rPr>
      </w:pPr>
      <w:r>
        <w:rPr>
          <w:rFonts w:eastAsia="Arial" w:cs="Arial"/>
          <w:sz w:val="20"/>
          <w:szCs w:val="20"/>
        </w:rPr>
        <w:t>In compliance with PTE 2020-02, KCD has adopted, maintains and will enforce these written procedures, which are designed to facilitate compliance with the exemption as follows:</w:t>
      </w:r>
    </w:p>
    <w:p>
      <w:pPr>
        <w:numPr>
          <w:ilvl w:val="0"/>
          <w:numId w:val="281"/>
        </w:numPr>
        <w:spacing w:before="200"/>
        <w:ind w:left="720" w:hanging="192"/>
        <w:jc w:val="left"/>
        <w:rPr>
          <w:rFonts w:eastAsia="Arial" w:cs="Arial"/>
          <w:sz w:val="20"/>
          <w:szCs w:val="20"/>
        </w:rPr>
      </w:pPr>
      <w:r>
        <w:rPr>
          <w:rFonts w:eastAsia="Arial" w:cs="Arial"/>
          <w:sz w:val="20"/>
          <w:szCs w:val="20"/>
        </w:rPr>
        <w:t>these procedures have been prudently designed to ensure that KCD and its investment professionals comply with the impartial conduct standards in connection with covered fiduciary advice and transactions; and</w:t>
      </w:r>
    </w:p>
    <w:p>
      <w:pPr>
        <w:numPr>
          <w:ilvl w:val="0"/>
          <w:numId w:val="281"/>
        </w:numPr>
        <w:spacing w:after="200"/>
        <w:ind w:left="720" w:hanging="192"/>
        <w:jc w:val="left"/>
        <w:rPr>
          <w:rFonts w:eastAsia="Arial" w:cs="Arial"/>
          <w:sz w:val="20"/>
          <w:szCs w:val="20"/>
        </w:rPr>
      </w:pPr>
      <w:r>
        <w:rPr>
          <w:rFonts w:eastAsia="Arial" w:cs="Arial"/>
          <w:sz w:val="20"/>
          <w:szCs w:val="20"/>
        </w:rPr>
        <w:t xml:space="preserve">these procedures, as well as KCD's incentive practices, are designed so that a reasonable person reviewing them would conclude that they do not create an incentive for KCD and its investment professionals to place their interests ahead of the interests of its retirement plan clients. </w:t>
      </w:r>
    </w:p>
    <w:p>
      <w:pPr>
        <w:pStyle w:val="normal0"/>
        <w:spacing w:before="200" w:after="200"/>
        <w:rPr>
          <w:rFonts w:eastAsia="Arial" w:cs="Arial"/>
          <w:sz w:val="20"/>
          <w:szCs w:val="20"/>
        </w:rPr>
      </w:pPr>
      <w:r>
        <w:rPr>
          <w:rFonts w:eastAsia="Arial" w:cs="Arial"/>
          <w:b/>
          <w:bCs/>
          <w:sz w:val="20"/>
          <w:szCs w:val="20"/>
        </w:rPr>
        <w:t>Impartial Conduct Standards</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Impartial Conduct Standards are consumer protection standards put in place by the Department of Labor that are designed to ensure that investment advisers (and other financial institutions) adhere to fiduciary norms and basic standards of fair dealing.</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When relying upon PTE 2020-02 Exemption, KCD will meet each of the following Impartial Conduct Standards:</w:t>
      </w:r>
    </w:p>
    <w:p>
      <w:pPr>
        <w:numPr>
          <w:ilvl w:val="0"/>
          <w:numId w:val="282"/>
        </w:numPr>
        <w:spacing w:before="200"/>
        <w:ind w:left="720" w:hanging="267"/>
        <w:jc w:val="left"/>
        <w:rPr>
          <w:rFonts w:eastAsia="Arial" w:cs="Arial"/>
          <w:sz w:val="20"/>
          <w:szCs w:val="20"/>
        </w:rPr>
      </w:pPr>
      <w:r>
        <w:rPr>
          <w:rFonts w:eastAsia="Arial" w:cs="Arial"/>
          <w:sz w:val="20"/>
          <w:szCs w:val="20"/>
          <w:u w:val="single"/>
        </w:rPr>
        <w:t>Best Interest</w:t>
      </w:r>
      <w:r>
        <w:rPr>
          <w:rFonts w:eastAsia="Arial" w:cs="Arial"/>
          <w:sz w:val="20"/>
          <w:szCs w:val="20"/>
        </w:rPr>
        <w:t>. Give advice that is in the "best interest" of the retirement plan clients. To meet this standard, the investment advice will:</w:t>
      </w:r>
      <w:r>
        <w:rPr>
          <w:rFonts w:eastAsia="Arial" w:cs="Arial"/>
          <w:sz w:val="20"/>
          <w:szCs w:val="20"/>
        </w:rPr>
        <w:br/>
      </w:r>
    </w:p>
    <w:p>
      <w:pPr>
        <w:numPr>
          <w:ilvl w:val="1"/>
          <w:numId w:val="282"/>
        </w:numPr>
        <w:ind w:left="1440" w:hanging="220"/>
        <w:jc w:val="left"/>
        <w:rPr>
          <w:rFonts w:eastAsia="Arial" w:cs="Arial"/>
          <w:sz w:val="20"/>
          <w:szCs w:val="20"/>
        </w:rPr>
      </w:pPr>
      <w:r>
        <w:rPr>
          <w:rFonts w:eastAsia="Arial" w:cs="Arial"/>
          <w:sz w:val="20"/>
          <w:szCs w:val="20"/>
        </w:rPr>
        <w:t>reflect the care, skill, prudence and diligence under the circumstances then prevailing that a prudent person acting in a like capacity and familiar with such matters would use;</w:t>
      </w:r>
    </w:p>
    <w:p>
      <w:pPr>
        <w:numPr>
          <w:ilvl w:val="1"/>
          <w:numId w:val="282"/>
        </w:numPr>
        <w:ind w:left="1440" w:hanging="220"/>
        <w:jc w:val="left"/>
        <w:rPr>
          <w:rFonts w:eastAsia="Arial" w:cs="Arial"/>
          <w:sz w:val="20"/>
          <w:szCs w:val="20"/>
        </w:rPr>
      </w:pPr>
      <w:r>
        <w:rPr>
          <w:rFonts w:eastAsia="Arial" w:cs="Arial"/>
          <w:sz w:val="20"/>
          <w:szCs w:val="20"/>
        </w:rPr>
        <w:t>provide the advice based on the investment objectives, risk tolerance, financial circumstances, and needs of the retirement plan client, and</w:t>
      </w:r>
    </w:p>
    <w:p>
      <w:pPr>
        <w:numPr>
          <w:ilvl w:val="1"/>
          <w:numId w:val="282"/>
        </w:numPr>
        <w:ind w:left="1440" w:hanging="220"/>
        <w:jc w:val="left"/>
        <w:rPr>
          <w:rFonts w:eastAsia="Arial" w:cs="Arial"/>
          <w:sz w:val="20"/>
          <w:szCs w:val="20"/>
        </w:rPr>
      </w:pPr>
      <w:r>
        <w:rPr>
          <w:rFonts w:eastAsia="Arial" w:cs="Arial"/>
          <w:sz w:val="20"/>
          <w:szCs w:val="20"/>
        </w:rPr>
        <w:t>not place the financial or other interests of KCD or any affiliate, related entity, or other party ahead of the interests of the retirement plan client, or subordinate the retirement plan client's interests to their own.</w:t>
      </w:r>
    </w:p>
    <w:p>
      <w:pPr>
        <w:numPr>
          <w:ilvl w:val="0"/>
          <w:numId w:val="282"/>
        </w:numPr>
        <w:ind w:left="720" w:hanging="267"/>
        <w:jc w:val="left"/>
        <w:rPr>
          <w:rFonts w:eastAsia="Arial" w:cs="Arial"/>
          <w:sz w:val="20"/>
          <w:szCs w:val="20"/>
        </w:rPr>
      </w:pPr>
      <w:r>
        <w:rPr>
          <w:rFonts w:eastAsia="Arial" w:cs="Arial"/>
          <w:sz w:val="20"/>
          <w:szCs w:val="20"/>
          <w:u w:val="single"/>
        </w:rPr>
        <w:t>Reasonable Compensation</w:t>
      </w:r>
      <w:r>
        <w:rPr>
          <w:rFonts w:eastAsia="Arial" w:cs="Arial"/>
          <w:sz w:val="20"/>
          <w:szCs w:val="20"/>
        </w:rPr>
        <w:t>. Compensation received from KCD or its affiliates, directly or indirectly, for its services will not exceed reasonable compensation within the meaning of section 408(b)(2) of ERISA and section 4975(d)(2) of the Internal Revenue Code of 1986 (Code). When determining the reasonableness of compensation, KCD will consider, among other things, the market price of service(s) provided and/or the underlying asset(s), the scope of monitoring, and the complexity of the product.</w:t>
      </w:r>
      <w:r>
        <w:rPr>
          <w:rFonts w:eastAsia="Arial" w:cs="Arial"/>
          <w:sz w:val="20"/>
          <w:szCs w:val="20"/>
        </w:rPr>
        <w:br/>
      </w:r>
      <w:r>
        <w:rPr>
          <w:rFonts w:eastAsia="Arial" w:cs="Arial"/>
          <w:sz w:val="20"/>
          <w:szCs w:val="20"/>
        </w:rPr>
        <w:br/>
      </w:r>
      <w:r>
        <w:rPr>
          <w:rFonts w:eastAsia="Arial" w:cs="Arial"/>
          <w:sz w:val="20"/>
          <w:szCs w:val="20"/>
        </w:rPr>
        <w:br/>
      </w:r>
    </w:p>
    <w:tbl>
      <w:tblPr>
        <w:tblStyle w:val="strfreeform"/>
        <w:tblW w:w="5000" w:type="pct"/>
        <w:tblInd w:w="72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Ind w:w="720" w:type="dxa"/>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Section 408(b)(2) of ERISA and section 4975(d)(2) of the Internal Revenue Code of 1986 require that compensation not be excessive, as measured by the market value of the particular services, rights, and benefits the investment professional and financial institution are delivering to the retirement plan client.</w:t>
            </w:r>
          </w:p>
        </w:tc>
      </w:tr>
    </w:tbl>
    <w:p>
      <w:pPr>
        <w:numPr>
          <w:ilvl w:val="0"/>
          <w:numId w:val="282"/>
        </w:numPr>
        <w:ind w:left="720" w:hanging="267"/>
        <w:jc w:val="left"/>
        <w:rPr>
          <w:rFonts w:eastAsia="Arial" w:cs="Arial"/>
          <w:sz w:val="20"/>
          <w:szCs w:val="20"/>
        </w:rPr>
      </w:pPr>
      <w:r>
        <w:rPr>
          <w:rFonts w:eastAsia="Arial" w:cs="Arial"/>
          <w:sz w:val="20"/>
          <w:szCs w:val="20"/>
          <w:u w:val="single"/>
        </w:rPr>
        <w:t>Best Execution</w:t>
      </w:r>
      <w:r>
        <w:rPr>
          <w:rFonts w:eastAsia="Arial" w:cs="Arial"/>
          <w:sz w:val="20"/>
          <w:szCs w:val="20"/>
        </w:rPr>
        <w:t>. If the services to the retirement plan client includes brokerage, KCD will seek to obtain the best execution of the investment transaction reasonably available under the circumstances, as required by the federal securities laws.</w:t>
      </w:r>
    </w:p>
    <w:p>
      <w:pPr>
        <w:numPr>
          <w:ilvl w:val="0"/>
          <w:numId w:val="282"/>
        </w:numPr>
        <w:spacing w:after="200"/>
        <w:ind w:left="720" w:hanging="267"/>
        <w:jc w:val="left"/>
        <w:rPr>
          <w:rFonts w:eastAsia="Arial" w:cs="Arial"/>
          <w:sz w:val="20"/>
          <w:szCs w:val="20"/>
        </w:rPr>
      </w:pPr>
      <w:r>
        <w:rPr>
          <w:rFonts w:eastAsia="Arial" w:cs="Arial"/>
          <w:sz w:val="20"/>
          <w:szCs w:val="20"/>
          <w:u w:val="single"/>
        </w:rPr>
        <w:t>Disclosure</w:t>
      </w:r>
      <w:r>
        <w:rPr>
          <w:rFonts w:eastAsia="Arial" w:cs="Arial"/>
          <w:sz w:val="20"/>
          <w:szCs w:val="20"/>
        </w:rPr>
        <w:t>. Any statements made by KCD to the retirement plan client about the recommended transaction and other relevant matters will not be materially misleading at the time they are made.</w:t>
      </w:r>
    </w:p>
    <w:p>
      <w:pPr>
        <w:pStyle w:val="normal0"/>
        <w:spacing w:before="200" w:after="200"/>
        <w:rPr>
          <w:rFonts w:eastAsia="Arial" w:cs="Arial"/>
          <w:sz w:val="20"/>
          <w:szCs w:val="20"/>
        </w:rPr>
      </w:pPr>
      <w:r>
        <w:rPr>
          <w:rFonts w:eastAsia="Arial" w:cs="Arial"/>
          <w:b/>
          <w:bCs/>
          <w:sz w:val="20"/>
          <w:szCs w:val="20"/>
        </w:rPr>
        <w:t>PTE 2020-02 Exemption Disclosure</w:t>
      </w:r>
    </w:p>
    <w:p>
      <w:pPr>
        <w:pStyle w:val="normal0"/>
        <w:spacing w:before="200" w:after="200"/>
        <w:rPr>
          <w:rFonts w:eastAsia="Arial" w:cs="Arial"/>
          <w:sz w:val="20"/>
          <w:szCs w:val="20"/>
        </w:rPr>
      </w:pPr>
      <w:r>
        <w:rPr>
          <w:rFonts w:eastAsia="Arial" w:cs="Arial"/>
          <w:sz w:val="20"/>
          <w:szCs w:val="20"/>
        </w:rPr>
        <w:t>Prior to engaging in a transaction in reliance on the final exemption, KCD will make the following disclosures to the retirement plan client:</w:t>
      </w:r>
    </w:p>
    <w:p>
      <w:pPr>
        <w:numPr>
          <w:ilvl w:val="0"/>
          <w:numId w:val="283"/>
        </w:numPr>
        <w:spacing w:before="200"/>
        <w:ind w:left="720" w:hanging="267"/>
        <w:jc w:val="left"/>
        <w:rPr>
          <w:rFonts w:eastAsia="Arial" w:cs="Arial"/>
          <w:sz w:val="20"/>
          <w:szCs w:val="20"/>
        </w:rPr>
      </w:pPr>
      <w:r>
        <w:rPr>
          <w:rFonts w:eastAsia="Arial" w:cs="Arial"/>
          <w:sz w:val="20"/>
          <w:szCs w:val="20"/>
          <w:u w:val="single"/>
        </w:rPr>
        <w:t>Acknowledgement of Fiduciary Status</w:t>
      </w:r>
      <w:r>
        <w:rPr>
          <w:rFonts w:eastAsia="Arial" w:cs="Arial"/>
          <w:sz w:val="20"/>
          <w:szCs w:val="20"/>
        </w:rPr>
        <w:t>. KCD will provide a written acknowledgment to its retirement plan clients that it and its investment professionals are fiduciaries under ERISA and the Internal Revenue Code, as applicable, with respect to any fiduciary investment advice it provides to its retirement plan clients.</w:t>
      </w:r>
    </w:p>
    <w:p>
      <w:pPr>
        <w:numPr>
          <w:ilvl w:val="0"/>
          <w:numId w:val="283"/>
        </w:numPr>
        <w:ind w:left="720" w:hanging="267"/>
        <w:jc w:val="left"/>
        <w:rPr>
          <w:rFonts w:eastAsia="Arial" w:cs="Arial"/>
          <w:sz w:val="20"/>
          <w:szCs w:val="20"/>
        </w:rPr>
      </w:pPr>
      <w:r>
        <w:rPr>
          <w:rFonts w:eastAsia="Arial" w:cs="Arial"/>
          <w:sz w:val="20"/>
          <w:szCs w:val="20"/>
          <w:u w:val="single"/>
        </w:rPr>
        <w:t>Description of the Scope of Services and Any Material Conflicts of Interest</w:t>
      </w:r>
      <w:r>
        <w:rPr>
          <w:rFonts w:eastAsia="Arial" w:cs="Arial"/>
          <w:sz w:val="20"/>
          <w:szCs w:val="20"/>
        </w:rPr>
        <w:t>. KCD will provide to its retirement plan clients a written description of the services to be provided and its investment professional's material conflicts of interest that is accurate and not misleading in all material respects.</w:t>
      </w:r>
    </w:p>
    <w:p>
      <w:pPr>
        <w:numPr>
          <w:ilvl w:val="0"/>
          <w:numId w:val="283"/>
        </w:numPr>
        <w:spacing w:after="200"/>
        <w:ind w:left="720" w:hanging="267"/>
        <w:jc w:val="left"/>
        <w:rPr>
          <w:rFonts w:eastAsia="Arial" w:cs="Arial"/>
          <w:sz w:val="20"/>
          <w:szCs w:val="20"/>
        </w:rPr>
      </w:pPr>
      <w:r>
        <w:rPr>
          <w:rFonts w:eastAsia="Arial" w:cs="Arial"/>
          <w:sz w:val="20"/>
          <w:szCs w:val="20"/>
          <w:u w:val="single"/>
        </w:rPr>
        <w:t>Rollover Transactions Only</w:t>
      </w:r>
      <w:r>
        <w:rPr>
          <w:rFonts w:eastAsia="Arial" w:cs="Arial"/>
          <w:sz w:val="20"/>
          <w:szCs w:val="20"/>
        </w:rPr>
        <w:t>. Prior to engaging in a rollover transaction for a retirement plan client, KCD will provide documentation to such client specifying the reasons for the rollover recommendation. In addition, KCD will document the specific reasons why a recommendation to roll over assets from a retirement plan to another plan or IRA, from an IRA to a plan, from an IRA to another IRA, or from one type of account to another (</w:t>
      </w:r>
      <w:r>
        <w:rPr>
          <w:rFonts w:eastAsia="Arial" w:cs="Arial"/>
          <w:i/>
          <w:iCs/>
          <w:sz w:val="20"/>
          <w:szCs w:val="20"/>
        </w:rPr>
        <w:t>e.g.,</w:t>
      </w:r>
      <w:r>
        <w:rPr>
          <w:rFonts w:eastAsia="Arial" w:cs="Arial"/>
          <w:sz w:val="20"/>
          <w:szCs w:val="20"/>
        </w:rPr>
        <w:t xml:space="preserve"> from a commission-based account to a fee-based account) would be in the best interest of the retirement plan client.</w:t>
      </w:r>
    </w:p>
    <w:p>
      <w:pPr>
        <w:pStyle w:val="normal0"/>
        <w:spacing w:before="200" w:after="200"/>
        <w:rPr>
          <w:rFonts w:eastAsia="Arial" w:cs="Arial"/>
          <w:sz w:val="20"/>
          <w:szCs w:val="20"/>
        </w:rPr>
      </w:pPr>
      <w:r>
        <w:rPr>
          <w:rFonts w:eastAsia="Arial" w:cs="Arial"/>
          <w:sz w:val="20"/>
          <w:szCs w:val="20"/>
        </w:rPr>
        <w:t>Prior to making recommendations to roll over client assets from an employee plan such as a 401(k) plan into an IRA, KCD will consider the following relevant factors:</w:t>
      </w:r>
    </w:p>
    <w:p>
      <w:pPr>
        <w:numPr>
          <w:ilvl w:val="0"/>
          <w:numId w:val="284"/>
        </w:numPr>
        <w:spacing w:before="200"/>
        <w:ind w:left="720" w:hanging="192"/>
        <w:jc w:val="left"/>
        <w:rPr>
          <w:rFonts w:eastAsia="Arial" w:cs="Arial"/>
          <w:sz w:val="20"/>
          <w:szCs w:val="20"/>
        </w:rPr>
      </w:pPr>
      <w:r>
        <w:rPr>
          <w:rFonts w:eastAsia="Arial" w:cs="Arial"/>
          <w:sz w:val="20"/>
          <w:szCs w:val="20"/>
        </w:rPr>
        <w:t>alternatives to a rollover, including leaving the money in the employer-sponsored plan, if permitted;</w:t>
      </w:r>
    </w:p>
    <w:p>
      <w:pPr>
        <w:numPr>
          <w:ilvl w:val="0"/>
          <w:numId w:val="284"/>
        </w:numPr>
        <w:ind w:left="720" w:hanging="192"/>
        <w:jc w:val="left"/>
        <w:rPr>
          <w:rFonts w:eastAsia="Arial" w:cs="Arial"/>
          <w:sz w:val="20"/>
          <w:szCs w:val="20"/>
        </w:rPr>
      </w:pPr>
      <w:r>
        <w:rPr>
          <w:rFonts w:eastAsia="Arial" w:cs="Arial"/>
          <w:sz w:val="20"/>
          <w:szCs w:val="20"/>
        </w:rPr>
        <w:t>fees and expenses associated with both the plan and the IRA;</w:t>
      </w:r>
    </w:p>
    <w:p>
      <w:pPr>
        <w:numPr>
          <w:ilvl w:val="0"/>
          <w:numId w:val="284"/>
        </w:numPr>
        <w:ind w:left="720" w:hanging="192"/>
        <w:jc w:val="left"/>
        <w:rPr>
          <w:rFonts w:eastAsia="Arial" w:cs="Arial"/>
          <w:sz w:val="20"/>
          <w:szCs w:val="20"/>
        </w:rPr>
      </w:pPr>
      <w:r>
        <w:rPr>
          <w:rFonts w:eastAsia="Arial" w:cs="Arial"/>
          <w:sz w:val="20"/>
          <w:szCs w:val="20"/>
        </w:rPr>
        <w:t>whether the employer pays for some or all of the plan's administrative expenses; and</w:t>
      </w:r>
    </w:p>
    <w:p>
      <w:pPr>
        <w:numPr>
          <w:ilvl w:val="0"/>
          <w:numId w:val="284"/>
        </w:numPr>
        <w:spacing w:after="200"/>
        <w:ind w:left="720" w:hanging="192"/>
        <w:jc w:val="left"/>
        <w:rPr>
          <w:rFonts w:eastAsia="Arial" w:cs="Arial"/>
          <w:sz w:val="20"/>
          <w:szCs w:val="20"/>
        </w:rPr>
      </w:pPr>
      <w:r>
        <w:rPr>
          <w:rFonts w:eastAsia="Arial" w:cs="Arial"/>
          <w:sz w:val="20"/>
          <w:szCs w:val="20"/>
        </w:rPr>
        <w:t>the different levels of services and investments available under the plan and the IRA.</w:t>
      </w:r>
    </w:p>
    <w:p>
      <w:pPr>
        <w:pStyle w:val="normal0"/>
        <w:spacing w:before="200" w:after="200"/>
        <w:rPr>
          <w:rFonts w:eastAsia="Arial" w:cs="Arial"/>
          <w:sz w:val="20"/>
          <w:szCs w:val="20"/>
        </w:rPr>
      </w:pPr>
      <w:r>
        <w:rPr>
          <w:rFonts w:eastAsia="Arial" w:cs="Arial"/>
          <w:b/>
          <w:bCs/>
          <w:sz w:val="20"/>
          <w:szCs w:val="20"/>
        </w:rPr>
        <w:t>PTE 2020-02 Retrospective Review</w:t>
      </w:r>
    </w:p>
    <w:p>
      <w:pPr>
        <w:pStyle w:val="normal0"/>
        <w:spacing w:before="200" w:after="200"/>
        <w:rPr>
          <w:rFonts w:eastAsia="Arial" w:cs="Arial"/>
          <w:sz w:val="20"/>
          <w:szCs w:val="20"/>
        </w:rPr>
      </w:pPr>
      <w:r>
        <w:rPr>
          <w:rFonts w:eastAsia="Arial" w:cs="Arial"/>
          <w:sz w:val="20"/>
          <w:szCs w:val="20"/>
        </w:rPr>
        <w:t>When relying upon PTE 2020-02 Exemption, KCD periodically will perform a retrospective review as follows:</w:t>
      </w:r>
    </w:p>
    <w:p>
      <w:pPr>
        <w:numPr>
          <w:ilvl w:val="0"/>
          <w:numId w:val="285"/>
        </w:numPr>
        <w:spacing w:before="200"/>
        <w:ind w:left="720" w:hanging="267"/>
        <w:jc w:val="left"/>
        <w:rPr>
          <w:rFonts w:eastAsia="Arial" w:cs="Arial"/>
          <w:sz w:val="20"/>
          <w:szCs w:val="20"/>
        </w:rPr>
      </w:pPr>
      <w:r>
        <w:rPr>
          <w:rFonts w:eastAsia="Arial" w:cs="Arial"/>
          <w:sz w:val="20"/>
          <w:szCs w:val="20"/>
          <w:u w:val="single"/>
        </w:rPr>
        <w:t>Annual Review</w:t>
      </w:r>
      <w:r>
        <w:rPr>
          <w:rFonts w:eastAsia="Arial" w:cs="Arial"/>
          <w:sz w:val="20"/>
          <w:szCs w:val="20"/>
        </w:rPr>
        <w:t>. KCD at least annually will conduct a retrospective review reasonably designed to assist it in detecting and preventing violations of, and achieving compliance with, the Impartial Conduct Standards and other procedures governing compliance with the PTE 2020-02 exemption.</w:t>
      </w:r>
    </w:p>
    <w:p>
      <w:pPr>
        <w:numPr>
          <w:ilvl w:val="0"/>
          <w:numId w:val="285"/>
        </w:numPr>
        <w:ind w:left="720" w:hanging="267"/>
        <w:jc w:val="left"/>
        <w:rPr>
          <w:rFonts w:eastAsia="Arial" w:cs="Arial"/>
          <w:sz w:val="20"/>
          <w:szCs w:val="20"/>
        </w:rPr>
      </w:pPr>
      <w:r>
        <w:rPr>
          <w:rFonts w:eastAsia="Arial" w:cs="Arial"/>
          <w:sz w:val="20"/>
          <w:szCs w:val="20"/>
          <w:u w:val="single"/>
        </w:rPr>
        <w:t>Written Report</w:t>
      </w:r>
      <w:r>
        <w:rPr>
          <w:rFonts w:eastAsia="Arial" w:cs="Arial"/>
          <w:sz w:val="20"/>
          <w:szCs w:val="20"/>
        </w:rPr>
        <w:t>. The methodology and results of the retrospective review will be provided to a senior executive officer of KCD.</w:t>
      </w:r>
    </w:p>
    <w:p>
      <w:pPr>
        <w:numPr>
          <w:ilvl w:val="0"/>
          <w:numId w:val="285"/>
        </w:numPr>
        <w:ind w:left="720" w:hanging="267"/>
        <w:jc w:val="left"/>
        <w:rPr>
          <w:rFonts w:eastAsia="Arial" w:cs="Arial"/>
          <w:sz w:val="20"/>
          <w:szCs w:val="20"/>
        </w:rPr>
      </w:pPr>
      <w:r>
        <w:rPr>
          <w:rFonts w:eastAsia="Arial" w:cs="Arial"/>
          <w:sz w:val="20"/>
          <w:szCs w:val="20"/>
          <w:u w:val="single"/>
        </w:rPr>
        <w:t>Senior Executive Officer Certification</w:t>
      </w:r>
      <w:r>
        <w:rPr>
          <w:rFonts w:eastAsia="Arial" w:cs="Arial"/>
          <w:sz w:val="20"/>
          <w:szCs w:val="20"/>
        </w:rPr>
        <w:t>. KCD's CCO, CEO, CFO or President, or one of the three most senior officers of KCD, will certify annually:</w:t>
      </w:r>
      <w:r>
        <w:rPr>
          <w:rFonts w:eastAsia="Arial" w:cs="Arial"/>
          <w:sz w:val="20"/>
          <w:szCs w:val="20"/>
        </w:rPr>
        <w:br/>
      </w:r>
    </w:p>
    <w:p>
      <w:pPr>
        <w:numPr>
          <w:ilvl w:val="1"/>
          <w:numId w:val="285"/>
        </w:numPr>
        <w:ind w:left="1440" w:hanging="220"/>
        <w:jc w:val="left"/>
        <w:rPr>
          <w:rFonts w:eastAsia="Arial" w:cs="Arial"/>
          <w:sz w:val="20"/>
          <w:szCs w:val="20"/>
        </w:rPr>
      </w:pPr>
      <w:r>
        <w:rPr>
          <w:rFonts w:eastAsia="Arial" w:cs="Arial"/>
          <w:sz w:val="20"/>
          <w:szCs w:val="20"/>
        </w:rPr>
        <w:t>The officer has reviewed the report of the retrospective review;</w:t>
      </w:r>
    </w:p>
    <w:p>
      <w:pPr>
        <w:numPr>
          <w:ilvl w:val="1"/>
          <w:numId w:val="285"/>
        </w:numPr>
        <w:ind w:left="1440" w:hanging="220"/>
        <w:jc w:val="left"/>
        <w:rPr>
          <w:rFonts w:eastAsia="Arial" w:cs="Arial"/>
          <w:sz w:val="20"/>
          <w:szCs w:val="20"/>
        </w:rPr>
      </w:pPr>
      <w:r>
        <w:rPr>
          <w:rFonts w:eastAsia="Arial" w:cs="Arial"/>
          <w:sz w:val="20"/>
          <w:szCs w:val="20"/>
        </w:rPr>
        <w:t>KCD has in place policies and procedures prudently designed to achieve compliance with the conditions of the final exemption; and</w:t>
      </w:r>
    </w:p>
    <w:p>
      <w:pPr>
        <w:numPr>
          <w:ilvl w:val="1"/>
          <w:numId w:val="285"/>
        </w:numPr>
        <w:ind w:left="1440" w:hanging="220"/>
        <w:jc w:val="left"/>
        <w:rPr>
          <w:rFonts w:eastAsia="Arial" w:cs="Arial"/>
          <w:sz w:val="20"/>
          <w:szCs w:val="20"/>
        </w:rPr>
      </w:pPr>
      <w:r>
        <w:rPr>
          <w:rFonts w:eastAsia="Arial" w:cs="Arial"/>
          <w:sz w:val="20"/>
          <w:szCs w:val="20"/>
        </w:rPr>
        <w:t>KCD has a prudent process in place to modify such policies and procedures as business, regulatory and legislative changes and events dictate, and to test the effectiveness of such policies and procedures on a periodic basis, the timing and extent of which is reasonably designed to ensure continuing compliance with the conditions of the final exemption.</w:t>
      </w:r>
    </w:p>
    <w:p>
      <w:pPr>
        <w:numPr>
          <w:ilvl w:val="0"/>
          <w:numId w:val="285"/>
        </w:numPr>
        <w:spacing w:after="200"/>
        <w:ind w:left="720" w:hanging="267"/>
        <w:jc w:val="left"/>
        <w:rPr>
          <w:rFonts w:eastAsia="Arial" w:cs="Arial"/>
          <w:sz w:val="20"/>
          <w:szCs w:val="20"/>
        </w:rPr>
      </w:pPr>
      <w:r>
        <w:rPr>
          <w:rFonts w:eastAsia="Arial" w:cs="Arial"/>
          <w:sz w:val="20"/>
          <w:szCs w:val="20"/>
          <w:u w:val="single"/>
        </w:rPr>
        <w:t>Six-Month Deadline</w:t>
      </w:r>
      <w:r>
        <w:rPr>
          <w:rFonts w:eastAsia="Arial" w:cs="Arial"/>
          <w:sz w:val="20"/>
          <w:szCs w:val="20"/>
        </w:rPr>
        <w:t>. The review, report and certification required by these procedures will be completed no later than six months following the end of the period covered by the review.</w:t>
      </w:r>
    </w:p>
    <w:p>
      <w:pPr>
        <w:pStyle w:val="normal0"/>
        <w:spacing w:before="200" w:after="200"/>
        <w:rPr>
          <w:rFonts w:eastAsia="Arial" w:cs="Arial"/>
          <w:sz w:val="20"/>
          <w:szCs w:val="20"/>
        </w:rPr>
      </w:pPr>
      <w:r>
        <w:rPr>
          <w:rFonts w:eastAsia="Arial" w:cs="Arial"/>
          <w:b/>
          <w:bCs/>
          <w:sz w:val="20"/>
          <w:szCs w:val="20"/>
        </w:rPr>
        <w:t>PTE 2020-02 Self Correction</w:t>
      </w:r>
    </w:p>
    <w:p>
      <w:pPr>
        <w:pStyle w:val="normal0"/>
        <w:spacing w:before="200" w:after="200"/>
        <w:rPr>
          <w:rFonts w:eastAsia="Arial" w:cs="Arial"/>
          <w:sz w:val="20"/>
          <w:szCs w:val="20"/>
        </w:rPr>
      </w:pPr>
      <w:r>
        <w:rPr>
          <w:rFonts w:eastAsia="Arial" w:cs="Arial"/>
          <w:sz w:val="20"/>
          <w:szCs w:val="20"/>
        </w:rPr>
        <w:t>When relying upon PTE 2020-02 Exemption, KCD may be in the position to self-correct a violation of the Exemption, which is permissible by PTE 2020-02. To self-correct, KCD must:</w:t>
      </w:r>
    </w:p>
    <w:p>
      <w:pPr>
        <w:numPr>
          <w:ilvl w:val="0"/>
          <w:numId w:val="286"/>
        </w:numPr>
        <w:spacing w:before="200"/>
        <w:ind w:left="720" w:hanging="267"/>
        <w:jc w:val="left"/>
        <w:rPr>
          <w:rFonts w:eastAsia="Arial" w:cs="Arial"/>
          <w:sz w:val="20"/>
          <w:szCs w:val="20"/>
        </w:rPr>
      </w:pPr>
      <w:r>
        <w:rPr>
          <w:rFonts w:eastAsia="Arial" w:cs="Arial"/>
          <w:sz w:val="20"/>
          <w:szCs w:val="20"/>
        </w:rPr>
        <w:t>determine that the violation did not result in investment loss, or it must make the retirement plan client whole for any such loss;</w:t>
      </w:r>
    </w:p>
    <w:p>
      <w:pPr>
        <w:numPr>
          <w:ilvl w:val="0"/>
          <w:numId w:val="286"/>
        </w:numPr>
        <w:ind w:left="720" w:hanging="267"/>
        <w:jc w:val="left"/>
        <w:rPr>
          <w:rFonts w:eastAsia="Arial" w:cs="Arial"/>
          <w:sz w:val="20"/>
          <w:szCs w:val="20"/>
        </w:rPr>
      </w:pPr>
      <w:r>
        <w:rPr>
          <w:rFonts w:eastAsia="Arial" w:cs="Arial"/>
          <w:sz w:val="20"/>
          <w:szCs w:val="20"/>
        </w:rPr>
        <w:t>correct the violation and notify the DOL within thirty days of correction;</w:t>
      </w:r>
    </w:p>
    <w:p>
      <w:pPr>
        <w:numPr>
          <w:ilvl w:val="0"/>
          <w:numId w:val="286"/>
        </w:numPr>
        <w:ind w:left="720" w:hanging="267"/>
        <w:jc w:val="left"/>
        <w:rPr>
          <w:rFonts w:eastAsia="Arial" w:cs="Arial"/>
          <w:sz w:val="20"/>
          <w:szCs w:val="20"/>
        </w:rPr>
      </w:pPr>
      <w:r>
        <w:rPr>
          <w:rFonts w:eastAsia="Arial" w:cs="Arial"/>
          <w:sz w:val="20"/>
          <w:szCs w:val="20"/>
        </w:rPr>
        <w:t>complete the correction no later than ninety days after KCD learned of (or reasonably should have learned of) the violation; and</w:t>
      </w:r>
    </w:p>
    <w:p>
      <w:pPr>
        <w:numPr>
          <w:ilvl w:val="0"/>
          <w:numId w:val="286"/>
        </w:numPr>
        <w:spacing w:after="200"/>
        <w:ind w:left="720" w:hanging="267"/>
        <w:jc w:val="left"/>
        <w:rPr>
          <w:rFonts w:eastAsia="Arial" w:cs="Arial"/>
          <w:sz w:val="20"/>
          <w:szCs w:val="20"/>
        </w:rPr>
      </w:pPr>
      <w:r>
        <w:rPr>
          <w:rFonts w:eastAsia="Arial" w:cs="Arial"/>
          <w:sz w:val="20"/>
          <w:szCs w:val="20"/>
        </w:rPr>
        <w:t>notify the persons responsible for conducting the retrospective review during the applicable review cycle so the correction can be included in the report.</w:t>
      </w:r>
    </w:p>
    <w:p>
      <w:pPr>
        <w:pStyle w:val="normal0"/>
        <w:spacing w:before="200" w:after="200"/>
        <w:rPr>
          <w:rFonts w:eastAsia="Arial" w:cs="Arial"/>
          <w:sz w:val="20"/>
          <w:szCs w:val="20"/>
        </w:rPr>
      </w:pPr>
      <w:r>
        <w:rPr>
          <w:rFonts w:eastAsia="Arial" w:cs="Arial"/>
          <w:b/>
          <w:bCs/>
          <w:sz w:val="20"/>
          <w:szCs w:val="20"/>
        </w:rPr>
        <w:t>PTE 2020-02 Recordkeeping</w:t>
      </w:r>
    </w:p>
    <w:p>
      <w:pPr>
        <w:pStyle w:val="normal0"/>
        <w:spacing w:before="200" w:after="200"/>
        <w:rPr>
          <w:rFonts w:eastAsia="Arial" w:cs="Arial"/>
          <w:sz w:val="20"/>
          <w:szCs w:val="20"/>
        </w:rPr>
      </w:pPr>
      <w:r>
        <w:rPr>
          <w:rFonts w:eastAsia="Arial" w:cs="Arial"/>
          <w:sz w:val="20"/>
          <w:szCs w:val="20"/>
        </w:rPr>
        <w:t>When relying upon PTE 2020-02 Exemption, KCD will maintain for a period of six years, records demonstrating compliance with the exemption, and it must make such records available (to the extent permitted by law), to any authorized employee of the U.S. Department of Labor or U.S. Department of Treasury.</w:t>
      </w:r>
    </w:p>
    <w:p>
      <w:bookmarkEnd w:id="283"/>
      <w:bookmarkStart w:id="284" w:name="Sec_Chp_061016102250093_061016102251015"/>
    </w:p>
    <w:p>
      <w:pPr>
        <w:pStyle w:val="Heading4"/>
      </w:pPr>
      <w:r>
        <w:t>5.3.8.9 ERISA Reporting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plan clients to which KCD provides investment management services, KCD will comply or assist others, including plan sponsors, with complying with all applicable reporting obligations set forth in ERISA.</w:t>
      </w:r>
    </w:p>
    <w:p>
      <w:pPr>
        <w:pStyle w:val="normal0"/>
        <w:spacing w:before="200" w:after="200"/>
        <w:rPr>
          <w:rFonts w:eastAsia="Arial" w:cs="Arial"/>
          <w:sz w:val="20"/>
          <w:szCs w:val="20"/>
        </w:rPr>
      </w:pPr>
      <w:r>
        <w:rPr>
          <w:rFonts w:eastAsia="Arial" w:cs="Arial"/>
          <w:sz w:val="20"/>
          <w:szCs w:val="20"/>
        </w:rPr>
        <w:t>Each year, the plan sponsor and/or administrator will file an annual report with the U.S. Department of Labor and the IRS on Form 5500. Such reports shall include, among other information, the value of the assets of its plan clients at the beginning and end of the year and compensation earned directly and indirectly by KCD in connection with the services it provided to the plan.</w:t>
      </w:r>
    </w:p>
    <w:p>
      <w:pPr>
        <w:pStyle w:val="normal0"/>
        <w:spacing w:before="200" w:after="200"/>
        <w:rPr>
          <w:rFonts w:eastAsia="Arial" w:cs="Arial"/>
          <w:sz w:val="20"/>
          <w:szCs w:val="20"/>
        </w:rPr>
      </w:pPr>
      <w:r>
        <w:rPr>
          <w:rFonts w:eastAsia="Arial" w:cs="Arial"/>
          <w:sz w:val="20"/>
          <w:szCs w:val="20"/>
        </w:rPr>
        <w:t>KCD will use its best efforts to provide certain information, including information about its direct and indirect compensation received in its role as a service provider to the plan and plan participants, to the plan administrator so that the plan administrator is able to complete Schedule C of Form 5500. If KCD provides a notice to plan participants containing certain information, the plan administrator may be able to file a simplified disclosure with the DOL and IRS. This may reduce the amount of information KCD has to provide to the plan administrator.</w:t>
      </w:r>
    </w:p>
    <w:p>
      <w:bookmarkEnd w:id="284"/>
      <w:bookmarkStart w:id="285" w:name="Sec_Chp_061016102250093_061016102251031"/>
    </w:p>
    <w:p>
      <w:pPr>
        <w:pStyle w:val="Heading4"/>
      </w:pPr>
      <w:r>
        <w:t>5.3.8.10 Guidance by Outside Counsel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Before engaging in any of the following transactions, the Chief Compliance Officer will consult with counsel with ERISA expertise:</w:t>
      </w:r>
    </w:p>
    <w:p>
      <w:pPr>
        <w:numPr>
          <w:ilvl w:val="0"/>
          <w:numId w:val="287"/>
        </w:numPr>
        <w:spacing w:before="200"/>
        <w:ind w:left="720" w:hanging="192"/>
        <w:jc w:val="left"/>
        <w:rPr>
          <w:rFonts w:eastAsia="Arial" w:cs="Arial"/>
          <w:sz w:val="20"/>
          <w:szCs w:val="20"/>
        </w:rPr>
      </w:pPr>
      <w:r>
        <w:rPr>
          <w:rFonts w:eastAsia="Arial" w:cs="Arial"/>
          <w:sz w:val="20"/>
          <w:szCs w:val="20"/>
        </w:rPr>
        <w:t xml:space="preserve">Use of soft dollars; </w:t>
      </w:r>
    </w:p>
    <w:p>
      <w:pPr>
        <w:numPr>
          <w:ilvl w:val="0"/>
          <w:numId w:val="287"/>
        </w:numPr>
        <w:ind w:left="720" w:hanging="192"/>
        <w:jc w:val="left"/>
        <w:rPr>
          <w:rFonts w:eastAsia="Arial" w:cs="Arial"/>
          <w:sz w:val="20"/>
          <w:szCs w:val="20"/>
        </w:rPr>
      </w:pPr>
      <w:r>
        <w:rPr>
          <w:rFonts w:eastAsia="Arial" w:cs="Arial"/>
          <w:sz w:val="20"/>
          <w:szCs w:val="20"/>
        </w:rPr>
        <w:t>Use of affiliated broker-dealers;</w:t>
      </w:r>
    </w:p>
    <w:p>
      <w:pPr>
        <w:numPr>
          <w:ilvl w:val="0"/>
          <w:numId w:val="287"/>
        </w:numPr>
        <w:ind w:left="720" w:hanging="192"/>
        <w:jc w:val="left"/>
        <w:rPr>
          <w:rFonts w:eastAsia="Arial" w:cs="Arial"/>
          <w:sz w:val="20"/>
          <w:szCs w:val="20"/>
        </w:rPr>
      </w:pPr>
      <w:r>
        <w:rPr>
          <w:rFonts w:eastAsia="Arial" w:cs="Arial"/>
          <w:sz w:val="20"/>
          <w:szCs w:val="20"/>
        </w:rPr>
        <w:t xml:space="preserve">Cross trades between plan clients; and </w:t>
      </w:r>
    </w:p>
    <w:p>
      <w:pPr>
        <w:numPr>
          <w:ilvl w:val="0"/>
          <w:numId w:val="287"/>
        </w:numPr>
        <w:spacing w:after="200"/>
        <w:ind w:left="720" w:hanging="192"/>
        <w:jc w:val="left"/>
        <w:rPr>
          <w:rFonts w:eastAsia="Arial" w:cs="Arial"/>
          <w:sz w:val="20"/>
          <w:szCs w:val="20"/>
        </w:rPr>
      </w:pPr>
      <w:r>
        <w:rPr>
          <w:rFonts w:eastAsia="Arial" w:cs="Arial"/>
          <w:sz w:val="20"/>
          <w:szCs w:val="20"/>
        </w:rPr>
        <w:t>Principal transactions with KCD or an affiliate.</w:t>
      </w:r>
    </w:p>
    <w:p>
      <w:bookmarkEnd w:id="285"/>
      <w:bookmarkStart w:id="286" w:name="Sec_Chp_061016102250093_061016102251046"/>
    </w:p>
    <w:p>
      <w:pPr>
        <w:pStyle w:val="Heading4"/>
      </w:pPr>
      <w:r>
        <w:t>5.3.8.11 Bonding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check ERISA and applicable Department of Labor rules to see if its activities with respect to plan clients holding plan assets require KCD to obtain a bond. If so, the Chief Compliance Officer will arrange for KCD to obtain appropriate coverage. Generally, KCD would need to be bonded against acts of fiduciary dishonesty in an amount equal to the lesser of:</w:t>
      </w:r>
    </w:p>
    <w:p>
      <w:pPr>
        <w:numPr>
          <w:ilvl w:val="0"/>
          <w:numId w:val="288"/>
        </w:numPr>
        <w:spacing w:before="200"/>
        <w:ind w:left="720" w:hanging="192"/>
        <w:jc w:val="left"/>
        <w:rPr>
          <w:rFonts w:eastAsia="Arial" w:cs="Arial"/>
          <w:sz w:val="20"/>
          <w:szCs w:val="20"/>
        </w:rPr>
      </w:pPr>
      <w:r>
        <w:rPr>
          <w:rFonts w:eastAsia="Arial" w:cs="Arial"/>
          <w:sz w:val="20"/>
          <w:szCs w:val="20"/>
        </w:rPr>
        <w:t>10% of the Plan client assets handled; or</w:t>
      </w:r>
    </w:p>
    <w:p>
      <w:pPr>
        <w:numPr>
          <w:ilvl w:val="0"/>
          <w:numId w:val="288"/>
        </w:numPr>
        <w:spacing w:after="200"/>
        <w:ind w:left="720" w:hanging="192"/>
        <w:jc w:val="left"/>
        <w:rPr>
          <w:rFonts w:eastAsia="Arial" w:cs="Arial"/>
          <w:sz w:val="20"/>
          <w:szCs w:val="20"/>
        </w:rPr>
      </w:pPr>
      <w:r>
        <w:rPr>
          <w:rFonts w:eastAsia="Arial" w:cs="Arial"/>
          <w:sz w:val="20"/>
          <w:szCs w:val="20"/>
        </w:rPr>
        <w:t>$500,000 ($1,000,000 if the Plan client assets consist of "employer securities").</w:t>
      </w:r>
    </w:p>
    <w:p>
      <w:pPr>
        <w:pStyle w:val="normal0"/>
        <w:spacing w:before="200" w:after="200"/>
        <w:rPr>
          <w:rFonts w:eastAsia="Arial" w:cs="Arial"/>
          <w:sz w:val="20"/>
          <w:szCs w:val="20"/>
        </w:rPr>
      </w:pPr>
      <w:r>
        <w:rPr>
          <w:rFonts w:eastAsia="Arial" w:cs="Arial"/>
          <w:sz w:val="20"/>
          <w:szCs w:val="20"/>
        </w:rPr>
        <w:t>Each bond shall:</w:t>
      </w:r>
    </w:p>
    <w:p>
      <w:pPr>
        <w:numPr>
          <w:ilvl w:val="0"/>
          <w:numId w:val="289"/>
        </w:numPr>
        <w:spacing w:before="200"/>
        <w:ind w:left="720" w:hanging="192"/>
        <w:jc w:val="left"/>
        <w:rPr>
          <w:rFonts w:eastAsia="Arial" w:cs="Arial"/>
          <w:sz w:val="20"/>
          <w:szCs w:val="20"/>
        </w:rPr>
      </w:pPr>
      <w:r>
        <w:rPr>
          <w:rFonts w:eastAsia="Arial" w:cs="Arial"/>
          <w:sz w:val="20"/>
          <w:szCs w:val="20"/>
        </w:rPr>
        <w:t>Protect the Plan client from losses incurred by fraudulent or dishonest acts performed by KCD officer or employee; and</w:t>
      </w:r>
    </w:p>
    <w:p>
      <w:pPr>
        <w:numPr>
          <w:ilvl w:val="0"/>
          <w:numId w:val="289"/>
        </w:numPr>
        <w:spacing w:after="200"/>
        <w:ind w:left="720" w:hanging="192"/>
        <w:jc w:val="left"/>
        <w:rPr>
          <w:rFonts w:eastAsia="Arial" w:cs="Arial"/>
          <w:sz w:val="20"/>
          <w:szCs w:val="20"/>
        </w:rPr>
      </w:pPr>
      <w:r>
        <w:rPr>
          <w:rFonts w:eastAsia="Arial" w:cs="Arial"/>
          <w:sz w:val="20"/>
          <w:szCs w:val="20"/>
        </w:rPr>
        <w:t>Have a corporate surety company that meets Department of Treasury regulations.</w:t>
      </w:r>
    </w:p>
    <w:p>
      <w:bookmarkEnd w:id="286"/>
      <w:bookmarkStart w:id="287" w:name="Sec_Chp_061016102250093_0610163912"/>
    </w:p>
    <w:p>
      <w:pPr>
        <w:pStyle w:val="Heading4"/>
      </w:pPr>
      <w:r>
        <w:t>5.3.8.12 Rule 408(b)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monitor whether it is a "covered service provider" under ERISA, a status if obtained will require it to make certain disclosures.</w:t>
      </w:r>
    </w:p>
    <w:p>
      <w:bookmarkEnd w:id="287"/>
      <w:bookmarkStart w:id="288" w:name="Sec_Chp_061016102250093_06101639121"/>
    </w:p>
    <w:p>
      <w:pPr>
        <w:pStyle w:val="Heading5"/>
      </w:pPr>
      <w:r>
        <w:t>5.3.8.12.1 Potential Accounts Subject to Rule 408(b)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periodically will review the investors in the hedge funds that it manages to determine whether any are "covered plans." "Covered plans" include all ERISA-governed retirement plans other than SEP IRAs and SIMPLE IRAs including:</w:t>
      </w:r>
    </w:p>
    <w:p>
      <w:pPr>
        <w:numPr>
          <w:ilvl w:val="0"/>
          <w:numId w:val="290"/>
        </w:numPr>
        <w:spacing w:before="200"/>
        <w:ind w:left="720" w:hanging="192"/>
        <w:jc w:val="left"/>
        <w:rPr>
          <w:rFonts w:eastAsia="Arial" w:cs="Arial"/>
          <w:sz w:val="20"/>
          <w:szCs w:val="20"/>
        </w:rPr>
      </w:pPr>
      <w:r>
        <w:rPr>
          <w:rFonts w:eastAsia="Arial" w:cs="Arial"/>
          <w:sz w:val="20"/>
          <w:szCs w:val="20"/>
        </w:rPr>
        <w:t>401(k) plans,</w:t>
      </w:r>
    </w:p>
    <w:p>
      <w:pPr>
        <w:numPr>
          <w:ilvl w:val="0"/>
          <w:numId w:val="290"/>
        </w:numPr>
        <w:ind w:left="720" w:hanging="192"/>
        <w:jc w:val="left"/>
        <w:rPr>
          <w:rFonts w:eastAsia="Arial" w:cs="Arial"/>
          <w:sz w:val="20"/>
          <w:szCs w:val="20"/>
        </w:rPr>
      </w:pPr>
      <w:r>
        <w:rPr>
          <w:rFonts w:eastAsia="Arial" w:cs="Arial"/>
          <w:sz w:val="20"/>
          <w:szCs w:val="20"/>
        </w:rPr>
        <w:t>ERISA-covered 403(b) plans,</w:t>
      </w:r>
    </w:p>
    <w:p>
      <w:pPr>
        <w:numPr>
          <w:ilvl w:val="0"/>
          <w:numId w:val="290"/>
        </w:numPr>
        <w:ind w:left="720" w:hanging="192"/>
        <w:jc w:val="left"/>
        <w:rPr>
          <w:rFonts w:eastAsia="Arial" w:cs="Arial"/>
          <w:sz w:val="20"/>
          <w:szCs w:val="20"/>
        </w:rPr>
      </w:pPr>
      <w:r>
        <w:rPr>
          <w:rFonts w:eastAsia="Arial" w:cs="Arial"/>
          <w:sz w:val="20"/>
          <w:szCs w:val="20"/>
        </w:rPr>
        <w:t>defined benefit pension plans, and</w:t>
      </w:r>
    </w:p>
    <w:p>
      <w:pPr>
        <w:numPr>
          <w:ilvl w:val="0"/>
          <w:numId w:val="290"/>
        </w:numPr>
        <w:spacing w:after="200"/>
        <w:ind w:left="720" w:hanging="192"/>
        <w:jc w:val="left"/>
        <w:rPr>
          <w:rFonts w:eastAsia="Arial" w:cs="Arial"/>
          <w:sz w:val="20"/>
          <w:szCs w:val="20"/>
        </w:rPr>
      </w:pPr>
      <w:r>
        <w:rPr>
          <w:rFonts w:eastAsia="Arial" w:cs="Arial"/>
          <w:sz w:val="20"/>
          <w:szCs w:val="20"/>
        </w:rPr>
        <w:t>non-participant directed profit sharing plans.</w:t>
      </w:r>
    </w:p>
    <w:p>
      <w:bookmarkEnd w:id="288"/>
      <w:bookmarkStart w:id="289" w:name="Sec_Chp_061016102250093_06101639122"/>
    </w:p>
    <w:p>
      <w:pPr>
        <w:pStyle w:val="Heading5"/>
      </w:pPr>
      <w:r>
        <w:t>5.3.8.12.2 Covered Service Provider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will determine whether KCD is a "covered service provider." KCD will meet that definition if the following three conditions exist:</w:t>
      </w:r>
    </w:p>
    <w:p>
      <w:pPr>
        <w:numPr>
          <w:ilvl w:val="0"/>
          <w:numId w:val="291"/>
        </w:numPr>
        <w:spacing w:before="200"/>
        <w:ind w:left="720" w:hanging="267"/>
        <w:jc w:val="left"/>
        <w:rPr>
          <w:rFonts w:eastAsia="Arial" w:cs="Arial"/>
          <w:sz w:val="20"/>
          <w:szCs w:val="20"/>
        </w:rPr>
      </w:pPr>
      <w:r>
        <w:rPr>
          <w:rFonts w:eastAsia="Arial" w:cs="Arial"/>
          <w:sz w:val="20"/>
          <w:szCs w:val="20"/>
        </w:rPr>
        <w:t>it has a contract or an arrangement with a covered plan;</w:t>
      </w:r>
    </w:p>
    <w:p>
      <w:pPr>
        <w:numPr>
          <w:ilvl w:val="0"/>
          <w:numId w:val="291"/>
        </w:numPr>
        <w:ind w:left="720" w:hanging="267"/>
        <w:jc w:val="left"/>
        <w:rPr>
          <w:rFonts w:eastAsia="Arial" w:cs="Arial"/>
          <w:sz w:val="20"/>
          <w:szCs w:val="20"/>
        </w:rPr>
      </w:pPr>
      <w:r>
        <w:rPr>
          <w:rFonts w:eastAsia="Arial" w:cs="Arial"/>
          <w:sz w:val="20"/>
          <w:szCs w:val="20"/>
        </w:rPr>
        <w:t>it reasonably expects to receive $1,000 or more in direct or indirect compensation under an arrangement involving the covered plan; and</w:t>
      </w:r>
    </w:p>
    <w:p>
      <w:pPr>
        <w:numPr>
          <w:ilvl w:val="0"/>
          <w:numId w:val="291"/>
        </w:numPr>
        <w:spacing w:after="200"/>
        <w:ind w:left="720" w:hanging="267"/>
        <w:jc w:val="left"/>
        <w:rPr>
          <w:rFonts w:eastAsia="Arial" w:cs="Arial"/>
          <w:sz w:val="20"/>
          <w:szCs w:val="20"/>
        </w:rPr>
      </w:pPr>
      <w:r>
        <w:rPr>
          <w:rFonts w:eastAsia="Arial" w:cs="Arial"/>
          <w:sz w:val="20"/>
          <w:szCs w:val="20"/>
        </w:rPr>
        <w:t>it provides "covered services."</w:t>
      </w:r>
    </w:p>
    <w:p>
      <w:pPr>
        <w:pStyle w:val="normal0"/>
        <w:spacing w:before="200" w:after="200"/>
        <w:rPr>
          <w:rFonts w:eastAsia="Arial" w:cs="Arial"/>
          <w:sz w:val="20"/>
          <w:szCs w:val="20"/>
        </w:rPr>
      </w:pPr>
      <w:r>
        <w:rPr>
          <w:rFonts w:eastAsia="Arial" w:cs="Arial"/>
          <w:sz w:val="20"/>
          <w:szCs w:val="20"/>
        </w:rPr>
        <w:t>Covered services most relevant to registered advisers are:</w:t>
      </w:r>
    </w:p>
    <w:p>
      <w:pPr>
        <w:numPr>
          <w:ilvl w:val="0"/>
          <w:numId w:val="292"/>
        </w:numPr>
        <w:spacing w:before="200"/>
        <w:ind w:left="720" w:hanging="192"/>
        <w:jc w:val="left"/>
        <w:rPr>
          <w:rFonts w:eastAsia="Arial" w:cs="Arial"/>
          <w:sz w:val="20"/>
          <w:szCs w:val="20"/>
        </w:rPr>
      </w:pPr>
      <w:r>
        <w:rPr>
          <w:rFonts w:eastAsia="Arial" w:cs="Arial"/>
          <w:sz w:val="20"/>
          <w:szCs w:val="20"/>
        </w:rPr>
        <w:t>Services provided directly to a plan as a fiduciary under ERISA Section 3(21), which would generally include an investment adviser providing advisory services to a plan or participants in a plan under Section 3(21)(A)(ii);</w:t>
      </w:r>
    </w:p>
    <w:p>
      <w:pPr>
        <w:numPr>
          <w:ilvl w:val="0"/>
          <w:numId w:val="292"/>
        </w:numPr>
        <w:ind w:left="720" w:hanging="192"/>
        <w:jc w:val="left"/>
        <w:rPr>
          <w:rFonts w:eastAsia="Arial" w:cs="Arial"/>
          <w:sz w:val="20"/>
          <w:szCs w:val="20"/>
        </w:rPr>
      </w:pPr>
      <w:r>
        <w:rPr>
          <w:rFonts w:eastAsia="Arial" w:cs="Arial"/>
          <w:sz w:val="20"/>
          <w:szCs w:val="20"/>
        </w:rPr>
        <w:t>Services provided directly to a plan as an investment adviser registered under the Investment Advisers Act of 1940 or state law, which would include registered investment advisers providing services that might not constitute fiduciary services; and</w:t>
      </w:r>
    </w:p>
    <w:p>
      <w:pPr>
        <w:numPr>
          <w:ilvl w:val="0"/>
          <w:numId w:val="292"/>
        </w:numPr>
        <w:spacing w:after="200"/>
        <w:ind w:left="720" w:hanging="192"/>
        <w:jc w:val="left"/>
        <w:rPr>
          <w:rFonts w:eastAsia="Arial" w:cs="Arial"/>
          <w:sz w:val="20"/>
          <w:szCs w:val="20"/>
        </w:rPr>
      </w:pPr>
      <w:r>
        <w:rPr>
          <w:rFonts w:eastAsia="Arial" w:cs="Arial"/>
          <w:sz w:val="20"/>
          <w:szCs w:val="20"/>
        </w:rPr>
        <w:t>Consulting and investment advisory services if the investment adviser reasonably expects to receive "indirect compensation" (as defined in the regulation).</w:t>
      </w:r>
    </w:p>
    <w:p>
      <w:pPr>
        <w:pStyle w:val="normal0"/>
        <w:spacing w:before="200" w:after="200"/>
        <w:rPr>
          <w:rFonts w:eastAsia="Arial" w:cs="Arial"/>
          <w:sz w:val="20"/>
          <w:szCs w:val="20"/>
        </w:rPr>
      </w:pPr>
      <w:r>
        <w:rPr>
          <w:rFonts w:eastAsia="Arial" w:cs="Arial"/>
          <w:sz w:val="20"/>
          <w:szCs w:val="20"/>
        </w:rPr>
        <w:t>"Consulting" services are those that relate to the development or implementation of investment policies or objectives or the selection or monitoring of service providers or plan investments.</w:t>
      </w:r>
    </w:p>
    <w:p>
      <w:pPr>
        <w:pStyle w:val="normal0"/>
        <w:spacing w:before="200" w:after="200"/>
        <w:rPr>
          <w:rFonts w:eastAsia="Arial" w:cs="Arial"/>
          <w:sz w:val="20"/>
          <w:szCs w:val="20"/>
        </w:rPr>
      </w:pPr>
      <w:r>
        <w:rPr>
          <w:rFonts w:eastAsia="Arial" w:cs="Arial"/>
          <w:sz w:val="20"/>
          <w:szCs w:val="20"/>
        </w:rPr>
        <w:t>KCD may very well likely fall within "covered service providers" under one or more the above categories because it:</w:t>
      </w:r>
    </w:p>
    <w:p>
      <w:pPr>
        <w:numPr>
          <w:ilvl w:val="0"/>
          <w:numId w:val="293"/>
        </w:numPr>
        <w:spacing w:before="200"/>
        <w:ind w:left="720" w:hanging="192"/>
        <w:jc w:val="left"/>
        <w:rPr>
          <w:rFonts w:eastAsia="Arial" w:cs="Arial"/>
          <w:sz w:val="20"/>
          <w:szCs w:val="20"/>
        </w:rPr>
      </w:pPr>
      <w:r>
        <w:rPr>
          <w:rFonts w:eastAsia="Arial" w:cs="Arial"/>
          <w:sz w:val="20"/>
          <w:szCs w:val="20"/>
        </w:rPr>
        <w:t>provides "direct" investment advice;</w:t>
      </w:r>
    </w:p>
    <w:p>
      <w:pPr>
        <w:numPr>
          <w:ilvl w:val="0"/>
          <w:numId w:val="293"/>
        </w:numPr>
        <w:ind w:left="720" w:hanging="192"/>
        <w:jc w:val="left"/>
        <w:rPr>
          <w:rFonts w:eastAsia="Arial" w:cs="Arial"/>
          <w:sz w:val="20"/>
          <w:szCs w:val="20"/>
        </w:rPr>
      </w:pPr>
      <w:r>
        <w:rPr>
          <w:rFonts w:eastAsia="Arial" w:cs="Arial"/>
          <w:sz w:val="20"/>
          <w:szCs w:val="20"/>
        </w:rPr>
        <w:t>is a fiduciary under ERISA; and</w:t>
      </w:r>
    </w:p>
    <w:p>
      <w:pPr>
        <w:numPr>
          <w:ilvl w:val="0"/>
          <w:numId w:val="293"/>
        </w:numPr>
        <w:spacing w:after="200"/>
        <w:ind w:left="720" w:hanging="192"/>
        <w:jc w:val="left"/>
        <w:rPr>
          <w:rFonts w:eastAsia="Arial" w:cs="Arial"/>
          <w:sz w:val="20"/>
          <w:szCs w:val="20"/>
        </w:rPr>
      </w:pPr>
      <w:r>
        <w:rPr>
          <w:rFonts w:eastAsia="Arial" w:cs="Arial"/>
          <w:sz w:val="20"/>
          <w:szCs w:val="20"/>
        </w:rPr>
        <w:t>is registered under the Advisers Act and provides services covered by that registration.</w:t>
      </w:r>
    </w:p>
    <w:p>
      <w:pPr>
        <w:pStyle w:val="normal0"/>
        <w:spacing w:before="200" w:after="200"/>
        <w:rPr>
          <w:rFonts w:eastAsia="Arial" w:cs="Arial"/>
          <w:sz w:val="20"/>
          <w:szCs w:val="20"/>
        </w:rPr>
      </w:pPr>
      <w:r>
        <w:rPr>
          <w:rFonts w:eastAsia="Arial" w:cs="Arial"/>
          <w:sz w:val="20"/>
          <w:szCs w:val="20"/>
        </w:rPr>
        <w:t>In addition, KCD will be a covered service provider if it receives indirect compensation and provides such consulting services as:</w:t>
      </w:r>
    </w:p>
    <w:p>
      <w:pPr>
        <w:numPr>
          <w:ilvl w:val="0"/>
          <w:numId w:val="294"/>
        </w:numPr>
        <w:spacing w:before="200"/>
        <w:ind w:left="720" w:hanging="192"/>
        <w:jc w:val="left"/>
        <w:rPr>
          <w:rFonts w:eastAsia="Arial" w:cs="Arial"/>
          <w:sz w:val="20"/>
          <w:szCs w:val="20"/>
        </w:rPr>
      </w:pPr>
      <w:r>
        <w:rPr>
          <w:rFonts w:eastAsia="Arial" w:cs="Arial"/>
          <w:sz w:val="20"/>
          <w:szCs w:val="20"/>
        </w:rPr>
        <w:t>assisting with the development of a plan's investment policy;</w:t>
      </w:r>
    </w:p>
    <w:p>
      <w:pPr>
        <w:numPr>
          <w:ilvl w:val="0"/>
          <w:numId w:val="294"/>
        </w:numPr>
        <w:ind w:left="720" w:hanging="192"/>
        <w:jc w:val="left"/>
        <w:rPr>
          <w:rFonts w:eastAsia="Arial" w:cs="Arial"/>
          <w:sz w:val="20"/>
          <w:szCs w:val="20"/>
        </w:rPr>
      </w:pPr>
      <w:r>
        <w:rPr>
          <w:rFonts w:eastAsia="Arial" w:cs="Arial"/>
          <w:sz w:val="20"/>
          <w:szCs w:val="20"/>
        </w:rPr>
        <w:t>helping with the selection or monitoring of the recordkeeper; and</w:t>
      </w:r>
    </w:p>
    <w:p>
      <w:pPr>
        <w:numPr>
          <w:ilvl w:val="0"/>
          <w:numId w:val="294"/>
        </w:numPr>
        <w:spacing w:after="200"/>
        <w:ind w:left="720" w:hanging="192"/>
        <w:jc w:val="left"/>
        <w:rPr>
          <w:rFonts w:eastAsia="Arial" w:cs="Arial"/>
          <w:sz w:val="20"/>
          <w:szCs w:val="20"/>
        </w:rPr>
      </w:pPr>
      <w:r>
        <w:rPr>
          <w:rFonts w:eastAsia="Arial" w:cs="Arial"/>
          <w:sz w:val="20"/>
          <w:szCs w:val="20"/>
        </w:rPr>
        <w:t>providing information to assist a fiduciary in monitoring a plan's investments.</w:t>
      </w:r>
    </w:p>
    <w:p>
      <w:bookmarkEnd w:id="289"/>
      <w:bookmarkStart w:id="290" w:name="Sec_Chp_061016102250093_06101639123"/>
    </w:p>
    <w:p>
      <w:pPr>
        <w:pStyle w:val="Heading5"/>
      </w:pPr>
      <w:r>
        <w:t>5.3.8.12.3 Disclosure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subject to Rule 408(b), it must provide the following disclosure in writing to covered plans:</w:t>
      </w:r>
    </w:p>
    <w:p>
      <w:pPr>
        <w:numPr>
          <w:ilvl w:val="0"/>
          <w:numId w:val="295"/>
        </w:numPr>
        <w:spacing w:before="200"/>
        <w:ind w:left="720" w:hanging="192"/>
        <w:jc w:val="left"/>
        <w:rPr>
          <w:rFonts w:eastAsia="Arial" w:cs="Arial"/>
          <w:sz w:val="20"/>
          <w:szCs w:val="20"/>
        </w:rPr>
      </w:pPr>
      <w:r>
        <w:rPr>
          <w:rFonts w:eastAsia="Arial" w:cs="Arial"/>
          <w:sz w:val="20"/>
          <w:szCs w:val="20"/>
        </w:rPr>
        <w:t>description of services to be provided;</w:t>
      </w:r>
    </w:p>
    <w:p>
      <w:pPr>
        <w:numPr>
          <w:ilvl w:val="0"/>
          <w:numId w:val="295"/>
        </w:numPr>
        <w:ind w:left="720" w:hanging="192"/>
        <w:jc w:val="left"/>
        <w:rPr>
          <w:rFonts w:eastAsia="Arial" w:cs="Arial"/>
          <w:sz w:val="20"/>
          <w:szCs w:val="20"/>
        </w:rPr>
      </w:pPr>
      <w:r>
        <w:rPr>
          <w:rFonts w:eastAsia="Arial" w:cs="Arial"/>
          <w:sz w:val="20"/>
          <w:szCs w:val="20"/>
        </w:rPr>
        <w:t>status of KCD (</w:t>
      </w:r>
      <w:r>
        <w:rPr>
          <w:rFonts w:eastAsia="Arial" w:cs="Arial"/>
          <w:i/>
          <w:iCs/>
          <w:sz w:val="20"/>
          <w:szCs w:val="20"/>
        </w:rPr>
        <w:t>e.g.,</w:t>
      </w:r>
      <w:r>
        <w:rPr>
          <w:rFonts w:eastAsia="Arial" w:cs="Arial"/>
          <w:sz w:val="20"/>
          <w:szCs w:val="20"/>
        </w:rPr>
        <w:t xml:space="preserve"> registered investment adviser, fiduciary or both);</w:t>
      </w:r>
    </w:p>
    <w:p>
      <w:pPr>
        <w:numPr>
          <w:ilvl w:val="0"/>
          <w:numId w:val="295"/>
        </w:numPr>
        <w:ind w:left="720" w:hanging="192"/>
        <w:jc w:val="left"/>
        <w:rPr>
          <w:rFonts w:eastAsia="Arial" w:cs="Arial"/>
          <w:sz w:val="20"/>
          <w:szCs w:val="20"/>
        </w:rPr>
      </w:pPr>
      <w:r>
        <w:rPr>
          <w:rFonts w:eastAsia="Arial" w:cs="Arial"/>
          <w:sz w:val="20"/>
          <w:szCs w:val="20"/>
        </w:rPr>
        <w:t>all direct compensation to be received (either in aggregate or by service);</w:t>
      </w:r>
    </w:p>
    <w:p>
      <w:pPr>
        <w:numPr>
          <w:ilvl w:val="0"/>
          <w:numId w:val="295"/>
        </w:numPr>
        <w:ind w:left="720" w:hanging="192"/>
        <w:jc w:val="left"/>
        <w:rPr>
          <w:rFonts w:eastAsia="Arial" w:cs="Arial"/>
          <w:sz w:val="20"/>
          <w:szCs w:val="20"/>
        </w:rPr>
      </w:pPr>
      <w:r>
        <w:rPr>
          <w:rFonts w:eastAsia="Arial" w:cs="Arial"/>
          <w:sz w:val="20"/>
          <w:szCs w:val="20"/>
        </w:rPr>
        <w:t>all indirect compensation to be received (describing services and payor);</w:t>
      </w:r>
    </w:p>
    <w:p>
      <w:pPr>
        <w:numPr>
          <w:ilvl w:val="0"/>
          <w:numId w:val="295"/>
        </w:numPr>
        <w:ind w:left="720" w:hanging="192"/>
        <w:jc w:val="left"/>
        <w:rPr>
          <w:rFonts w:eastAsia="Arial" w:cs="Arial"/>
          <w:sz w:val="20"/>
          <w:szCs w:val="20"/>
        </w:rPr>
      </w:pPr>
      <w:r>
        <w:rPr>
          <w:rFonts w:eastAsia="Arial" w:cs="Arial"/>
          <w:sz w:val="20"/>
          <w:szCs w:val="20"/>
        </w:rPr>
        <w:t>any related compensation if set on a transaction basis, or charged directly against a plan's investment and reflected in the net asset value of the investment;</w:t>
      </w:r>
    </w:p>
    <w:p>
      <w:pPr>
        <w:numPr>
          <w:ilvl w:val="0"/>
          <w:numId w:val="295"/>
        </w:numPr>
        <w:ind w:left="720" w:hanging="192"/>
        <w:jc w:val="left"/>
        <w:rPr>
          <w:rFonts w:eastAsia="Arial" w:cs="Arial"/>
          <w:sz w:val="20"/>
          <w:szCs w:val="20"/>
        </w:rPr>
      </w:pPr>
      <w:r>
        <w:rPr>
          <w:rFonts w:eastAsia="Arial" w:cs="Arial"/>
          <w:sz w:val="20"/>
          <w:szCs w:val="20"/>
        </w:rPr>
        <w:t>any termination compensation, including how any prepaid amounts will be calculated and rebated; and</w:t>
      </w:r>
    </w:p>
    <w:p>
      <w:pPr>
        <w:numPr>
          <w:ilvl w:val="0"/>
          <w:numId w:val="295"/>
        </w:numPr>
        <w:spacing w:after="200"/>
        <w:ind w:left="720" w:hanging="192"/>
        <w:jc w:val="left"/>
        <w:rPr>
          <w:rFonts w:eastAsia="Arial" w:cs="Arial"/>
          <w:sz w:val="20"/>
          <w:szCs w:val="20"/>
        </w:rPr>
      </w:pPr>
      <w:r>
        <w:rPr>
          <w:rFonts w:eastAsia="Arial" w:cs="Arial"/>
          <w:sz w:val="20"/>
          <w:szCs w:val="20"/>
        </w:rPr>
        <w:t>description of the manner in which it receives the fees (</w:t>
      </w:r>
      <w:r>
        <w:rPr>
          <w:rFonts w:eastAsia="Arial" w:cs="Arial"/>
          <w:i/>
          <w:iCs/>
          <w:sz w:val="20"/>
          <w:szCs w:val="20"/>
        </w:rPr>
        <w:t>e.g.,</w:t>
      </w:r>
      <w:r>
        <w:rPr>
          <w:rFonts w:eastAsia="Arial" w:cs="Arial"/>
          <w:sz w:val="20"/>
          <w:szCs w:val="20"/>
        </w:rPr>
        <w:t xml:space="preserve"> billed or deducted).</w:t>
      </w:r>
    </w:p>
    <w:p>
      <w:pPr>
        <w:pStyle w:val="normal0"/>
        <w:spacing w:before="200" w:after="200"/>
        <w:rPr>
          <w:rFonts w:eastAsia="Arial" w:cs="Arial"/>
          <w:sz w:val="20"/>
          <w:szCs w:val="20"/>
        </w:rPr>
      </w:pPr>
      <w:r>
        <w:rPr>
          <w:rFonts w:eastAsia="Arial" w:cs="Arial"/>
          <w:sz w:val="20"/>
          <w:szCs w:val="20"/>
        </w:rPr>
        <w:t>If KCD provides an investment product that holds plan assets, it will provide the following additional disclosures:</w:t>
      </w:r>
    </w:p>
    <w:p>
      <w:pPr>
        <w:numPr>
          <w:ilvl w:val="0"/>
          <w:numId w:val="296"/>
        </w:numPr>
        <w:spacing w:before="200"/>
        <w:ind w:left="720" w:hanging="267"/>
        <w:jc w:val="left"/>
        <w:rPr>
          <w:rFonts w:eastAsia="Arial" w:cs="Arial"/>
          <w:sz w:val="20"/>
          <w:szCs w:val="20"/>
        </w:rPr>
      </w:pPr>
      <w:r>
        <w:rPr>
          <w:rFonts w:eastAsia="Arial" w:cs="Arial"/>
          <w:sz w:val="20"/>
          <w:szCs w:val="20"/>
        </w:rPr>
        <w:t>Description of any compensation that will be charged directly against the amount invested;</w:t>
      </w:r>
    </w:p>
    <w:p>
      <w:pPr>
        <w:numPr>
          <w:ilvl w:val="0"/>
          <w:numId w:val="296"/>
        </w:numPr>
        <w:ind w:left="720" w:hanging="267"/>
        <w:jc w:val="left"/>
        <w:rPr>
          <w:rFonts w:eastAsia="Arial" w:cs="Arial"/>
          <w:sz w:val="20"/>
          <w:szCs w:val="20"/>
        </w:rPr>
      </w:pPr>
      <w:r>
        <w:rPr>
          <w:rFonts w:eastAsia="Arial" w:cs="Arial"/>
          <w:sz w:val="20"/>
          <w:szCs w:val="20"/>
        </w:rPr>
        <w:t>Description of any operating expenses (</w:t>
      </w:r>
      <w:r>
        <w:rPr>
          <w:rFonts w:eastAsia="Arial" w:cs="Arial"/>
          <w:i/>
          <w:iCs/>
          <w:sz w:val="20"/>
          <w:szCs w:val="20"/>
        </w:rPr>
        <w:t>e.g.,</w:t>
      </w:r>
      <w:r>
        <w:rPr>
          <w:rFonts w:eastAsia="Arial" w:cs="Arial"/>
          <w:sz w:val="20"/>
          <w:szCs w:val="20"/>
        </w:rPr>
        <w:t xml:space="preserve"> expense ratio); and</w:t>
      </w:r>
    </w:p>
    <w:p>
      <w:pPr>
        <w:numPr>
          <w:ilvl w:val="0"/>
          <w:numId w:val="296"/>
        </w:numPr>
        <w:spacing w:after="200"/>
        <w:ind w:left="720" w:hanging="267"/>
        <w:jc w:val="left"/>
        <w:rPr>
          <w:rFonts w:eastAsia="Arial" w:cs="Arial"/>
          <w:sz w:val="20"/>
          <w:szCs w:val="20"/>
        </w:rPr>
      </w:pPr>
      <w:r>
        <w:rPr>
          <w:rFonts w:eastAsia="Arial" w:cs="Arial"/>
          <w:sz w:val="20"/>
          <w:szCs w:val="20"/>
        </w:rPr>
        <w:t>Description of any other ongoing expenses.</w:t>
      </w:r>
    </w:p>
    <w:p>
      <w:pPr>
        <w:pStyle w:val="normal0"/>
        <w:spacing w:before="200" w:after="200"/>
        <w:rPr>
          <w:rFonts w:eastAsia="Arial" w:cs="Arial"/>
          <w:sz w:val="20"/>
          <w:szCs w:val="20"/>
        </w:rPr>
      </w:pPr>
      <w:r>
        <w:rPr>
          <w:rFonts w:eastAsia="Arial" w:cs="Arial"/>
          <w:sz w:val="20"/>
          <w:szCs w:val="20"/>
        </w:rPr>
        <w:t>KCD may seek to comply with some or all of the disclosure obligation by providing Part 2A of its Form ADV and incorporating the Form by reference and by cross-referencing other disclosure documents made available to clients.</w:t>
      </w:r>
    </w:p>
    <w:p>
      <w:bookmarkEnd w:id="290"/>
      <w:bookmarkStart w:id="291" w:name="Sec_Chp_061016102250093_06101639124"/>
    </w:p>
    <w:p>
      <w:pPr>
        <w:pStyle w:val="Heading5"/>
      </w:pPr>
      <w:r>
        <w:t>5.3.8.12.4 Compensation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must describe:</w:t>
      </w:r>
    </w:p>
    <w:p>
      <w:pPr>
        <w:numPr>
          <w:ilvl w:val="0"/>
          <w:numId w:val="297"/>
        </w:numPr>
        <w:spacing w:before="200"/>
        <w:ind w:left="720" w:hanging="192"/>
        <w:jc w:val="left"/>
        <w:rPr>
          <w:rFonts w:eastAsia="Arial" w:cs="Arial"/>
          <w:sz w:val="20"/>
          <w:szCs w:val="20"/>
        </w:rPr>
      </w:pPr>
      <w:r>
        <w:rPr>
          <w:rFonts w:eastAsia="Arial" w:cs="Arial"/>
          <w:sz w:val="20"/>
          <w:szCs w:val="20"/>
        </w:rPr>
        <w:t>the direct and indirect compensation to be received by it and its affiliates and sub-advisers. Direct compensation means "compensation" (</w:t>
      </w:r>
      <w:r>
        <w:rPr>
          <w:rFonts w:eastAsia="Arial" w:cs="Arial"/>
          <w:i/>
          <w:iCs/>
          <w:sz w:val="20"/>
          <w:szCs w:val="20"/>
        </w:rPr>
        <w:t>i.e.,</w:t>
      </w:r>
      <w:r>
        <w:rPr>
          <w:rFonts w:eastAsia="Arial" w:cs="Arial"/>
          <w:sz w:val="20"/>
          <w:szCs w:val="20"/>
        </w:rPr>
        <w:t xml:space="preserve"> anything of monetary value, such as money, gifts, awards and trips, but excluding non-monetary items of $250 or less received during the term of the contract or arrangement) that is received directly from a plan. Indirect compensation is "compensation" that is received from any source other than the plan, the plan sponsor, the covered service provider, an affiliate of the service provider or a subcontractor of the service provider;</w:t>
      </w:r>
    </w:p>
    <w:p>
      <w:pPr>
        <w:numPr>
          <w:ilvl w:val="0"/>
          <w:numId w:val="297"/>
        </w:numPr>
        <w:ind w:left="720" w:hanging="192"/>
        <w:jc w:val="left"/>
        <w:rPr>
          <w:rFonts w:eastAsia="Arial" w:cs="Arial"/>
          <w:sz w:val="20"/>
          <w:szCs w:val="20"/>
        </w:rPr>
      </w:pPr>
      <w:r>
        <w:rPr>
          <w:rFonts w:eastAsia="Arial" w:cs="Arial"/>
          <w:sz w:val="20"/>
          <w:szCs w:val="20"/>
        </w:rPr>
        <w:t>the manner of payment,</w:t>
      </w:r>
      <w:r>
        <w:rPr>
          <w:rFonts w:eastAsia="Arial" w:cs="Arial"/>
          <w:i/>
          <w:iCs/>
          <w:sz w:val="20"/>
          <w:szCs w:val="20"/>
        </w:rPr>
        <w:t xml:space="preserve"> e.g.,</w:t>
      </w:r>
      <w:r>
        <w:rPr>
          <w:rFonts w:eastAsia="Arial" w:cs="Arial"/>
          <w:sz w:val="20"/>
          <w:szCs w:val="20"/>
        </w:rPr>
        <w:t xml:space="preserve"> whether it will bill the plan, deduct fees from plan accounts or reflect a charge against the plan investments; and</w:t>
      </w:r>
    </w:p>
    <w:p>
      <w:pPr>
        <w:numPr>
          <w:ilvl w:val="0"/>
          <w:numId w:val="297"/>
        </w:numPr>
        <w:spacing w:after="200"/>
        <w:ind w:left="720" w:hanging="192"/>
        <w:jc w:val="left"/>
        <w:rPr>
          <w:rFonts w:eastAsia="Arial" w:cs="Arial"/>
          <w:sz w:val="20"/>
          <w:szCs w:val="20"/>
        </w:rPr>
      </w:pPr>
      <w:r>
        <w:rPr>
          <w:rFonts w:eastAsia="Arial" w:cs="Arial"/>
          <w:sz w:val="20"/>
          <w:szCs w:val="20"/>
        </w:rPr>
        <w:t>any compensation KCD reasonably expects to receive in connection with termination of the contract (</w:t>
      </w:r>
      <w:r>
        <w:rPr>
          <w:rFonts w:eastAsia="Arial" w:cs="Arial"/>
          <w:i/>
          <w:iCs/>
          <w:sz w:val="20"/>
          <w:szCs w:val="20"/>
        </w:rPr>
        <w:t>e.g.,</w:t>
      </w:r>
      <w:r>
        <w:rPr>
          <w:rFonts w:eastAsia="Arial" w:cs="Arial"/>
          <w:sz w:val="20"/>
          <w:szCs w:val="20"/>
        </w:rPr>
        <w:t xml:space="preserve"> a surrender charge) and how prepaid amounts will be calculated and refunded upon termination of the contract (</w:t>
      </w:r>
      <w:r>
        <w:rPr>
          <w:rFonts w:eastAsia="Arial" w:cs="Arial"/>
          <w:i/>
          <w:iCs/>
          <w:sz w:val="20"/>
          <w:szCs w:val="20"/>
        </w:rPr>
        <w:t>e.g.,</w:t>
      </w:r>
      <w:r>
        <w:rPr>
          <w:rFonts w:eastAsia="Arial" w:cs="Arial"/>
          <w:sz w:val="20"/>
          <w:szCs w:val="20"/>
        </w:rPr>
        <w:t xml:space="preserve"> if KCD charges in advance for a particular period, </w:t>
      </w:r>
      <w:r>
        <w:rPr>
          <w:rFonts w:eastAsia="Arial" w:cs="Arial"/>
          <w:i/>
          <w:iCs/>
          <w:sz w:val="20"/>
          <w:szCs w:val="20"/>
        </w:rPr>
        <w:t>e.g.,</w:t>
      </w:r>
      <w:r>
        <w:rPr>
          <w:rFonts w:eastAsia="Arial" w:cs="Arial"/>
          <w:sz w:val="20"/>
          <w:szCs w:val="20"/>
        </w:rPr>
        <w:t xml:space="preserve"> quarterly).</w:t>
      </w:r>
    </w:p>
    <w:p>
      <w:bookmarkEnd w:id="291"/>
      <w:bookmarkStart w:id="292" w:name="Sec_Chp_061016102250093_06101639125"/>
    </w:p>
    <w:p>
      <w:pPr>
        <w:pStyle w:val="Heading5"/>
      </w:pPr>
      <w:r>
        <w:t>5.3.8.12.5 Changes in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disclose any material change to the required information as soon as practicable but in any case no later than 60 days from the date on which KCD has knowledge of the change. KCD may take additional time in extraordinary circumstances.</w:t>
      </w:r>
    </w:p>
    <w:p>
      <w:bookmarkEnd w:id="292"/>
      <w:bookmarkStart w:id="293" w:name="Sec_Chp_061016102250093_06101639126"/>
    </w:p>
    <w:p>
      <w:pPr>
        <w:pStyle w:val="Heading5"/>
      </w:pPr>
      <w:r>
        <w:t>5.3.8.12.6 Reporting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disclose, upon written request, any other information relating to compensation received in connection with the arrangement, if it is required for the investing plan to comply with the reporting and disclosure requirements of ERISA and the regulations, forms and schedules issued thereunder. KCD will provide such information not later than 30 days after receipt of a written request from the responsible plan fiduciary or plan administrator unless the disclosure is precluded due to extraordinary circumstances beyond KCD's control. In that case, it will disclose the information as soon as practicable. </w:t>
      </w:r>
    </w:p>
    <w:p>
      <w:bookmarkEnd w:id="293"/>
      <w:bookmarkStart w:id="294" w:name="Sec_Chp_061016102250093_06101639127"/>
    </w:p>
    <w:p>
      <w:pPr>
        <w:pStyle w:val="Heading5"/>
      </w:pPr>
      <w:r>
        <w:t>5.3.8.12.7 Agreement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each agreement with a covered person, KCD will describe the services it provides.</w:t>
      </w:r>
    </w:p>
    <w:p>
      <w:bookmarkEnd w:id="294"/>
      <w:bookmarkStart w:id="295" w:name="Sec_Chp_061016102250093_061016102251062"/>
    </w:p>
    <w:p>
      <w:pPr>
        <w:pStyle w:val="Heading3"/>
      </w:pPr>
      <w:bookmarkStart w:id="296" w:name="_Toc256000078"/>
      <w:r>
        <w:t>5.3.9 Valuation Procedures</w:t>
      </w:r>
      <w:bookmarkEnd w:id="296"/>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adopted Valuation Procedures as the method to follow when pricing securities in a client's portfolio. KCD is authorized to engage the services of one or more qualified independent pricing services or to delegate pricing to a broker-dealer or other financial institution that maintains a client's account to value such client's portfolio securities, as described herein.</w:t>
      </w:r>
    </w:p>
    <w:p>
      <w:pPr>
        <w:pStyle w:val="normal0"/>
        <w:spacing w:before="200" w:after="200"/>
        <w:rPr>
          <w:rFonts w:eastAsia="Arial" w:cs="Arial"/>
          <w:sz w:val="20"/>
          <w:szCs w:val="20"/>
        </w:rPr>
      </w:pPr>
      <w:r>
        <w:rPr>
          <w:rFonts w:eastAsia="Arial" w:cs="Arial"/>
          <w:sz w:val="20"/>
          <w:szCs w:val="20"/>
        </w:rPr>
        <w:t>Client portfolio securities for which market quotations are readily available are valued at current market value. Specific procedures for valuing certain securities for which market quotations are readily available are set forth herein, including procedures for valuing equity securities when market quotations are readily available, equity securities when market quotations are not readily available, fixed-income securities, foreign securities, foreign currencies and options and futures contracts.</w:t>
      </w:r>
    </w:p>
    <w:p>
      <w:pPr>
        <w:pStyle w:val="normal0"/>
        <w:spacing w:before="200" w:after="200"/>
        <w:rPr>
          <w:rFonts w:eastAsia="Arial" w:cs="Arial"/>
          <w:sz w:val="20"/>
          <w:szCs w:val="20"/>
        </w:rPr>
      </w:pPr>
      <w:r>
        <w:rPr>
          <w:rFonts w:eastAsia="Arial" w:cs="Arial"/>
          <w:sz w:val="20"/>
          <w:szCs w:val="20"/>
        </w:rPr>
        <w:t>Portfolio securities for which market quotations are not readily available are valued at fair value as determined by KCD in accordance with the fair value methodology set forth herein.</w:t>
      </w:r>
    </w:p>
    <w:p>
      <w:pPr>
        <w:pStyle w:val="normal0"/>
        <w:spacing w:before="200" w:after="200"/>
        <w:rPr>
          <w:rFonts w:eastAsia="Arial" w:cs="Arial"/>
          <w:sz w:val="20"/>
          <w:szCs w:val="20"/>
        </w:rPr>
      </w:pPr>
      <w:r>
        <w:rPr>
          <w:rFonts w:eastAsia="Arial" w:cs="Arial"/>
          <w:sz w:val="20"/>
          <w:szCs w:val="20"/>
        </w:rPr>
        <w:t>KCD may also have a valuation committee made up of certain firm personnel which shall oversee the valuation procedures, including fair valuing client portfolio securities when the need arises.</w:t>
      </w:r>
    </w:p>
    <w:p>
      <w:bookmarkEnd w:id="295"/>
      <w:bookmarkStart w:id="297" w:name="Sec_Chp_061016102250093_061016102251078"/>
    </w:p>
    <w:p>
      <w:pPr>
        <w:pStyle w:val="Heading4"/>
      </w:pPr>
      <w:r>
        <w:t xml:space="preserve">5.3.9.1 Valuation of Equity Securities When Market Quotations are Readily Available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Equity securities owned by clients for which market quotations are readily available are to be valued at current market value.</w:t>
      </w:r>
    </w:p>
    <w:p>
      <w:pPr>
        <w:numPr>
          <w:ilvl w:val="0"/>
          <w:numId w:val="298"/>
        </w:numPr>
        <w:spacing w:before="200"/>
        <w:ind w:left="720" w:hanging="192"/>
        <w:jc w:val="left"/>
        <w:rPr>
          <w:rFonts w:eastAsia="Arial" w:cs="Arial"/>
          <w:sz w:val="20"/>
          <w:szCs w:val="20"/>
        </w:rPr>
      </w:pPr>
      <w:r>
        <w:rPr>
          <w:rFonts w:eastAsia="Arial" w:cs="Arial"/>
          <w:sz w:val="20"/>
          <w:szCs w:val="20"/>
        </w:rPr>
        <w:t>Any security that is listed on a national securities exchange will be valued at its last sale price on the date of determination as recorded by the composite tape system, or, if the security is not included in such system, at its last sale price on such day on the principal national securities exchange on which such security is traded, as recorded by such exchange, or, if no sales occurred on such day, at the mean between the closing "bid" and "asked" prices on such day as recorded by such system or such exchange, as the case may be.</w:t>
      </w:r>
    </w:p>
    <w:p>
      <w:pPr>
        <w:numPr>
          <w:ilvl w:val="0"/>
          <w:numId w:val="298"/>
        </w:numPr>
        <w:ind w:left="720" w:hanging="192"/>
        <w:jc w:val="left"/>
        <w:rPr>
          <w:rFonts w:eastAsia="Arial" w:cs="Arial"/>
          <w:sz w:val="20"/>
          <w:szCs w:val="20"/>
        </w:rPr>
      </w:pPr>
      <w:r>
        <w:rPr>
          <w:rFonts w:eastAsia="Arial" w:cs="Arial"/>
          <w:sz w:val="20"/>
          <w:szCs w:val="20"/>
        </w:rPr>
        <w:t>Any security that is a National Market Security will be valued at its last sale price on the date of determination as reported by NASDAQ, or if no sale occurred on such day, at the mean between the closing "bid" and "asked" prices on such day as reported by NASDAQ.</w:t>
      </w:r>
    </w:p>
    <w:p>
      <w:pPr>
        <w:numPr>
          <w:ilvl w:val="0"/>
          <w:numId w:val="298"/>
        </w:numPr>
        <w:spacing w:after="200"/>
        <w:ind w:left="720" w:hanging="192"/>
        <w:jc w:val="left"/>
        <w:rPr>
          <w:rFonts w:eastAsia="Arial" w:cs="Arial"/>
          <w:sz w:val="20"/>
          <w:szCs w:val="20"/>
        </w:rPr>
      </w:pPr>
      <w:r>
        <w:rPr>
          <w:rFonts w:eastAsia="Arial" w:cs="Arial"/>
          <w:sz w:val="20"/>
          <w:szCs w:val="20"/>
        </w:rPr>
        <w:t>Any security not listed on a national securities exchange and not a National Market Security will be valued at the mean between the closing "bid" and "asked" prices on the day of determination as reported by NASDAQ, or, if not so reported, as reported in the over-the-counter market in the United States.</w:t>
      </w:r>
    </w:p>
    <w:p>
      <w:pPr>
        <w:pStyle w:val="normal0"/>
        <w:spacing w:before="200" w:after="200"/>
        <w:rPr>
          <w:rFonts w:eastAsia="Arial" w:cs="Arial"/>
          <w:sz w:val="20"/>
          <w:szCs w:val="20"/>
        </w:rPr>
      </w:pPr>
      <w:r>
        <w:rPr>
          <w:rFonts w:eastAsia="Arial" w:cs="Arial"/>
          <w:sz w:val="20"/>
          <w:szCs w:val="20"/>
        </w:rPr>
        <w:t>If a security is traded on more than one exchange, or one or more exchanges and in the over-the-counter market, quotations from the market in which the security is primarily traded shall be used.</w:t>
      </w:r>
    </w:p>
    <w:p>
      <w:bookmarkEnd w:id="297"/>
      <w:bookmarkStart w:id="298" w:name="Sec_Chp_061016102250093_061016102251093"/>
    </w:p>
    <w:p>
      <w:pPr>
        <w:pStyle w:val="Heading4"/>
      </w:pPr>
      <w:r>
        <w:t>5.3.9.2 Valuation of Equity Securities When Market Quotations are NOT Readily Available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Equity securities owned by clients for which market quotations are not readily available (</w:t>
      </w:r>
      <w:r>
        <w:rPr>
          <w:rFonts w:eastAsia="Arial" w:cs="Arial"/>
          <w:i/>
          <w:iCs/>
          <w:sz w:val="20"/>
          <w:szCs w:val="20"/>
        </w:rPr>
        <w:t>e.g.,</w:t>
      </w:r>
      <w:r>
        <w:rPr>
          <w:rFonts w:eastAsia="Arial" w:cs="Arial"/>
          <w:sz w:val="20"/>
          <w:szCs w:val="20"/>
        </w:rPr>
        <w:t xml:space="preserve"> equity securities that are not traded on exchanges and equity securities for which over-the-counter market quotations are not readily available) are to be valued at:</w:t>
      </w:r>
    </w:p>
    <w:p>
      <w:pPr>
        <w:numPr>
          <w:ilvl w:val="0"/>
          <w:numId w:val="299"/>
        </w:numPr>
        <w:spacing w:before="200"/>
        <w:ind w:left="720" w:hanging="192"/>
        <w:jc w:val="left"/>
        <w:rPr>
          <w:rFonts w:eastAsia="Arial" w:cs="Arial"/>
          <w:sz w:val="20"/>
          <w:szCs w:val="20"/>
        </w:rPr>
      </w:pPr>
      <w:r>
        <w:rPr>
          <w:rFonts w:eastAsia="Arial" w:cs="Arial"/>
          <w:sz w:val="20"/>
          <w:szCs w:val="20"/>
        </w:rPr>
        <w:t xml:space="preserve">the last quoted sales price (if adequate trading volume is present); or </w:t>
      </w:r>
    </w:p>
    <w:p>
      <w:pPr>
        <w:numPr>
          <w:ilvl w:val="0"/>
          <w:numId w:val="299"/>
        </w:numPr>
        <w:spacing w:after="200"/>
        <w:ind w:left="720" w:hanging="192"/>
        <w:jc w:val="left"/>
        <w:rPr>
          <w:rFonts w:eastAsia="Arial" w:cs="Arial"/>
          <w:sz w:val="20"/>
          <w:szCs w:val="20"/>
        </w:rPr>
      </w:pPr>
      <w:r>
        <w:rPr>
          <w:rFonts w:eastAsia="Arial" w:cs="Arial"/>
          <w:sz w:val="20"/>
          <w:szCs w:val="20"/>
        </w:rPr>
        <w:t>the last bid price (if adequate trading volume is not present).</w:t>
      </w:r>
    </w:p>
    <w:p>
      <w:bookmarkEnd w:id="298"/>
      <w:bookmarkStart w:id="299" w:name="Sec_Chp_061016102250093_0610153104"/>
    </w:p>
    <w:p>
      <w:pPr>
        <w:pStyle w:val="Heading4"/>
      </w:pPr>
      <w:r>
        <w:t>5.3.9.3 Fixed-Income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Fixed-income securities are valued at prices supplied by an independent pricing source or by one of the pricing agents retained by KCD based on broker or dealer supplied valuations or matrix pricing. Matrix pricing is a valuation method where reference is made to the value of other securities with similar characteristics, such as rating, interest rate and maturity.</w:t>
      </w:r>
    </w:p>
    <w:p>
      <w:bookmarkEnd w:id="299"/>
      <w:bookmarkStart w:id="300" w:name="Sec_Chp_061016102250093_0610153105"/>
    </w:p>
    <w:p>
      <w:pPr>
        <w:pStyle w:val="Heading4"/>
      </w:pPr>
      <w:r>
        <w:t>5.3.9.4 Foreign Equity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foreign equity security shall be valued at its last sale price on such day on the foreign stock exchange on which the security is primarily traded, as recorded by such exchange, or if no sale is reported at that time, at the mean between the closing "bid" and "asked" prices on the day of determination. The value is next converted into its U.S. dollar equivalent at the foreign exchange rate in effect at the time and day of determination.</w:t>
      </w:r>
    </w:p>
    <w:p>
      <w:bookmarkEnd w:id="300"/>
      <w:bookmarkStart w:id="301" w:name="Sec_Chp_061016102250093_0610153106"/>
    </w:p>
    <w:p>
      <w:pPr>
        <w:pStyle w:val="Heading4"/>
      </w:pPr>
      <w:r>
        <w:t>5.3.9.5 Foreign Currencies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value of foreign currencies shall be translated into U.S. dollars based on the foreign exchange (FX) rate in effect on the day and at the time when the assets of the client are valued. If no sale is reported at that time, the foreign currency shall be valued at the last bid price.</w:t>
      </w:r>
    </w:p>
    <w:p>
      <w:bookmarkEnd w:id="301"/>
      <w:bookmarkStart w:id="302" w:name="Sec_Chp_061016102250093_0610153107"/>
    </w:p>
    <w:p>
      <w:pPr>
        <w:pStyle w:val="Heading4"/>
      </w:pPr>
      <w:r>
        <w:t>5.3.9.6 Options and Futures Contracts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Options and futures contracts listed for trading on an exchange or board of trade are valued at:</w:t>
      </w:r>
    </w:p>
    <w:p>
      <w:pPr>
        <w:numPr>
          <w:ilvl w:val="0"/>
          <w:numId w:val="300"/>
        </w:numPr>
        <w:spacing w:before="200"/>
        <w:ind w:left="720" w:hanging="192"/>
        <w:jc w:val="left"/>
        <w:rPr>
          <w:rFonts w:eastAsia="Arial" w:cs="Arial"/>
          <w:sz w:val="20"/>
          <w:szCs w:val="20"/>
        </w:rPr>
      </w:pPr>
      <w:r>
        <w:rPr>
          <w:rFonts w:eastAsia="Arial" w:cs="Arial"/>
          <w:sz w:val="20"/>
          <w:szCs w:val="20"/>
        </w:rPr>
        <w:t>The last quoted sales price or, in the absence of a sale;</w:t>
      </w:r>
    </w:p>
    <w:p>
      <w:pPr>
        <w:numPr>
          <w:ilvl w:val="0"/>
          <w:numId w:val="300"/>
        </w:numPr>
        <w:spacing w:after="200"/>
        <w:ind w:left="720" w:hanging="192"/>
        <w:jc w:val="left"/>
        <w:rPr>
          <w:rFonts w:eastAsia="Arial" w:cs="Arial"/>
          <w:sz w:val="20"/>
          <w:szCs w:val="20"/>
        </w:rPr>
      </w:pPr>
      <w:r>
        <w:rPr>
          <w:rFonts w:eastAsia="Arial" w:cs="Arial"/>
          <w:sz w:val="20"/>
          <w:szCs w:val="20"/>
        </w:rPr>
        <w:t>The last bid price.</w:t>
      </w:r>
    </w:p>
    <w:p>
      <w:pPr>
        <w:pStyle w:val="normal0"/>
        <w:spacing w:before="200" w:after="200"/>
        <w:rPr>
          <w:rFonts w:eastAsia="Arial" w:cs="Arial"/>
          <w:sz w:val="20"/>
          <w:szCs w:val="20"/>
        </w:rPr>
      </w:pPr>
      <w:r>
        <w:rPr>
          <w:rFonts w:eastAsia="Arial" w:cs="Arial"/>
          <w:sz w:val="20"/>
          <w:szCs w:val="20"/>
        </w:rPr>
        <w:t>Options not listed for trading on an exchange or board of trade for which over-the-counter market quotations are readily available shall be valued at the current bid price.</w:t>
      </w:r>
    </w:p>
    <w:p>
      <w:bookmarkEnd w:id="302"/>
      <w:bookmarkStart w:id="303" w:name="Sec_Chp_061016102250093_0610153108"/>
    </w:p>
    <w:p>
      <w:pPr>
        <w:pStyle w:val="Heading4"/>
      </w:pPr>
      <w:r>
        <w:t>5.3.9.7 Fair Value Determinations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adopted procedures that govern the valuing of client portfolio securities when KCD is unable to value such securities pursuant to the other valuation methods contained in the Valuation Procedures.</w:t>
      </w:r>
    </w:p>
    <w:p>
      <w:bookmarkEnd w:id="303"/>
      <w:bookmarkStart w:id="304" w:name="Sec_Chp_061016102250093_06101531081"/>
    </w:p>
    <w:p>
      <w:pPr>
        <w:pStyle w:val="Heading5"/>
      </w:pPr>
      <w:r>
        <w:t>5.3.9.7.1 Determining When to Initially Fair Value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value portfolio securities or instruments held by a client by making a "Fair Value Determination" in lieu of using the closing market price only under the following circumstances:</w:t>
      </w:r>
    </w:p>
    <w:p>
      <w:pPr>
        <w:numPr>
          <w:ilvl w:val="0"/>
          <w:numId w:val="301"/>
        </w:numPr>
        <w:spacing w:before="200"/>
        <w:ind w:left="720" w:hanging="192"/>
        <w:jc w:val="left"/>
        <w:rPr>
          <w:rFonts w:eastAsia="Arial" w:cs="Arial"/>
          <w:sz w:val="20"/>
          <w:szCs w:val="20"/>
        </w:rPr>
      </w:pPr>
      <w:r>
        <w:rPr>
          <w:rFonts w:eastAsia="Arial" w:cs="Arial"/>
          <w:sz w:val="20"/>
          <w:szCs w:val="20"/>
        </w:rPr>
        <w:t>portfolio instruments for which no price or value is available at the time the clients' assets are calculated on a particular day, including new portfolio instruments which no authorized pricing service has begun to price, portfolio instruments for which there is a temporary lapse in price provision by the regular source, and securities for which the primary market is closed and no other market price is available;</w:t>
      </w:r>
    </w:p>
    <w:p>
      <w:pPr>
        <w:numPr>
          <w:ilvl w:val="0"/>
          <w:numId w:val="301"/>
        </w:numPr>
        <w:ind w:left="720" w:hanging="192"/>
        <w:jc w:val="left"/>
        <w:rPr>
          <w:rFonts w:eastAsia="Arial" w:cs="Arial"/>
          <w:sz w:val="20"/>
          <w:szCs w:val="20"/>
        </w:rPr>
      </w:pPr>
      <w:r>
        <w:rPr>
          <w:rFonts w:eastAsia="Arial" w:cs="Arial"/>
          <w:sz w:val="20"/>
          <w:szCs w:val="20"/>
        </w:rPr>
        <w:t>illiquid portfolio instruments (when an instrument is not valued by an independent pricing source);</w:t>
      </w:r>
    </w:p>
    <w:p>
      <w:pPr>
        <w:numPr>
          <w:ilvl w:val="0"/>
          <w:numId w:val="301"/>
        </w:numPr>
        <w:ind w:left="720" w:hanging="192"/>
        <w:jc w:val="left"/>
        <w:rPr>
          <w:rFonts w:eastAsia="Arial" w:cs="Arial"/>
          <w:sz w:val="20"/>
          <w:szCs w:val="20"/>
        </w:rPr>
      </w:pPr>
      <w:r>
        <w:rPr>
          <w:rFonts w:eastAsia="Arial" w:cs="Arial"/>
          <w:sz w:val="20"/>
          <w:szCs w:val="20"/>
        </w:rPr>
        <w:t>Section 4(2) commercial paper (in the event it is not valued at amortized cost); and</w:t>
      </w:r>
    </w:p>
    <w:p>
      <w:pPr>
        <w:numPr>
          <w:ilvl w:val="0"/>
          <w:numId w:val="301"/>
        </w:numPr>
        <w:spacing w:after="200"/>
        <w:ind w:left="720" w:hanging="192"/>
        <w:jc w:val="left"/>
        <w:rPr>
          <w:rFonts w:eastAsia="Arial" w:cs="Arial"/>
          <w:sz w:val="20"/>
          <w:szCs w:val="20"/>
        </w:rPr>
      </w:pPr>
      <w:r>
        <w:rPr>
          <w:rFonts w:eastAsia="Arial" w:cs="Arial"/>
          <w:sz w:val="20"/>
          <w:szCs w:val="20"/>
        </w:rPr>
        <w:t>portfolio instruments for which the prices or values provided by the pricing services do not, in the judgment of KCD, represent the current market value of the instrument.</w:t>
      </w:r>
    </w:p>
    <w:p>
      <w:bookmarkEnd w:id="304"/>
      <w:bookmarkStart w:id="305" w:name="Sec_Chp_061016102250093_06101531082"/>
    </w:p>
    <w:p>
      <w:pPr>
        <w:pStyle w:val="Heading5"/>
      </w:pPr>
      <w:r>
        <w:t>5.3.9.7.2 Determining How Long to Fair Value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determination by KCD that a security held in a client's investment portfolio should be valued in a particular manner shall be effective for all subsequent calculations of the client's investment portfolio until such time as:</w:t>
      </w:r>
    </w:p>
    <w:p>
      <w:pPr>
        <w:numPr>
          <w:ilvl w:val="0"/>
          <w:numId w:val="302"/>
        </w:numPr>
        <w:spacing w:before="200"/>
        <w:ind w:left="720" w:hanging="192"/>
        <w:jc w:val="left"/>
        <w:rPr>
          <w:rFonts w:eastAsia="Arial" w:cs="Arial"/>
          <w:sz w:val="20"/>
          <w:szCs w:val="20"/>
        </w:rPr>
      </w:pPr>
      <w:r>
        <w:rPr>
          <w:rFonts w:eastAsia="Arial" w:cs="Arial"/>
          <w:sz w:val="20"/>
          <w:szCs w:val="20"/>
        </w:rPr>
        <w:t>the client no longer owns the security in question;</w:t>
      </w:r>
    </w:p>
    <w:p>
      <w:pPr>
        <w:numPr>
          <w:ilvl w:val="0"/>
          <w:numId w:val="302"/>
        </w:numPr>
        <w:ind w:left="720" w:hanging="192"/>
        <w:jc w:val="left"/>
        <w:rPr>
          <w:rFonts w:eastAsia="Arial" w:cs="Arial"/>
          <w:sz w:val="20"/>
          <w:szCs w:val="20"/>
        </w:rPr>
      </w:pPr>
      <w:r>
        <w:rPr>
          <w:rFonts w:eastAsia="Arial" w:cs="Arial"/>
          <w:sz w:val="20"/>
          <w:szCs w:val="20"/>
        </w:rPr>
        <w:t>in the judgment of KCD, a fair value determination is no longer required for the security; or</w:t>
      </w:r>
    </w:p>
    <w:p>
      <w:pPr>
        <w:numPr>
          <w:ilvl w:val="0"/>
          <w:numId w:val="302"/>
        </w:numPr>
        <w:spacing w:after="200"/>
        <w:ind w:left="720" w:hanging="192"/>
        <w:jc w:val="left"/>
        <w:rPr>
          <w:rFonts w:eastAsia="Arial" w:cs="Arial"/>
          <w:sz w:val="20"/>
          <w:szCs w:val="20"/>
        </w:rPr>
      </w:pPr>
      <w:r>
        <w:rPr>
          <w:rFonts w:eastAsia="Arial" w:cs="Arial"/>
          <w:sz w:val="20"/>
          <w:szCs w:val="20"/>
        </w:rPr>
        <w:t>KCD determines to modify its prior determination with respect to the security.</w:t>
      </w:r>
    </w:p>
    <w:p>
      <w:bookmarkEnd w:id="305"/>
      <w:bookmarkStart w:id="306" w:name="Sec_Chp_061016102250093_06101531083"/>
    </w:p>
    <w:p>
      <w:pPr>
        <w:pStyle w:val="Heading5"/>
      </w:pPr>
      <w:r>
        <w:t>5.3.9.7.3 Determining to No Longer Fair Value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the event the fair value determination is no longer required for a security that previously has been fair valued by KCD, KCD shall inform all relevant persons (including, for example, the financial institution that maintains client accounts), document the reason for such determination and value the security under the other appropriate procedures in these Valuation Procedures.</w:t>
      </w:r>
    </w:p>
    <w:p>
      <w:bookmarkEnd w:id="306"/>
      <w:bookmarkStart w:id="307" w:name="Sec_Chp_061016102250093_06101531084"/>
    </w:p>
    <w:p>
      <w:pPr>
        <w:pStyle w:val="Heading5"/>
      </w:pPr>
      <w:r>
        <w:t>5.3.9.7.4 Fair Value Methodology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As a general principle, the fair value of a security is the amount that the client might reasonably expect to realize upon its current sale. There is no single standard for determining the fair value of a security.</w:t>
      </w:r>
    </w:p>
    <w:p>
      <w:pPr>
        <w:pStyle w:val="normal0"/>
        <w:spacing w:before="200" w:after="200"/>
        <w:rPr>
          <w:rFonts w:eastAsia="Arial" w:cs="Arial"/>
          <w:sz w:val="20"/>
          <w:szCs w:val="20"/>
        </w:rPr>
      </w:pPr>
      <w:r>
        <w:rPr>
          <w:rFonts w:eastAsia="Arial" w:cs="Arial"/>
          <w:sz w:val="20"/>
          <w:szCs w:val="20"/>
        </w:rPr>
        <w:t>To arrive at the appropriate method, KCD should consider the following non-exclusive list of factors:</w:t>
      </w:r>
    </w:p>
    <w:p>
      <w:pPr>
        <w:numPr>
          <w:ilvl w:val="0"/>
          <w:numId w:val="303"/>
        </w:numPr>
        <w:spacing w:before="200"/>
        <w:ind w:left="720" w:hanging="267"/>
        <w:jc w:val="left"/>
        <w:rPr>
          <w:rFonts w:eastAsia="Arial" w:cs="Arial"/>
          <w:sz w:val="20"/>
          <w:szCs w:val="20"/>
        </w:rPr>
      </w:pPr>
      <w:r>
        <w:rPr>
          <w:rFonts w:eastAsia="Arial" w:cs="Arial"/>
          <w:sz w:val="20"/>
          <w:szCs w:val="20"/>
        </w:rPr>
        <w:t>Specific Factors:</w:t>
      </w:r>
    </w:p>
    <w:p>
      <w:pPr>
        <w:numPr>
          <w:ilvl w:val="1"/>
          <w:numId w:val="303"/>
        </w:numPr>
        <w:ind w:left="1440" w:hanging="220"/>
        <w:jc w:val="left"/>
        <w:rPr>
          <w:rFonts w:eastAsia="Arial" w:cs="Arial"/>
          <w:sz w:val="20"/>
          <w:szCs w:val="20"/>
        </w:rPr>
      </w:pPr>
      <w:r>
        <w:rPr>
          <w:rFonts w:eastAsia="Arial" w:cs="Arial"/>
          <w:sz w:val="20"/>
          <w:szCs w:val="20"/>
        </w:rPr>
        <w:t>type of security;</w:t>
      </w:r>
    </w:p>
    <w:p>
      <w:pPr>
        <w:numPr>
          <w:ilvl w:val="1"/>
          <w:numId w:val="303"/>
        </w:numPr>
        <w:ind w:left="1440" w:hanging="220"/>
        <w:jc w:val="left"/>
        <w:rPr>
          <w:rFonts w:eastAsia="Arial" w:cs="Arial"/>
          <w:sz w:val="20"/>
          <w:szCs w:val="20"/>
        </w:rPr>
      </w:pPr>
      <w:r>
        <w:rPr>
          <w:rFonts w:eastAsia="Arial" w:cs="Arial"/>
          <w:sz w:val="20"/>
          <w:szCs w:val="20"/>
        </w:rPr>
        <w:t>the nature and pricing history (if any) of the security;</w:t>
      </w:r>
    </w:p>
    <w:p>
      <w:pPr>
        <w:numPr>
          <w:ilvl w:val="1"/>
          <w:numId w:val="303"/>
        </w:numPr>
        <w:ind w:left="1440" w:hanging="220"/>
        <w:jc w:val="left"/>
        <w:rPr>
          <w:rFonts w:eastAsia="Arial" w:cs="Arial"/>
          <w:sz w:val="20"/>
          <w:szCs w:val="20"/>
        </w:rPr>
      </w:pPr>
      <w:r>
        <w:rPr>
          <w:rFonts w:eastAsia="Arial" w:cs="Arial"/>
          <w:sz w:val="20"/>
          <w:szCs w:val="20"/>
        </w:rPr>
        <w:t>whether any dealer quotations for the security are available;</w:t>
      </w:r>
    </w:p>
    <w:p>
      <w:pPr>
        <w:numPr>
          <w:ilvl w:val="1"/>
          <w:numId w:val="303"/>
        </w:numPr>
        <w:ind w:left="1440" w:hanging="220"/>
        <w:jc w:val="left"/>
        <w:rPr>
          <w:rFonts w:eastAsia="Arial" w:cs="Arial"/>
          <w:sz w:val="20"/>
          <w:szCs w:val="20"/>
        </w:rPr>
      </w:pPr>
      <w:r>
        <w:rPr>
          <w:rFonts w:eastAsia="Arial" w:cs="Arial"/>
          <w:sz w:val="20"/>
          <w:szCs w:val="20"/>
        </w:rPr>
        <w:t>the extent to which the fair value to be determined for the security will result from the use of data or formula produced by third parties independent of KCD;</w:t>
      </w:r>
    </w:p>
    <w:p>
      <w:pPr>
        <w:numPr>
          <w:ilvl w:val="1"/>
          <w:numId w:val="303"/>
        </w:numPr>
        <w:ind w:left="1440" w:hanging="220"/>
        <w:jc w:val="left"/>
        <w:rPr>
          <w:rFonts w:eastAsia="Arial" w:cs="Arial"/>
          <w:sz w:val="20"/>
          <w:szCs w:val="20"/>
        </w:rPr>
      </w:pPr>
      <w:r>
        <w:rPr>
          <w:rFonts w:eastAsia="Arial" w:cs="Arial"/>
          <w:sz w:val="20"/>
          <w:szCs w:val="20"/>
        </w:rPr>
        <w:t>financial statements;</w:t>
      </w:r>
    </w:p>
    <w:p>
      <w:pPr>
        <w:numPr>
          <w:ilvl w:val="1"/>
          <w:numId w:val="303"/>
        </w:numPr>
        <w:ind w:left="1440" w:hanging="220"/>
        <w:jc w:val="left"/>
        <w:rPr>
          <w:rFonts w:eastAsia="Arial" w:cs="Arial"/>
          <w:sz w:val="20"/>
          <w:szCs w:val="20"/>
        </w:rPr>
      </w:pPr>
      <w:r>
        <w:rPr>
          <w:rFonts w:eastAsia="Arial" w:cs="Arial"/>
          <w:sz w:val="20"/>
          <w:szCs w:val="20"/>
        </w:rPr>
        <w:t>cost at date of purchase;</w:t>
      </w:r>
    </w:p>
    <w:p>
      <w:pPr>
        <w:numPr>
          <w:ilvl w:val="1"/>
          <w:numId w:val="303"/>
        </w:numPr>
        <w:ind w:left="1440" w:hanging="220"/>
        <w:jc w:val="left"/>
        <w:rPr>
          <w:rFonts w:eastAsia="Arial" w:cs="Arial"/>
          <w:sz w:val="20"/>
          <w:szCs w:val="20"/>
        </w:rPr>
      </w:pPr>
      <w:r>
        <w:rPr>
          <w:rFonts w:eastAsia="Arial" w:cs="Arial"/>
          <w:sz w:val="20"/>
          <w:szCs w:val="20"/>
        </w:rPr>
        <w:t>size of holding;</w:t>
      </w:r>
    </w:p>
    <w:p>
      <w:pPr>
        <w:numPr>
          <w:ilvl w:val="1"/>
          <w:numId w:val="303"/>
        </w:numPr>
        <w:ind w:left="1440" w:hanging="220"/>
        <w:jc w:val="left"/>
        <w:rPr>
          <w:rFonts w:eastAsia="Arial" w:cs="Arial"/>
          <w:sz w:val="20"/>
          <w:szCs w:val="20"/>
        </w:rPr>
      </w:pPr>
      <w:r>
        <w:rPr>
          <w:rFonts w:eastAsia="Arial" w:cs="Arial"/>
          <w:sz w:val="20"/>
          <w:szCs w:val="20"/>
        </w:rPr>
        <w:t>for restricted securities, any discount from the market value of unrestricted securities of the same class from the same issuer at the time of purchase;</w:t>
      </w:r>
    </w:p>
    <w:p>
      <w:pPr>
        <w:numPr>
          <w:ilvl w:val="1"/>
          <w:numId w:val="303"/>
        </w:numPr>
        <w:ind w:left="1440" w:hanging="220"/>
        <w:jc w:val="left"/>
        <w:rPr>
          <w:rFonts w:eastAsia="Arial" w:cs="Arial"/>
          <w:sz w:val="20"/>
          <w:szCs w:val="20"/>
        </w:rPr>
      </w:pPr>
      <w:r>
        <w:rPr>
          <w:rFonts w:eastAsia="Arial" w:cs="Arial"/>
          <w:sz w:val="20"/>
          <w:szCs w:val="20"/>
        </w:rPr>
        <w:t>for restricted securities, existence of registration rights;</w:t>
      </w:r>
    </w:p>
    <w:p>
      <w:pPr>
        <w:numPr>
          <w:ilvl w:val="1"/>
          <w:numId w:val="303"/>
        </w:numPr>
        <w:ind w:left="1440" w:hanging="220"/>
        <w:jc w:val="left"/>
        <w:rPr>
          <w:rFonts w:eastAsia="Arial" w:cs="Arial"/>
          <w:sz w:val="20"/>
          <w:szCs w:val="20"/>
        </w:rPr>
      </w:pPr>
      <w:r>
        <w:rPr>
          <w:rFonts w:eastAsia="Arial" w:cs="Arial"/>
          <w:sz w:val="20"/>
          <w:szCs w:val="20"/>
        </w:rPr>
        <w:t xml:space="preserve">existence of merger proposals or tender offers or other types of "exit" strategies that could affect the value of the security; </w:t>
      </w:r>
    </w:p>
    <w:p>
      <w:pPr>
        <w:numPr>
          <w:ilvl w:val="1"/>
          <w:numId w:val="303"/>
        </w:numPr>
        <w:ind w:left="1440" w:hanging="220"/>
        <w:jc w:val="left"/>
        <w:rPr>
          <w:rFonts w:eastAsia="Arial" w:cs="Arial"/>
          <w:sz w:val="20"/>
          <w:szCs w:val="20"/>
        </w:rPr>
      </w:pPr>
      <w:r>
        <w:rPr>
          <w:rFonts w:eastAsia="Arial" w:cs="Arial"/>
          <w:sz w:val="20"/>
          <w:szCs w:val="20"/>
        </w:rPr>
        <w:t>volume and depth of public trading in similar securities of the issuer or similar issuers;</w:t>
      </w:r>
    </w:p>
    <w:p>
      <w:pPr>
        <w:numPr>
          <w:ilvl w:val="1"/>
          <w:numId w:val="303"/>
        </w:numPr>
        <w:ind w:left="1440" w:hanging="220"/>
        <w:jc w:val="left"/>
        <w:rPr>
          <w:rFonts w:eastAsia="Arial" w:cs="Arial"/>
          <w:sz w:val="20"/>
          <w:szCs w:val="20"/>
        </w:rPr>
      </w:pPr>
      <w:r>
        <w:rPr>
          <w:rFonts w:eastAsia="Arial" w:cs="Arial"/>
          <w:sz w:val="20"/>
          <w:szCs w:val="20"/>
        </w:rPr>
        <w:t>the liquidity or illiquidity of the market for the security;</w:t>
      </w:r>
    </w:p>
    <w:p>
      <w:pPr>
        <w:numPr>
          <w:ilvl w:val="1"/>
          <w:numId w:val="303"/>
        </w:numPr>
        <w:ind w:left="1440" w:hanging="220"/>
        <w:jc w:val="left"/>
        <w:rPr>
          <w:rFonts w:eastAsia="Arial" w:cs="Arial"/>
          <w:sz w:val="20"/>
          <w:szCs w:val="20"/>
        </w:rPr>
      </w:pPr>
      <w:r>
        <w:rPr>
          <w:rFonts w:eastAsia="Arial" w:cs="Arial"/>
          <w:sz w:val="20"/>
          <w:szCs w:val="20"/>
        </w:rPr>
        <w:t>the fundamental analytical data relating to the security; and</w:t>
      </w:r>
    </w:p>
    <w:p>
      <w:pPr>
        <w:numPr>
          <w:ilvl w:val="1"/>
          <w:numId w:val="303"/>
        </w:numPr>
        <w:ind w:left="1440" w:hanging="220"/>
        <w:jc w:val="left"/>
        <w:rPr>
          <w:rFonts w:eastAsia="Arial" w:cs="Arial"/>
          <w:sz w:val="20"/>
          <w:szCs w:val="20"/>
        </w:rPr>
      </w:pPr>
      <w:r>
        <w:rPr>
          <w:rFonts w:eastAsia="Arial" w:cs="Arial"/>
          <w:sz w:val="20"/>
          <w:szCs w:val="20"/>
        </w:rPr>
        <w:t>the nature and duration of restrictions on the disposition of the security.</w:t>
      </w:r>
    </w:p>
    <w:p>
      <w:pPr>
        <w:numPr>
          <w:ilvl w:val="0"/>
          <w:numId w:val="303"/>
        </w:numPr>
        <w:ind w:left="720" w:hanging="267"/>
        <w:jc w:val="left"/>
        <w:rPr>
          <w:rFonts w:eastAsia="Arial" w:cs="Arial"/>
          <w:sz w:val="20"/>
          <w:szCs w:val="20"/>
        </w:rPr>
      </w:pPr>
      <w:r>
        <w:rPr>
          <w:rFonts w:eastAsia="Arial" w:cs="Arial"/>
          <w:sz w:val="20"/>
          <w:szCs w:val="20"/>
        </w:rPr>
        <w:t>Additional Factors:</w:t>
      </w:r>
    </w:p>
    <w:p>
      <w:pPr>
        <w:numPr>
          <w:ilvl w:val="1"/>
          <w:numId w:val="303"/>
        </w:numPr>
        <w:ind w:left="1440" w:hanging="220"/>
        <w:jc w:val="left"/>
        <w:rPr>
          <w:rFonts w:eastAsia="Arial" w:cs="Arial"/>
          <w:sz w:val="20"/>
          <w:szCs w:val="20"/>
        </w:rPr>
      </w:pPr>
      <w:r>
        <w:rPr>
          <w:rFonts w:eastAsia="Arial" w:cs="Arial"/>
          <w:sz w:val="20"/>
          <w:szCs w:val="20"/>
        </w:rPr>
        <w:t>nature of the cause of any halt in trading;</w:t>
      </w:r>
    </w:p>
    <w:p>
      <w:pPr>
        <w:numPr>
          <w:ilvl w:val="1"/>
          <w:numId w:val="303"/>
        </w:numPr>
        <w:ind w:left="1440" w:hanging="220"/>
        <w:jc w:val="left"/>
        <w:rPr>
          <w:rFonts w:eastAsia="Arial" w:cs="Arial"/>
          <w:sz w:val="20"/>
          <w:szCs w:val="20"/>
        </w:rPr>
      </w:pPr>
      <w:r>
        <w:rPr>
          <w:rFonts w:eastAsia="Arial" w:cs="Arial"/>
          <w:sz w:val="20"/>
          <w:szCs w:val="20"/>
        </w:rPr>
        <w:t>expectation of additional news about the issuer;</w:t>
      </w:r>
    </w:p>
    <w:p>
      <w:pPr>
        <w:numPr>
          <w:ilvl w:val="1"/>
          <w:numId w:val="303"/>
        </w:numPr>
        <w:ind w:left="1440" w:hanging="220"/>
        <w:jc w:val="left"/>
        <w:rPr>
          <w:rFonts w:eastAsia="Arial" w:cs="Arial"/>
          <w:sz w:val="20"/>
          <w:szCs w:val="20"/>
        </w:rPr>
      </w:pPr>
      <w:r>
        <w:rPr>
          <w:rFonts w:eastAsia="Arial" w:cs="Arial"/>
          <w:sz w:val="20"/>
          <w:szCs w:val="20"/>
        </w:rPr>
        <w:t>possible valuation methodologies that could be used to determine the fair value of the security;</w:t>
      </w:r>
    </w:p>
    <w:p>
      <w:pPr>
        <w:numPr>
          <w:ilvl w:val="1"/>
          <w:numId w:val="303"/>
        </w:numPr>
        <w:ind w:left="1440" w:hanging="220"/>
        <w:jc w:val="left"/>
        <w:rPr>
          <w:rFonts w:eastAsia="Arial" w:cs="Arial"/>
          <w:sz w:val="20"/>
          <w:szCs w:val="20"/>
        </w:rPr>
      </w:pPr>
      <w:r>
        <w:rPr>
          <w:rFonts w:eastAsia="Arial" w:cs="Arial"/>
          <w:sz w:val="20"/>
          <w:szCs w:val="20"/>
        </w:rPr>
        <w:t>expectation of court action, market activity or government intervention affecting the value of the issuer and its securities;</w:t>
      </w:r>
    </w:p>
    <w:p>
      <w:pPr>
        <w:numPr>
          <w:ilvl w:val="1"/>
          <w:numId w:val="303"/>
        </w:numPr>
        <w:ind w:left="1440" w:hanging="220"/>
        <w:jc w:val="left"/>
        <w:rPr>
          <w:rFonts w:eastAsia="Arial" w:cs="Arial"/>
          <w:sz w:val="20"/>
          <w:szCs w:val="20"/>
        </w:rPr>
      </w:pPr>
      <w:r>
        <w:rPr>
          <w:rFonts w:eastAsia="Arial" w:cs="Arial"/>
          <w:sz w:val="20"/>
          <w:szCs w:val="20"/>
        </w:rPr>
        <w:t>ability to quantify any "significant event" affecting the issuer based upon past experience and other market and industry factors/information available;</w:t>
      </w:r>
    </w:p>
    <w:p>
      <w:pPr>
        <w:numPr>
          <w:ilvl w:val="1"/>
          <w:numId w:val="303"/>
        </w:numPr>
        <w:ind w:left="1440" w:hanging="220"/>
        <w:jc w:val="left"/>
        <w:rPr>
          <w:rFonts w:eastAsia="Arial" w:cs="Arial"/>
          <w:sz w:val="20"/>
          <w:szCs w:val="20"/>
        </w:rPr>
      </w:pPr>
      <w:r>
        <w:rPr>
          <w:rFonts w:eastAsia="Arial" w:cs="Arial"/>
          <w:sz w:val="20"/>
          <w:szCs w:val="20"/>
        </w:rPr>
        <w:t>conventional wisdom regarding the long-term outlook of the issuer;</w:t>
      </w:r>
    </w:p>
    <w:p>
      <w:pPr>
        <w:numPr>
          <w:ilvl w:val="1"/>
          <w:numId w:val="303"/>
        </w:numPr>
        <w:ind w:left="1440" w:hanging="220"/>
        <w:jc w:val="left"/>
        <w:rPr>
          <w:rFonts w:eastAsia="Arial" w:cs="Arial"/>
          <w:sz w:val="20"/>
          <w:szCs w:val="20"/>
        </w:rPr>
      </w:pPr>
      <w:r>
        <w:rPr>
          <w:rFonts w:eastAsia="Arial" w:cs="Arial"/>
          <w:sz w:val="20"/>
          <w:szCs w:val="20"/>
        </w:rPr>
        <w:t>value of other financial instruments, including derivative securities, traded on other markets or among dealers;</w:t>
      </w:r>
    </w:p>
    <w:p>
      <w:pPr>
        <w:numPr>
          <w:ilvl w:val="1"/>
          <w:numId w:val="303"/>
        </w:numPr>
        <w:ind w:left="1440" w:hanging="220"/>
        <w:jc w:val="left"/>
        <w:rPr>
          <w:rFonts w:eastAsia="Arial" w:cs="Arial"/>
          <w:sz w:val="20"/>
          <w:szCs w:val="20"/>
        </w:rPr>
      </w:pPr>
      <w:r>
        <w:rPr>
          <w:rFonts w:eastAsia="Arial" w:cs="Arial"/>
          <w:sz w:val="20"/>
          <w:szCs w:val="20"/>
        </w:rPr>
        <w:t>trading volumes on markets, exchanges, or among dealers;</w:t>
      </w:r>
    </w:p>
    <w:p>
      <w:pPr>
        <w:numPr>
          <w:ilvl w:val="1"/>
          <w:numId w:val="303"/>
        </w:numPr>
        <w:ind w:left="1440" w:hanging="220"/>
        <w:jc w:val="left"/>
        <w:rPr>
          <w:rFonts w:eastAsia="Arial" w:cs="Arial"/>
          <w:sz w:val="20"/>
          <w:szCs w:val="20"/>
        </w:rPr>
      </w:pPr>
      <w:r>
        <w:rPr>
          <w:rFonts w:eastAsia="Arial" w:cs="Arial"/>
          <w:sz w:val="20"/>
          <w:szCs w:val="20"/>
        </w:rPr>
        <w:t>values of baskets of securities traded on other markets, exchanges, or among dealers;</w:t>
      </w:r>
    </w:p>
    <w:p>
      <w:pPr>
        <w:numPr>
          <w:ilvl w:val="1"/>
          <w:numId w:val="303"/>
        </w:numPr>
        <w:ind w:left="1440" w:hanging="220"/>
        <w:jc w:val="left"/>
        <w:rPr>
          <w:rFonts w:eastAsia="Arial" w:cs="Arial"/>
          <w:sz w:val="20"/>
          <w:szCs w:val="20"/>
        </w:rPr>
      </w:pPr>
      <w:r>
        <w:rPr>
          <w:rFonts w:eastAsia="Arial" w:cs="Arial"/>
          <w:sz w:val="20"/>
          <w:szCs w:val="20"/>
        </w:rPr>
        <w:t>changes in interest rates;</w:t>
      </w:r>
    </w:p>
    <w:p>
      <w:pPr>
        <w:numPr>
          <w:ilvl w:val="1"/>
          <w:numId w:val="303"/>
        </w:numPr>
        <w:ind w:left="1440" w:hanging="220"/>
        <w:jc w:val="left"/>
        <w:rPr>
          <w:rFonts w:eastAsia="Arial" w:cs="Arial"/>
          <w:sz w:val="20"/>
          <w:szCs w:val="20"/>
        </w:rPr>
      </w:pPr>
      <w:r>
        <w:rPr>
          <w:rFonts w:eastAsia="Arial" w:cs="Arial"/>
          <w:sz w:val="20"/>
          <w:szCs w:val="20"/>
        </w:rPr>
        <w:t>observations from financial institutions;</w:t>
      </w:r>
    </w:p>
    <w:p>
      <w:pPr>
        <w:numPr>
          <w:ilvl w:val="1"/>
          <w:numId w:val="303"/>
        </w:numPr>
        <w:ind w:left="1440" w:hanging="220"/>
        <w:jc w:val="left"/>
        <w:rPr>
          <w:rFonts w:eastAsia="Arial" w:cs="Arial"/>
          <w:sz w:val="20"/>
          <w:szCs w:val="20"/>
        </w:rPr>
      </w:pPr>
      <w:r>
        <w:rPr>
          <w:rFonts w:eastAsia="Arial" w:cs="Arial"/>
          <w:sz w:val="20"/>
          <w:szCs w:val="20"/>
        </w:rPr>
        <w:t>government (domestic or foreign) actions or pronouncements;</w:t>
      </w:r>
    </w:p>
    <w:p>
      <w:pPr>
        <w:numPr>
          <w:ilvl w:val="1"/>
          <w:numId w:val="303"/>
        </w:numPr>
        <w:ind w:left="1440" w:hanging="220"/>
        <w:jc w:val="left"/>
        <w:rPr>
          <w:rFonts w:eastAsia="Arial" w:cs="Arial"/>
          <w:sz w:val="20"/>
          <w:szCs w:val="20"/>
        </w:rPr>
      </w:pPr>
      <w:r>
        <w:rPr>
          <w:rFonts w:eastAsia="Arial" w:cs="Arial"/>
          <w:sz w:val="20"/>
          <w:szCs w:val="20"/>
        </w:rPr>
        <w:t>an evaluation of the forces which influence the market in which the security is purchased or sold; and</w:t>
      </w:r>
    </w:p>
    <w:p>
      <w:pPr>
        <w:numPr>
          <w:ilvl w:val="1"/>
          <w:numId w:val="303"/>
        </w:numPr>
        <w:ind w:left="1440" w:hanging="220"/>
        <w:jc w:val="left"/>
        <w:rPr>
          <w:rFonts w:eastAsia="Arial" w:cs="Arial"/>
          <w:sz w:val="20"/>
          <w:szCs w:val="20"/>
        </w:rPr>
      </w:pPr>
      <w:r>
        <w:rPr>
          <w:rFonts w:eastAsia="Arial" w:cs="Arial"/>
          <w:sz w:val="20"/>
          <w:szCs w:val="20"/>
        </w:rPr>
        <w:t>other news events.</w:t>
      </w:r>
    </w:p>
    <w:p>
      <w:pPr>
        <w:numPr>
          <w:ilvl w:val="0"/>
          <w:numId w:val="303"/>
        </w:numPr>
        <w:ind w:left="720" w:hanging="267"/>
        <w:jc w:val="left"/>
        <w:rPr>
          <w:rFonts w:eastAsia="Arial" w:cs="Arial"/>
          <w:sz w:val="20"/>
          <w:szCs w:val="20"/>
        </w:rPr>
      </w:pPr>
      <w:r>
        <w:rPr>
          <w:rFonts w:eastAsia="Arial" w:cs="Arial"/>
          <w:sz w:val="20"/>
          <w:szCs w:val="20"/>
        </w:rPr>
        <w:t>With respect to securities traded on foreign markets:</w:t>
      </w:r>
    </w:p>
    <w:p>
      <w:pPr>
        <w:numPr>
          <w:ilvl w:val="1"/>
          <w:numId w:val="303"/>
        </w:numPr>
        <w:ind w:left="1440" w:hanging="220"/>
        <w:jc w:val="left"/>
        <w:rPr>
          <w:rFonts w:eastAsia="Arial" w:cs="Arial"/>
          <w:sz w:val="20"/>
          <w:szCs w:val="20"/>
        </w:rPr>
      </w:pPr>
      <w:r>
        <w:rPr>
          <w:rFonts w:eastAsia="Arial" w:cs="Arial"/>
          <w:sz w:val="20"/>
          <w:szCs w:val="20"/>
        </w:rPr>
        <w:t>value of foreign securities traded on other foreign markets;</w:t>
      </w:r>
    </w:p>
    <w:p>
      <w:pPr>
        <w:numPr>
          <w:ilvl w:val="1"/>
          <w:numId w:val="303"/>
        </w:numPr>
        <w:ind w:left="1440" w:hanging="220"/>
        <w:jc w:val="left"/>
        <w:rPr>
          <w:rFonts w:eastAsia="Arial" w:cs="Arial"/>
          <w:sz w:val="20"/>
          <w:szCs w:val="20"/>
        </w:rPr>
      </w:pPr>
      <w:r>
        <w:rPr>
          <w:rFonts w:eastAsia="Arial" w:cs="Arial"/>
          <w:sz w:val="20"/>
          <w:szCs w:val="20"/>
        </w:rPr>
        <w:t>ADR trading;</w:t>
      </w:r>
    </w:p>
    <w:p>
      <w:pPr>
        <w:numPr>
          <w:ilvl w:val="1"/>
          <w:numId w:val="303"/>
        </w:numPr>
        <w:ind w:left="1440" w:hanging="220"/>
        <w:jc w:val="left"/>
        <w:rPr>
          <w:rFonts w:eastAsia="Arial" w:cs="Arial"/>
          <w:sz w:val="20"/>
          <w:szCs w:val="20"/>
        </w:rPr>
      </w:pPr>
      <w:r>
        <w:rPr>
          <w:rFonts w:eastAsia="Arial" w:cs="Arial"/>
          <w:sz w:val="20"/>
          <w:szCs w:val="20"/>
        </w:rPr>
        <w:t>closed-end fund trading;</w:t>
      </w:r>
    </w:p>
    <w:p>
      <w:pPr>
        <w:numPr>
          <w:ilvl w:val="1"/>
          <w:numId w:val="303"/>
        </w:numPr>
        <w:ind w:left="1440" w:hanging="220"/>
        <w:jc w:val="left"/>
        <w:rPr>
          <w:rFonts w:eastAsia="Arial" w:cs="Arial"/>
          <w:sz w:val="20"/>
          <w:szCs w:val="20"/>
        </w:rPr>
      </w:pPr>
      <w:r>
        <w:rPr>
          <w:rFonts w:eastAsia="Arial" w:cs="Arial"/>
          <w:sz w:val="20"/>
          <w:szCs w:val="20"/>
        </w:rPr>
        <w:t>foreign currency exchange activity; and</w:t>
      </w:r>
    </w:p>
    <w:p>
      <w:pPr>
        <w:numPr>
          <w:ilvl w:val="1"/>
          <w:numId w:val="303"/>
        </w:numPr>
        <w:spacing w:after="200"/>
        <w:ind w:left="1440" w:hanging="220"/>
        <w:jc w:val="left"/>
        <w:rPr>
          <w:rFonts w:eastAsia="Arial" w:cs="Arial"/>
          <w:sz w:val="20"/>
          <w:szCs w:val="20"/>
        </w:rPr>
      </w:pPr>
      <w:r>
        <w:rPr>
          <w:rFonts w:eastAsia="Arial" w:cs="Arial"/>
          <w:sz w:val="20"/>
          <w:szCs w:val="20"/>
        </w:rPr>
        <w:t>trading prices of financial products that are tied to baskets of foreign securities.</w:t>
      </w:r>
    </w:p>
    <w:p>
      <w:pPr>
        <w:pStyle w:val="normal0"/>
        <w:spacing w:before="200" w:after="200"/>
        <w:rPr>
          <w:rFonts w:eastAsia="Arial" w:cs="Arial"/>
          <w:sz w:val="20"/>
          <w:szCs w:val="20"/>
        </w:rPr>
      </w:pPr>
      <w:r>
        <w:rPr>
          <w:rFonts w:eastAsia="Arial" w:cs="Arial"/>
          <w:sz w:val="20"/>
          <w:szCs w:val="20"/>
        </w:rPr>
        <w:t>After applying these factors, KCD shall employ the appropriate method to fair value the particular client portfolio securities, document the methodology and apply the methodology to calculate the fair value of the security.</w:t>
      </w:r>
    </w:p>
    <w:p>
      <w:bookmarkEnd w:id="307"/>
      <w:bookmarkStart w:id="308" w:name="Sec_Chp_061016102250093_06101531085"/>
    </w:p>
    <w:p>
      <w:pPr>
        <w:pStyle w:val="Heading5"/>
      </w:pPr>
      <w:r>
        <w:t>5.3.9.7.5 Stale-Priced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Stale-priced securities are securities where the market value has not changed for a period of one-week (5 business days). Stale priced securities will be reviewed by KCD on a weekly basis and valued under the "Fair Value Determination" section of these procedures if the price does not appear to represent the current market price. In such case, KCD will also review information received from each security's independent pricing service, if any, regarding its pricing and method of valuation.</w:t>
      </w:r>
    </w:p>
    <w:p>
      <w:bookmarkEnd w:id="308"/>
      <w:bookmarkStart w:id="309" w:name="Sec_Chp_061016102250093_06101531086"/>
    </w:p>
    <w:p>
      <w:pPr>
        <w:pStyle w:val="Heading5"/>
      </w:pPr>
      <w:r>
        <w:t>5.3.9.7.6 Single Broker Priced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the case of securities where the current market value is provided by a quote from a single broker, and not an independent pricing service, KCD will review the quote on a periodic basis. While such securities may be deemed to be priced at market value through these Procedures, KCD will review such "single source" quotes for their on-going appropriateness in terms of valuation. If a security is determined by KCD not to be priced at its fair value, KCD will obtain a new source to provide the security's market value.</w:t>
      </w:r>
    </w:p>
    <w:p>
      <w:bookmarkEnd w:id="309"/>
      <w:bookmarkStart w:id="310" w:name="Sec_Chp_061016102250093_06101531087"/>
    </w:p>
    <w:p>
      <w:pPr>
        <w:pStyle w:val="Heading5"/>
      </w:pPr>
      <w:r>
        <w:t>5.3.9.7.7 Restricted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determining the fair value of restricted securities, KCD will obtain a valuation based upon the current bid for the restricted security from one or more independent dealers or other parties reasonably familiar with the facts and circumstances of the security (who should take into consideration all relevant factors as may be appropriate under the circumstances).</w:t>
      </w:r>
    </w:p>
    <w:p>
      <w:pPr>
        <w:pStyle w:val="normal0"/>
        <w:spacing w:before="200" w:after="200"/>
        <w:rPr>
          <w:rFonts w:eastAsia="Arial" w:cs="Arial"/>
          <w:sz w:val="20"/>
          <w:szCs w:val="20"/>
        </w:rPr>
      </w:pPr>
      <w:r>
        <w:rPr>
          <w:rFonts w:eastAsia="Arial" w:cs="Arial"/>
          <w:sz w:val="20"/>
          <w:szCs w:val="20"/>
        </w:rPr>
        <w:t>If KCD is unable to obtain a current bid for a restricted security from an independent dealer or other independent party, KCD shall determine the fair value of such security.</w:t>
      </w:r>
    </w:p>
    <w:p>
      <w:pPr>
        <w:pStyle w:val="normal0"/>
        <w:spacing w:before="200" w:after="200"/>
        <w:rPr>
          <w:rFonts w:eastAsia="Arial" w:cs="Arial"/>
          <w:sz w:val="20"/>
          <w:szCs w:val="20"/>
        </w:rPr>
      </w:pPr>
      <w:r>
        <w:rPr>
          <w:rFonts w:eastAsia="Arial" w:cs="Arial"/>
          <w:sz w:val="20"/>
          <w:szCs w:val="20"/>
        </w:rPr>
        <w:t>The factors KCD may consider when valuing a restricted security include but are not limited to:</w:t>
      </w:r>
    </w:p>
    <w:p>
      <w:pPr>
        <w:numPr>
          <w:ilvl w:val="0"/>
          <w:numId w:val="304"/>
        </w:numPr>
        <w:spacing w:before="200"/>
        <w:ind w:left="720" w:hanging="192"/>
        <w:jc w:val="left"/>
        <w:rPr>
          <w:rFonts w:eastAsia="Arial" w:cs="Arial"/>
          <w:sz w:val="20"/>
          <w:szCs w:val="20"/>
        </w:rPr>
      </w:pPr>
      <w:r>
        <w:rPr>
          <w:rFonts w:eastAsia="Arial" w:cs="Arial"/>
          <w:sz w:val="20"/>
          <w:szCs w:val="20"/>
        </w:rPr>
        <w:t>the type of security;</w:t>
      </w:r>
    </w:p>
    <w:p>
      <w:pPr>
        <w:numPr>
          <w:ilvl w:val="0"/>
          <w:numId w:val="304"/>
        </w:numPr>
        <w:ind w:left="720" w:hanging="192"/>
        <w:jc w:val="left"/>
        <w:rPr>
          <w:rFonts w:eastAsia="Arial" w:cs="Arial"/>
          <w:sz w:val="20"/>
          <w:szCs w:val="20"/>
        </w:rPr>
      </w:pPr>
      <w:r>
        <w:rPr>
          <w:rFonts w:eastAsia="Arial" w:cs="Arial"/>
          <w:sz w:val="20"/>
          <w:szCs w:val="20"/>
        </w:rPr>
        <w:t>whether the security is a Rule 144A security;</w:t>
      </w:r>
    </w:p>
    <w:p>
      <w:pPr>
        <w:numPr>
          <w:ilvl w:val="0"/>
          <w:numId w:val="304"/>
        </w:numPr>
        <w:ind w:left="720" w:hanging="192"/>
        <w:jc w:val="left"/>
        <w:rPr>
          <w:rFonts w:eastAsia="Arial" w:cs="Arial"/>
          <w:sz w:val="20"/>
          <w:szCs w:val="20"/>
        </w:rPr>
      </w:pPr>
      <w:r>
        <w:rPr>
          <w:rFonts w:eastAsia="Arial" w:cs="Arial"/>
          <w:sz w:val="20"/>
          <w:szCs w:val="20"/>
        </w:rPr>
        <w:t>the cost at date of purchase;</w:t>
      </w:r>
    </w:p>
    <w:p>
      <w:pPr>
        <w:numPr>
          <w:ilvl w:val="0"/>
          <w:numId w:val="304"/>
        </w:numPr>
        <w:ind w:left="720" w:hanging="192"/>
        <w:jc w:val="left"/>
        <w:rPr>
          <w:rFonts w:eastAsia="Arial" w:cs="Arial"/>
          <w:sz w:val="20"/>
          <w:szCs w:val="20"/>
        </w:rPr>
      </w:pPr>
      <w:r>
        <w:rPr>
          <w:rFonts w:eastAsia="Arial" w:cs="Arial"/>
          <w:sz w:val="20"/>
          <w:szCs w:val="20"/>
        </w:rPr>
        <w:t>the discount from market value of unrestricted securities of the same class at the time of purchase and subsequent thereto;</w:t>
      </w:r>
    </w:p>
    <w:p>
      <w:pPr>
        <w:numPr>
          <w:ilvl w:val="0"/>
          <w:numId w:val="304"/>
        </w:numPr>
        <w:ind w:left="720" w:hanging="192"/>
        <w:jc w:val="left"/>
        <w:rPr>
          <w:rFonts w:eastAsia="Arial" w:cs="Arial"/>
          <w:sz w:val="20"/>
          <w:szCs w:val="20"/>
        </w:rPr>
      </w:pPr>
      <w:r>
        <w:rPr>
          <w:rFonts w:eastAsia="Arial" w:cs="Arial"/>
          <w:sz w:val="20"/>
          <w:szCs w:val="20"/>
        </w:rPr>
        <w:t>information as to any transactions or offers with respect to the security;</w:t>
      </w:r>
    </w:p>
    <w:p>
      <w:pPr>
        <w:numPr>
          <w:ilvl w:val="0"/>
          <w:numId w:val="304"/>
        </w:numPr>
        <w:ind w:left="720" w:hanging="192"/>
        <w:jc w:val="left"/>
        <w:rPr>
          <w:rFonts w:eastAsia="Arial" w:cs="Arial"/>
          <w:sz w:val="20"/>
          <w:szCs w:val="20"/>
        </w:rPr>
      </w:pPr>
      <w:r>
        <w:rPr>
          <w:rFonts w:eastAsia="Arial" w:cs="Arial"/>
          <w:sz w:val="20"/>
          <w:szCs w:val="20"/>
        </w:rPr>
        <w:t>the nature and duration of restrictions on disposition of the security and the existence of any registration rights;</w:t>
      </w:r>
    </w:p>
    <w:p>
      <w:pPr>
        <w:numPr>
          <w:ilvl w:val="0"/>
          <w:numId w:val="304"/>
        </w:numPr>
        <w:ind w:left="720" w:hanging="192"/>
        <w:jc w:val="left"/>
        <w:rPr>
          <w:rFonts w:eastAsia="Arial" w:cs="Arial"/>
          <w:sz w:val="20"/>
          <w:szCs w:val="20"/>
        </w:rPr>
      </w:pPr>
      <w:r>
        <w:rPr>
          <w:rFonts w:eastAsia="Arial" w:cs="Arial"/>
          <w:sz w:val="20"/>
          <w:szCs w:val="20"/>
        </w:rPr>
        <w:t>how the yield of the security compares to similar securities of companies of similar or equal creditworthiness;</w:t>
      </w:r>
    </w:p>
    <w:p>
      <w:pPr>
        <w:numPr>
          <w:ilvl w:val="0"/>
          <w:numId w:val="304"/>
        </w:numPr>
        <w:ind w:left="720" w:hanging="192"/>
        <w:jc w:val="left"/>
        <w:rPr>
          <w:rFonts w:eastAsia="Arial" w:cs="Arial"/>
          <w:sz w:val="20"/>
          <w:szCs w:val="20"/>
        </w:rPr>
      </w:pPr>
      <w:r>
        <w:rPr>
          <w:rFonts w:eastAsia="Arial" w:cs="Arial"/>
          <w:sz w:val="20"/>
          <w:szCs w:val="20"/>
        </w:rPr>
        <w:t>the level of recent trades of similar or comparable securities;</w:t>
      </w:r>
    </w:p>
    <w:p>
      <w:pPr>
        <w:numPr>
          <w:ilvl w:val="0"/>
          <w:numId w:val="304"/>
        </w:numPr>
        <w:ind w:left="720" w:hanging="192"/>
        <w:jc w:val="left"/>
        <w:rPr>
          <w:rFonts w:eastAsia="Arial" w:cs="Arial"/>
          <w:sz w:val="20"/>
          <w:szCs w:val="20"/>
        </w:rPr>
      </w:pPr>
      <w:r>
        <w:rPr>
          <w:rFonts w:eastAsia="Arial" w:cs="Arial"/>
          <w:sz w:val="20"/>
          <w:szCs w:val="20"/>
        </w:rPr>
        <w:t>the liquidity characteristic of the security;</w:t>
      </w:r>
    </w:p>
    <w:p>
      <w:pPr>
        <w:numPr>
          <w:ilvl w:val="0"/>
          <w:numId w:val="304"/>
        </w:numPr>
        <w:ind w:left="720" w:hanging="192"/>
        <w:jc w:val="left"/>
        <w:rPr>
          <w:rFonts w:eastAsia="Arial" w:cs="Arial"/>
          <w:sz w:val="20"/>
          <w:szCs w:val="20"/>
        </w:rPr>
      </w:pPr>
      <w:r>
        <w:rPr>
          <w:rFonts w:eastAsia="Arial" w:cs="Arial"/>
          <w:sz w:val="20"/>
          <w:szCs w:val="20"/>
        </w:rPr>
        <w:t>current market conditions;</w:t>
      </w:r>
    </w:p>
    <w:p>
      <w:pPr>
        <w:numPr>
          <w:ilvl w:val="0"/>
          <w:numId w:val="304"/>
        </w:numPr>
        <w:ind w:left="720" w:hanging="192"/>
        <w:jc w:val="left"/>
        <w:rPr>
          <w:rFonts w:eastAsia="Arial" w:cs="Arial"/>
          <w:sz w:val="20"/>
          <w:szCs w:val="20"/>
        </w:rPr>
      </w:pPr>
      <w:r>
        <w:rPr>
          <w:rFonts w:eastAsia="Arial" w:cs="Arial"/>
          <w:sz w:val="20"/>
          <w:szCs w:val="20"/>
        </w:rPr>
        <w:t>the market value of any securities into which the security is convertible or exchangeable; and</w:t>
      </w:r>
    </w:p>
    <w:p>
      <w:pPr>
        <w:numPr>
          <w:ilvl w:val="0"/>
          <w:numId w:val="304"/>
        </w:numPr>
        <w:spacing w:after="200"/>
        <w:ind w:left="720" w:hanging="192"/>
        <w:jc w:val="left"/>
        <w:rPr>
          <w:rFonts w:eastAsia="Arial" w:cs="Arial"/>
          <w:sz w:val="20"/>
          <w:szCs w:val="20"/>
        </w:rPr>
      </w:pPr>
      <w:r>
        <w:rPr>
          <w:rFonts w:eastAsia="Arial" w:cs="Arial"/>
          <w:sz w:val="20"/>
          <w:szCs w:val="20"/>
        </w:rPr>
        <w:t>other factors relevant to an analysis of whether an instrument is liquid.</w:t>
      </w:r>
    </w:p>
    <w:p>
      <w:bookmarkEnd w:id="310"/>
      <w:bookmarkStart w:id="311" w:name="Sec_Chp_061016102250093_06101531088"/>
    </w:p>
    <w:p>
      <w:pPr>
        <w:pStyle w:val="Heading5"/>
      </w:pPr>
      <w:r>
        <w:t>5.3.9.7.8 Review of Valuation Methodology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 each security that is subject to a fair value determination, the Chief Compliance Officer shall monitor the continuing appropriateness of the valuation methodology with respect to the security. If the Chief Compliance Officer concludes that the fair value methodology is no longer appropriate or finds an irregularity or issue regarding the valuation methodology presently used for a client's portfolio securities, he or she shall inform all relevant persons at KCD who shall collectively determine the best course of action including to use a different fair value methodology or valuing the security based on available market prices or quotations.</w:t>
      </w:r>
    </w:p>
    <w:p>
      <w:bookmarkEnd w:id="311"/>
      <w:bookmarkStart w:id="312" w:name="Sec_Chp_061016102250093_06101531089"/>
    </w:p>
    <w:p>
      <w:pPr>
        <w:pStyle w:val="Heading5"/>
      </w:pPr>
      <w:r>
        <w:t>5.3.9.7.9 Fair Value Methodology Recordkeeping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 each client, KCD shall maintain:</w:t>
      </w:r>
    </w:p>
    <w:p>
      <w:pPr>
        <w:numPr>
          <w:ilvl w:val="0"/>
          <w:numId w:val="305"/>
        </w:numPr>
        <w:spacing w:before="200"/>
        <w:ind w:left="720" w:hanging="267"/>
        <w:jc w:val="left"/>
        <w:rPr>
          <w:rFonts w:eastAsia="Arial" w:cs="Arial"/>
          <w:sz w:val="20"/>
          <w:szCs w:val="20"/>
        </w:rPr>
      </w:pPr>
      <w:r>
        <w:rPr>
          <w:rFonts w:eastAsia="Arial" w:cs="Arial"/>
          <w:sz w:val="20"/>
          <w:szCs w:val="20"/>
        </w:rPr>
        <w:t>a list of all securities that have been valued in accordance with fair value determinations;</w:t>
      </w:r>
    </w:p>
    <w:p>
      <w:pPr>
        <w:numPr>
          <w:ilvl w:val="0"/>
          <w:numId w:val="305"/>
        </w:numPr>
        <w:ind w:left="720" w:hanging="267"/>
        <w:jc w:val="left"/>
        <w:rPr>
          <w:rFonts w:eastAsia="Arial" w:cs="Arial"/>
          <w:sz w:val="20"/>
          <w:szCs w:val="20"/>
        </w:rPr>
      </w:pPr>
      <w:r>
        <w:rPr>
          <w:rFonts w:eastAsia="Arial" w:cs="Arial"/>
          <w:sz w:val="20"/>
          <w:szCs w:val="20"/>
        </w:rPr>
        <w:t>a list of all manually priced securities;</w:t>
      </w:r>
    </w:p>
    <w:p>
      <w:pPr>
        <w:numPr>
          <w:ilvl w:val="0"/>
          <w:numId w:val="305"/>
        </w:numPr>
        <w:ind w:left="720" w:hanging="267"/>
        <w:jc w:val="left"/>
        <w:rPr>
          <w:rFonts w:eastAsia="Arial" w:cs="Arial"/>
          <w:sz w:val="20"/>
          <w:szCs w:val="20"/>
        </w:rPr>
      </w:pPr>
      <w:r>
        <w:rPr>
          <w:rFonts w:eastAsia="Arial" w:cs="Arial"/>
          <w:sz w:val="20"/>
          <w:szCs w:val="20"/>
        </w:rPr>
        <w:t>realized sales prices for securities valued by fair value determinations; and</w:t>
      </w:r>
    </w:p>
    <w:p>
      <w:pPr>
        <w:numPr>
          <w:ilvl w:val="0"/>
          <w:numId w:val="305"/>
        </w:numPr>
        <w:spacing w:after="200"/>
        <w:ind w:left="720" w:hanging="267"/>
        <w:jc w:val="left"/>
        <w:rPr>
          <w:rFonts w:eastAsia="Arial" w:cs="Arial"/>
          <w:sz w:val="20"/>
          <w:szCs w:val="20"/>
        </w:rPr>
      </w:pPr>
      <w:r>
        <w:rPr>
          <w:rFonts w:eastAsia="Arial" w:cs="Arial"/>
          <w:sz w:val="20"/>
          <w:szCs w:val="20"/>
        </w:rPr>
        <w:t>other information as KCD deems relevant.</w:t>
      </w:r>
    </w:p>
    <w:p>
      <w:bookmarkEnd w:id="312"/>
      <w:bookmarkStart w:id="313" w:name="Sec_Chp_061016102250093_0610153108953108"/>
    </w:p>
    <w:p>
      <w:pPr>
        <w:pStyle w:val="Heading5"/>
      </w:pPr>
      <w:r>
        <w:t>5.3.9.7.10 Fair Value Hierarchy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establish and maintain a fair value hierarchy that prioritizes observable inputs used to determine the fair value of a client's portfolio securities. The three broad levels of fair value are:</w:t>
      </w:r>
    </w:p>
    <w:p>
      <w:pPr>
        <w:numPr>
          <w:ilvl w:val="0"/>
          <w:numId w:val="306"/>
        </w:numPr>
        <w:spacing w:before="200"/>
        <w:ind w:left="720" w:hanging="192"/>
        <w:jc w:val="left"/>
        <w:rPr>
          <w:rFonts w:eastAsia="Arial" w:cs="Arial"/>
          <w:sz w:val="20"/>
          <w:szCs w:val="20"/>
        </w:rPr>
      </w:pPr>
      <w:r>
        <w:rPr>
          <w:rFonts w:eastAsia="Arial" w:cs="Arial"/>
          <w:b/>
          <w:bCs/>
          <w:sz w:val="20"/>
          <w:szCs w:val="20"/>
        </w:rPr>
        <w:t>Level One Inputs</w:t>
      </w:r>
      <w:r>
        <w:rPr>
          <w:rFonts w:eastAsia="Arial" w:cs="Arial"/>
          <w:sz w:val="20"/>
          <w:szCs w:val="20"/>
        </w:rPr>
        <w:t>: observable inputs including quoted prices in active markets for identical securities or other assets. These assets can be valued with certainty because they are liquid and have clear market prices.</w:t>
      </w:r>
    </w:p>
    <w:p>
      <w:pPr>
        <w:numPr>
          <w:ilvl w:val="0"/>
          <w:numId w:val="306"/>
        </w:numPr>
        <w:ind w:left="720" w:hanging="192"/>
        <w:jc w:val="left"/>
        <w:rPr>
          <w:rFonts w:eastAsia="Arial" w:cs="Arial"/>
          <w:sz w:val="20"/>
          <w:szCs w:val="20"/>
        </w:rPr>
      </w:pPr>
      <w:r>
        <w:rPr>
          <w:rFonts w:eastAsia="Arial" w:cs="Arial"/>
          <w:b/>
          <w:bCs/>
          <w:sz w:val="20"/>
          <w:szCs w:val="20"/>
        </w:rPr>
        <w:t>Level Two Inputs</w:t>
      </w:r>
      <w:r>
        <w:rPr>
          <w:rFonts w:eastAsia="Arial" w:cs="Arial"/>
          <w:sz w:val="20"/>
          <w:szCs w:val="20"/>
        </w:rPr>
        <w:t>: observable inputs such as quoted prices for identical securities or other assets in markets that are not active where quoted prices are not available; these inputs are derived principally from or corroborated by observable market data. Level 2 inputs include:</w:t>
      </w:r>
    </w:p>
    <w:p>
      <w:pPr>
        <w:numPr>
          <w:ilvl w:val="1"/>
          <w:numId w:val="306"/>
        </w:numPr>
        <w:ind w:left="1440" w:hanging="220"/>
        <w:jc w:val="left"/>
        <w:rPr>
          <w:rFonts w:eastAsia="Arial" w:cs="Arial"/>
          <w:sz w:val="20"/>
          <w:szCs w:val="20"/>
        </w:rPr>
      </w:pPr>
      <w:r>
        <w:rPr>
          <w:rFonts w:eastAsia="Arial" w:cs="Arial"/>
          <w:sz w:val="20"/>
          <w:szCs w:val="20"/>
        </w:rPr>
        <w:t>Quoted prices for similar assets or liabilities in active markets;</w:t>
      </w:r>
    </w:p>
    <w:p>
      <w:pPr>
        <w:numPr>
          <w:ilvl w:val="1"/>
          <w:numId w:val="306"/>
        </w:numPr>
        <w:ind w:left="1440" w:hanging="220"/>
        <w:jc w:val="left"/>
        <w:rPr>
          <w:rFonts w:eastAsia="Arial" w:cs="Arial"/>
          <w:sz w:val="20"/>
          <w:szCs w:val="20"/>
        </w:rPr>
      </w:pPr>
      <w:r>
        <w:rPr>
          <w:rFonts w:eastAsia="Arial" w:cs="Arial"/>
          <w:sz w:val="20"/>
          <w:szCs w:val="20"/>
        </w:rPr>
        <w:t>Quoted prices for identical or similar assets or liabilities in non-active markets (examples include corporate and municipal bonds, which trade infrequently);</w:t>
      </w:r>
    </w:p>
    <w:p>
      <w:pPr>
        <w:numPr>
          <w:ilvl w:val="1"/>
          <w:numId w:val="306"/>
        </w:numPr>
        <w:ind w:left="1440" w:hanging="220"/>
        <w:jc w:val="left"/>
        <w:rPr>
          <w:rFonts w:eastAsia="Arial" w:cs="Arial"/>
          <w:sz w:val="20"/>
          <w:szCs w:val="20"/>
        </w:rPr>
      </w:pPr>
      <w:r>
        <w:rPr>
          <w:rFonts w:eastAsia="Arial" w:cs="Arial"/>
          <w:sz w:val="20"/>
          <w:szCs w:val="20"/>
        </w:rPr>
        <w:t>Pricing models whose inputs are observable for substantially the full term of the asset or liability;</w:t>
      </w:r>
    </w:p>
    <w:p>
      <w:pPr>
        <w:numPr>
          <w:ilvl w:val="1"/>
          <w:numId w:val="306"/>
        </w:numPr>
        <w:ind w:left="1440" w:hanging="220"/>
        <w:jc w:val="left"/>
        <w:rPr>
          <w:rFonts w:eastAsia="Arial" w:cs="Arial"/>
          <w:sz w:val="20"/>
          <w:szCs w:val="20"/>
        </w:rPr>
      </w:pPr>
      <w:r>
        <w:rPr>
          <w:rFonts w:eastAsia="Arial" w:cs="Arial"/>
          <w:sz w:val="20"/>
          <w:szCs w:val="20"/>
        </w:rPr>
        <w:t>Pricing models whose inputs are derived principally from or corroborated by observable market data through correlation or other means for substantially the full term of the asset or liability; and</w:t>
      </w:r>
    </w:p>
    <w:p>
      <w:pPr>
        <w:numPr>
          <w:ilvl w:val="0"/>
          <w:numId w:val="306"/>
        </w:numPr>
        <w:spacing w:after="200"/>
        <w:ind w:left="720" w:hanging="192"/>
        <w:jc w:val="left"/>
        <w:rPr>
          <w:rFonts w:eastAsia="Arial" w:cs="Arial"/>
          <w:sz w:val="20"/>
          <w:szCs w:val="20"/>
        </w:rPr>
      </w:pPr>
      <w:r>
        <w:rPr>
          <w:rFonts w:eastAsia="Arial" w:cs="Arial"/>
          <w:b/>
          <w:bCs/>
          <w:sz w:val="20"/>
          <w:szCs w:val="20"/>
        </w:rPr>
        <w:t>Level Three Inputs</w:t>
      </w:r>
      <w:r>
        <w:rPr>
          <w:rFonts w:eastAsia="Arial" w:cs="Arial"/>
          <w:sz w:val="20"/>
          <w:szCs w:val="20"/>
        </w:rPr>
        <w:t>: unobservable inputs including, for example, the reporting issuer's management estimates of the assumptions that market participants would use in pricing the security or other asset based on the best information available. These assets are illiquid and estimating their value requires inputs that are unobservable and reflect management assumptions.</w:t>
      </w:r>
    </w:p>
    <w:p>
      <w:bookmarkEnd w:id="313"/>
      <w:bookmarkStart w:id="314" w:name="Sec_Chp_061016102250093_0610153109"/>
    </w:p>
    <w:p>
      <w:pPr>
        <w:pStyle w:val="Heading4"/>
      </w:pPr>
      <w:r>
        <w:t>5.3.9.8 Independent Pricing Agents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Independent pricing agents (</w:t>
      </w:r>
      <w:r>
        <w:rPr>
          <w:rFonts w:eastAsia="Arial" w:cs="Arial"/>
          <w:i/>
          <w:iCs/>
          <w:sz w:val="20"/>
          <w:szCs w:val="20"/>
        </w:rPr>
        <w:t>e.g.,</w:t>
      </w:r>
      <w:r>
        <w:rPr>
          <w:rFonts w:eastAsia="Arial" w:cs="Arial"/>
          <w:sz w:val="20"/>
          <w:szCs w:val="20"/>
        </w:rPr>
        <w:t xml:space="preserve"> pricing services, quotation services and valuation appraisers) compile and disseminate official closing prices and published bid/asked prices for exchange-traded securities. In selecting a pricing agent to provide such assistance, KCD will consider:</w:t>
      </w:r>
    </w:p>
    <w:p>
      <w:pPr>
        <w:numPr>
          <w:ilvl w:val="0"/>
          <w:numId w:val="307"/>
        </w:numPr>
        <w:spacing w:before="200"/>
        <w:ind w:left="720" w:hanging="192"/>
        <w:jc w:val="left"/>
        <w:rPr>
          <w:rFonts w:eastAsia="Arial" w:cs="Arial"/>
          <w:sz w:val="20"/>
          <w:szCs w:val="20"/>
        </w:rPr>
      </w:pPr>
      <w:r>
        <w:rPr>
          <w:rFonts w:eastAsia="Arial" w:cs="Arial"/>
          <w:sz w:val="20"/>
          <w:szCs w:val="20"/>
        </w:rPr>
        <w:t xml:space="preserve">the inputs, methods, models, and assumptions used by the pricing agent to determine its evaluated prices; </w:t>
      </w:r>
    </w:p>
    <w:p>
      <w:pPr>
        <w:numPr>
          <w:ilvl w:val="0"/>
          <w:numId w:val="307"/>
        </w:numPr>
        <w:ind w:left="720" w:hanging="192"/>
        <w:jc w:val="left"/>
        <w:rPr>
          <w:rFonts w:eastAsia="Arial" w:cs="Arial"/>
          <w:sz w:val="20"/>
          <w:szCs w:val="20"/>
        </w:rPr>
      </w:pPr>
      <w:r>
        <w:rPr>
          <w:rFonts w:eastAsia="Arial" w:cs="Arial"/>
          <w:sz w:val="20"/>
          <w:szCs w:val="20"/>
        </w:rPr>
        <w:t>the timeliness of providing prices;</w:t>
      </w:r>
    </w:p>
    <w:p>
      <w:pPr>
        <w:numPr>
          <w:ilvl w:val="0"/>
          <w:numId w:val="307"/>
        </w:numPr>
        <w:ind w:left="720" w:hanging="192"/>
        <w:jc w:val="left"/>
        <w:rPr>
          <w:rFonts w:eastAsia="Arial" w:cs="Arial"/>
          <w:sz w:val="20"/>
          <w:szCs w:val="20"/>
        </w:rPr>
      </w:pPr>
      <w:r>
        <w:rPr>
          <w:rFonts w:eastAsia="Arial" w:cs="Arial"/>
          <w:sz w:val="20"/>
          <w:szCs w:val="20"/>
        </w:rPr>
        <w:t>ability to monitor for corporate actions;</w:t>
      </w:r>
    </w:p>
    <w:p>
      <w:pPr>
        <w:numPr>
          <w:ilvl w:val="0"/>
          <w:numId w:val="307"/>
        </w:numPr>
        <w:ind w:left="720" w:hanging="192"/>
        <w:jc w:val="left"/>
        <w:rPr>
          <w:rFonts w:eastAsia="Arial" w:cs="Arial"/>
          <w:sz w:val="20"/>
          <w:szCs w:val="20"/>
        </w:rPr>
      </w:pPr>
      <w:r>
        <w:rPr>
          <w:rFonts w:eastAsia="Arial" w:cs="Arial"/>
          <w:sz w:val="20"/>
          <w:szCs w:val="20"/>
        </w:rPr>
        <w:t>experience of the team evaluating prices;</w:t>
      </w:r>
    </w:p>
    <w:p>
      <w:pPr>
        <w:numPr>
          <w:ilvl w:val="0"/>
          <w:numId w:val="307"/>
        </w:numPr>
        <w:ind w:left="720" w:hanging="192"/>
        <w:jc w:val="left"/>
        <w:rPr>
          <w:rFonts w:eastAsia="Arial" w:cs="Arial"/>
          <w:sz w:val="20"/>
          <w:szCs w:val="20"/>
        </w:rPr>
      </w:pPr>
      <w:r>
        <w:rPr>
          <w:rFonts w:eastAsia="Arial" w:cs="Arial"/>
          <w:sz w:val="20"/>
          <w:szCs w:val="20"/>
        </w:rPr>
        <w:t>how the vendor facilitates and reacts to pricing challenges by KCD;</w:t>
      </w:r>
    </w:p>
    <w:p>
      <w:pPr>
        <w:numPr>
          <w:ilvl w:val="0"/>
          <w:numId w:val="307"/>
        </w:numPr>
        <w:ind w:left="720" w:hanging="192"/>
        <w:jc w:val="left"/>
        <w:rPr>
          <w:rFonts w:eastAsia="Arial" w:cs="Arial"/>
          <w:sz w:val="20"/>
          <w:szCs w:val="20"/>
        </w:rPr>
      </w:pPr>
      <w:r>
        <w:rPr>
          <w:rFonts w:eastAsia="Arial" w:cs="Arial"/>
          <w:sz w:val="20"/>
          <w:szCs w:val="20"/>
        </w:rPr>
        <w:t>safeguards in place to protect transmission of pricing information;</w:t>
      </w:r>
    </w:p>
    <w:p>
      <w:pPr>
        <w:numPr>
          <w:ilvl w:val="0"/>
          <w:numId w:val="307"/>
        </w:numPr>
        <w:ind w:left="720" w:hanging="192"/>
        <w:jc w:val="left"/>
        <w:rPr>
          <w:rFonts w:eastAsia="Arial" w:cs="Arial"/>
          <w:sz w:val="20"/>
          <w:szCs w:val="20"/>
        </w:rPr>
      </w:pPr>
      <w:r>
        <w:rPr>
          <w:rFonts w:eastAsia="Arial" w:cs="Arial"/>
          <w:sz w:val="20"/>
          <w:szCs w:val="20"/>
        </w:rPr>
        <w:t>how changes in market conditions may affect these factors; and</w:t>
      </w:r>
    </w:p>
    <w:p>
      <w:pPr>
        <w:numPr>
          <w:ilvl w:val="0"/>
          <w:numId w:val="307"/>
        </w:numPr>
        <w:spacing w:after="200"/>
        <w:ind w:left="720" w:hanging="192"/>
        <w:jc w:val="left"/>
        <w:rPr>
          <w:rFonts w:eastAsia="Arial" w:cs="Arial"/>
          <w:sz w:val="20"/>
          <w:szCs w:val="20"/>
        </w:rPr>
      </w:pPr>
      <w:r>
        <w:rPr>
          <w:rFonts w:eastAsia="Arial" w:cs="Arial"/>
          <w:sz w:val="20"/>
          <w:szCs w:val="20"/>
        </w:rPr>
        <w:t>the quality and accuracy of the evaluated prices provided.</w:t>
      </w:r>
    </w:p>
    <w:p>
      <w:pPr>
        <w:pStyle w:val="normal0"/>
        <w:spacing w:before="200" w:after="200"/>
        <w:rPr>
          <w:rFonts w:eastAsia="Arial" w:cs="Arial"/>
          <w:sz w:val="20"/>
          <w:szCs w:val="20"/>
        </w:rPr>
      </w:pPr>
      <w:r>
        <w:rPr>
          <w:rFonts w:eastAsia="Arial" w:cs="Arial"/>
          <w:sz w:val="20"/>
          <w:szCs w:val="20"/>
        </w:rPr>
        <w:t>KCD may employ independent pricing agents to value securities in client portfolios. Independent pricing agents KCD may employ including, but are not limited to:</w:t>
      </w:r>
    </w:p>
    <w:p>
      <w:pPr>
        <w:numPr>
          <w:ilvl w:val="0"/>
          <w:numId w:val="308"/>
        </w:numPr>
        <w:spacing w:before="200"/>
        <w:ind w:left="720" w:hanging="192"/>
        <w:jc w:val="left"/>
        <w:rPr>
          <w:rFonts w:eastAsia="Arial" w:cs="Arial"/>
          <w:sz w:val="20"/>
          <w:szCs w:val="20"/>
        </w:rPr>
      </w:pPr>
      <w:r>
        <w:rPr>
          <w:rFonts w:eastAsia="Arial" w:cs="Arial"/>
          <w:sz w:val="20"/>
          <w:szCs w:val="20"/>
        </w:rPr>
        <w:t>Bloomberg</w:t>
      </w:r>
    </w:p>
    <w:p>
      <w:pPr>
        <w:numPr>
          <w:ilvl w:val="0"/>
          <w:numId w:val="308"/>
        </w:numPr>
        <w:ind w:left="720" w:hanging="192"/>
        <w:jc w:val="left"/>
        <w:rPr>
          <w:rFonts w:eastAsia="Arial" w:cs="Arial"/>
          <w:sz w:val="20"/>
          <w:szCs w:val="20"/>
        </w:rPr>
      </w:pPr>
      <w:r>
        <w:rPr>
          <w:rFonts w:eastAsia="Arial" w:cs="Arial"/>
          <w:sz w:val="20"/>
          <w:szCs w:val="20"/>
        </w:rPr>
        <w:t>Reuters</w:t>
      </w:r>
    </w:p>
    <w:p>
      <w:pPr>
        <w:numPr>
          <w:ilvl w:val="0"/>
          <w:numId w:val="308"/>
        </w:numPr>
        <w:ind w:left="720" w:hanging="192"/>
        <w:jc w:val="left"/>
        <w:rPr>
          <w:rFonts w:eastAsia="Arial" w:cs="Arial"/>
          <w:sz w:val="20"/>
          <w:szCs w:val="20"/>
        </w:rPr>
      </w:pPr>
      <w:r>
        <w:rPr>
          <w:rFonts w:eastAsia="Arial" w:cs="Arial"/>
          <w:sz w:val="20"/>
          <w:szCs w:val="20"/>
        </w:rPr>
        <w:t>Interactive Data Corporation</w:t>
      </w:r>
    </w:p>
    <w:p>
      <w:pPr>
        <w:numPr>
          <w:ilvl w:val="0"/>
          <w:numId w:val="308"/>
        </w:numPr>
        <w:ind w:left="720" w:hanging="192"/>
        <w:jc w:val="left"/>
        <w:rPr>
          <w:rFonts w:eastAsia="Arial" w:cs="Arial"/>
          <w:sz w:val="20"/>
          <w:szCs w:val="20"/>
        </w:rPr>
      </w:pPr>
      <w:r>
        <w:rPr>
          <w:rFonts w:eastAsia="Arial" w:cs="Arial"/>
          <w:sz w:val="20"/>
          <w:szCs w:val="20"/>
        </w:rPr>
        <w:t>Muller Data Corporation</w:t>
      </w:r>
    </w:p>
    <w:p>
      <w:pPr>
        <w:numPr>
          <w:ilvl w:val="0"/>
          <w:numId w:val="308"/>
        </w:numPr>
        <w:spacing w:after="200"/>
        <w:ind w:left="720" w:hanging="192"/>
        <w:jc w:val="left"/>
        <w:rPr>
          <w:rFonts w:eastAsia="Arial" w:cs="Arial"/>
          <w:sz w:val="20"/>
          <w:szCs w:val="20"/>
        </w:rPr>
      </w:pPr>
      <w:r>
        <w:rPr>
          <w:rFonts w:eastAsia="Arial" w:cs="Arial"/>
          <w:sz w:val="20"/>
          <w:szCs w:val="20"/>
        </w:rPr>
        <w:t>Kenny Information Systems</w:t>
      </w:r>
    </w:p>
    <w:p>
      <w:pPr>
        <w:pStyle w:val="normal0"/>
        <w:spacing w:before="200" w:after="200"/>
        <w:rPr>
          <w:rFonts w:eastAsia="Arial" w:cs="Arial"/>
          <w:sz w:val="20"/>
          <w:szCs w:val="20"/>
        </w:rPr>
      </w:pPr>
      <w:r>
        <w:rPr>
          <w:rFonts w:eastAsia="Arial" w:cs="Arial"/>
          <w:sz w:val="20"/>
          <w:szCs w:val="20"/>
        </w:rPr>
        <w:t>KCD may utilize independent market trade data sources (</w:t>
      </w:r>
      <w:r>
        <w:rPr>
          <w:rFonts w:eastAsia="Arial" w:cs="Arial"/>
          <w:i/>
          <w:iCs/>
          <w:sz w:val="20"/>
          <w:szCs w:val="20"/>
        </w:rPr>
        <w:t>e.g.,</w:t>
      </w:r>
      <w:r>
        <w:rPr>
          <w:rFonts w:eastAsia="Arial" w:cs="Arial"/>
          <w:sz w:val="20"/>
          <w:szCs w:val="20"/>
        </w:rPr>
        <w:t xml:space="preserve"> TRACE) to assist the valuation of client portfolio securities.</w:t>
      </w:r>
    </w:p>
    <w:p>
      <w:pPr>
        <w:pStyle w:val="normal0"/>
        <w:spacing w:before="200" w:after="200"/>
        <w:rPr>
          <w:rFonts w:eastAsia="Arial" w:cs="Arial"/>
          <w:sz w:val="20"/>
          <w:szCs w:val="20"/>
        </w:rPr>
      </w:pPr>
      <w:r>
        <w:rPr>
          <w:rFonts w:eastAsia="Arial" w:cs="Arial"/>
          <w:sz w:val="20"/>
          <w:szCs w:val="20"/>
        </w:rPr>
        <w:t>After engaging an independent pricing agent, KCD will maintain the engagement agreement.</w:t>
      </w:r>
    </w:p>
    <w:p>
      <w:bookmarkEnd w:id="314"/>
      <w:bookmarkStart w:id="315" w:name="Sec_Chp_061016102250093_0610153109531010"/>
    </w:p>
    <w:p>
      <w:pPr>
        <w:pStyle w:val="Heading4"/>
      </w:pPr>
      <w:r>
        <w:t>5.3.9.9 Overriding Pricing Agents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will cross-check pricing agent information and dealer quotes against information from alternative sources.</w:t>
      </w:r>
    </w:p>
    <w:p>
      <w:pPr>
        <w:numPr>
          <w:ilvl w:val="0"/>
          <w:numId w:val="309"/>
        </w:numPr>
        <w:spacing w:before="200"/>
        <w:ind w:left="720" w:hanging="192"/>
        <w:jc w:val="left"/>
        <w:rPr>
          <w:rFonts w:eastAsia="Arial" w:cs="Arial"/>
          <w:sz w:val="20"/>
          <w:szCs w:val="20"/>
        </w:rPr>
      </w:pPr>
      <w:r>
        <w:rPr>
          <w:rFonts w:eastAsia="Arial" w:cs="Arial"/>
          <w:sz w:val="20"/>
          <w:szCs w:val="20"/>
        </w:rPr>
        <w:t>In particular, prices derived through matrix pricing and analytical techniques should be checked; and</w:t>
      </w:r>
    </w:p>
    <w:p>
      <w:pPr>
        <w:numPr>
          <w:ilvl w:val="0"/>
          <w:numId w:val="309"/>
        </w:numPr>
        <w:spacing w:after="200"/>
        <w:ind w:left="720" w:hanging="192"/>
        <w:jc w:val="left"/>
        <w:rPr>
          <w:rFonts w:eastAsia="Arial" w:cs="Arial"/>
          <w:sz w:val="20"/>
          <w:szCs w:val="20"/>
        </w:rPr>
      </w:pPr>
      <w:r>
        <w:rPr>
          <w:rFonts w:eastAsia="Arial" w:cs="Arial"/>
          <w:sz w:val="20"/>
          <w:szCs w:val="20"/>
        </w:rPr>
        <w:t>Frequency of cross checks may vary depending on circumstances, but commonly ranges between bi-weekly and quarterly.</w:t>
      </w:r>
    </w:p>
    <w:p>
      <w:pPr>
        <w:pStyle w:val="normal0"/>
        <w:spacing w:before="200" w:after="200"/>
        <w:rPr>
          <w:rFonts w:eastAsia="Arial" w:cs="Arial"/>
          <w:sz w:val="20"/>
          <w:szCs w:val="20"/>
        </w:rPr>
      </w:pPr>
      <w:r>
        <w:rPr>
          <w:rFonts w:eastAsia="Arial" w:cs="Arial"/>
          <w:sz w:val="20"/>
          <w:szCs w:val="20"/>
        </w:rPr>
        <w:t>KCD may override a price from a pricing agent, for example, when KCD has information from a secondary pricing service or other source that suggests that the primary pricing agent's price may be off the mark. In such case:</w:t>
      </w:r>
    </w:p>
    <w:p>
      <w:pPr>
        <w:numPr>
          <w:ilvl w:val="0"/>
          <w:numId w:val="310"/>
        </w:numPr>
        <w:spacing w:before="200"/>
        <w:ind w:left="720" w:hanging="192"/>
        <w:jc w:val="left"/>
        <w:rPr>
          <w:rFonts w:eastAsia="Arial" w:cs="Arial"/>
          <w:sz w:val="20"/>
          <w:szCs w:val="20"/>
        </w:rPr>
      </w:pPr>
      <w:r>
        <w:rPr>
          <w:rFonts w:eastAsia="Arial" w:cs="Arial"/>
          <w:sz w:val="20"/>
          <w:szCs w:val="20"/>
        </w:rPr>
        <w:t>KCD will question the pricing agent to see if it can provide an acceptable explanation for its price or will agree with KCD and modify the price; and</w:t>
      </w:r>
    </w:p>
    <w:p>
      <w:pPr>
        <w:numPr>
          <w:ilvl w:val="0"/>
          <w:numId w:val="310"/>
        </w:numPr>
        <w:spacing w:after="200"/>
        <w:ind w:left="720" w:hanging="192"/>
        <w:jc w:val="left"/>
        <w:rPr>
          <w:rFonts w:eastAsia="Arial" w:cs="Arial"/>
          <w:sz w:val="20"/>
          <w:szCs w:val="20"/>
        </w:rPr>
      </w:pPr>
      <w:r>
        <w:rPr>
          <w:rFonts w:eastAsia="Arial" w:cs="Arial"/>
          <w:sz w:val="20"/>
          <w:szCs w:val="20"/>
        </w:rPr>
        <w:t>If the pricing agent's response is unacceptable, KCD's valuation committee or other employees responsible for valuation may look to override the price.</w:t>
      </w:r>
    </w:p>
    <w:p>
      <w:bookmarkEnd w:id="315"/>
      <w:bookmarkStart w:id="316" w:name="Sec_Chp_061016102250093_0610161022511405"/>
    </w:p>
    <w:p>
      <w:pPr>
        <w:pStyle w:val="Heading3"/>
      </w:pPr>
      <w:bookmarkStart w:id="317" w:name="_Toc256000079"/>
      <w:r>
        <w:t>5.3.10 Rule 144 Securities</w:t>
      </w:r>
      <w:bookmarkEnd w:id="317"/>
    </w:p>
    <w:p/>
    <w:p>
      <w:pPr>
        <w:rPr>
          <w:rFonts w:eastAsia="Arial" w:cs="Arial"/>
          <w:sz w:val="16"/>
          <w:szCs w:val="16"/>
        </w:rPr>
      </w:pPr>
      <w:r>
        <w:rPr>
          <w:rFonts w:eastAsia="Arial" w:cs="Arial"/>
          <w:sz w:val="16"/>
          <w:szCs w:val="16"/>
        </w:rPr>
        <w:t>[SEC Securities Act of 1933 Rule 144]</w:t>
      </w:r>
    </w:p>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Under Rule 144 of the Securities Act of 1933, a holder of a restricted security is subject to a six months' holding period prior to being able to sell the restricted security. In addition, if the restricted securities were purchased, they cannot be sold until the full purchase price has been paid. If restricted securities are acquired as a gift, the holding period is assumed to begin when the donor acquired the shares, and the donee's sales are aggregated with sales made by the donor for purposes of calculating limitations on amount sold during the year after the donation.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Rule 144 limits the amount of restricted securities that may be sold during any three-month period. The limitations are based on a percentage of outstanding shares and the average trading volume in the security. The seller's sales are also subject to aggregation with sales of restricted stock by certain others connected with the seller. Non-affiliates of the issuer may make unlimited resales of restricted securities after a holding period of six months pursuant to Rule 144(k).</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Whenever "restricted securities" are held in a client's account, the following procedures shall apply when those securities are being resold. Restricted securities are securities acquired in an unregistered, private sale from an issuer or from an affiliate of an issuer, including in connection with a transaction meeting the requirements of Rule 144 under the Securities Act of 1933 (the "Securities Act").</w:t>
      </w:r>
    </w:p>
    <w:p>
      <w:pPr>
        <w:numPr>
          <w:ilvl w:val="0"/>
          <w:numId w:val="311"/>
        </w:numPr>
        <w:spacing w:before="200"/>
        <w:ind w:left="720" w:hanging="267"/>
        <w:jc w:val="left"/>
        <w:rPr>
          <w:rFonts w:eastAsia="Arial" w:cs="Arial"/>
          <w:sz w:val="20"/>
          <w:szCs w:val="20"/>
        </w:rPr>
      </w:pPr>
      <w:r>
        <w:rPr>
          <w:rFonts w:eastAsia="Arial" w:cs="Arial"/>
          <w:sz w:val="20"/>
          <w:szCs w:val="20"/>
        </w:rPr>
        <w:t xml:space="preserve">If an Adviser Representative determines it is in the best interest of a client to resell a restricted security, the Adviser Representative will determine whether the security may be resold under the Securities Act. If the security has been purchased within the last six months, the restricted security cannot be resold pursuant to Rule 144. </w:t>
      </w:r>
    </w:p>
    <w:p>
      <w:pPr>
        <w:numPr>
          <w:ilvl w:val="0"/>
          <w:numId w:val="311"/>
        </w:numPr>
        <w:ind w:left="720" w:hanging="267"/>
        <w:jc w:val="left"/>
        <w:rPr>
          <w:rFonts w:eastAsia="Arial" w:cs="Arial"/>
          <w:sz w:val="20"/>
          <w:szCs w:val="20"/>
        </w:rPr>
      </w:pPr>
      <w:r>
        <w:rPr>
          <w:rFonts w:eastAsia="Arial" w:cs="Arial"/>
          <w:sz w:val="20"/>
          <w:szCs w:val="20"/>
        </w:rPr>
        <w:t xml:space="preserve">If the restricted security has been held for more than six months, the Adviser Representative must determine whether the issuer of the Rule 144 Security has been subject to the reporting requirements of the Securities Exchange Act of 1934 for at least 90 days prior thereto, and has filed all reports required to be filed thereunder during the 12 months preceding (or such shorter period that the issuer was required to file such reports). If not, the restricted security cannot be resold pursuant to Rule 144, unless such restricted security has been held for at least one year prior thereto. </w:t>
      </w:r>
    </w:p>
    <w:p>
      <w:pPr>
        <w:numPr>
          <w:ilvl w:val="0"/>
          <w:numId w:val="311"/>
        </w:numPr>
        <w:ind w:left="720" w:hanging="267"/>
        <w:jc w:val="left"/>
        <w:rPr>
          <w:rFonts w:eastAsia="Arial" w:cs="Arial"/>
          <w:sz w:val="20"/>
          <w:szCs w:val="20"/>
        </w:rPr>
      </w:pPr>
      <w:r>
        <w:rPr>
          <w:rFonts w:eastAsia="Arial" w:cs="Arial"/>
          <w:sz w:val="20"/>
          <w:szCs w:val="20"/>
        </w:rPr>
        <w:t>The Adviser Representative will confirm that KCD and none of its subsidiaries or other affiliates (collectively, the "Firm Entities") are not affiliates of the issuer of the restricted security (</w:t>
      </w:r>
      <w:r>
        <w:rPr>
          <w:rFonts w:eastAsia="Arial" w:cs="Arial"/>
          <w:i/>
          <w:iCs/>
          <w:sz w:val="20"/>
          <w:szCs w:val="20"/>
        </w:rPr>
        <w:t>e.g.,</w:t>
      </w:r>
      <w:r>
        <w:rPr>
          <w:rFonts w:eastAsia="Arial" w:cs="Arial"/>
          <w:sz w:val="20"/>
          <w:szCs w:val="20"/>
        </w:rPr>
        <w:t xml:space="preserve"> a Firm Entity will be deemed an affiliate of the issuer if it owns 10% or more of such issuer's equity securities) to be resold pursuant to Rule 144. If any of KCD Entities are affiliates of the issuer, then it will be necessary to comply with other provisions of Rule 144 in connection with such resale, including the volume limitation, manner of sale and the filing requirements of Rule 144, and the Adviser Representative must contact the [Chief Compliance Officer] prior to reselling the restricted security.</w:t>
      </w:r>
    </w:p>
    <w:p>
      <w:pPr>
        <w:numPr>
          <w:ilvl w:val="0"/>
          <w:numId w:val="311"/>
        </w:numPr>
        <w:ind w:left="720" w:hanging="267"/>
        <w:jc w:val="left"/>
        <w:rPr>
          <w:rFonts w:eastAsia="Arial" w:cs="Arial"/>
          <w:sz w:val="20"/>
          <w:szCs w:val="20"/>
        </w:rPr>
      </w:pPr>
      <w:r>
        <w:rPr>
          <w:rFonts w:eastAsia="Arial" w:cs="Arial"/>
          <w:sz w:val="20"/>
          <w:szCs w:val="20"/>
        </w:rPr>
        <w:t>If all of the above conditions are met, KCD will contact the issuer as necessary to obtain clearance to remove legends on stock certificates or other transfer restrictions and, if required, will send the appropriate seller's letter and Form 144 to the client for signature.</w:t>
      </w:r>
    </w:p>
    <w:p>
      <w:pPr>
        <w:numPr>
          <w:ilvl w:val="0"/>
          <w:numId w:val="311"/>
        </w:numPr>
        <w:ind w:left="720" w:hanging="267"/>
        <w:jc w:val="left"/>
        <w:rPr>
          <w:rFonts w:eastAsia="Arial" w:cs="Arial"/>
          <w:sz w:val="20"/>
          <w:szCs w:val="20"/>
        </w:rPr>
      </w:pPr>
      <w:r>
        <w:rPr>
          <w:rFonts w:eastAsia="Arial" w:cs="Arial"/>
          <w:sz w:val="20"/>
          <w:szCs w:val="20"/>
        </w:rPr>
        <w:t>The Adviser Representative will complete and sign an attestation and provide it to the Chief Compliance Officer on the day of the resale of the restricted security.</w:t>
      </w:r>
    </w:p>
    <w:p>
      <w:pPr>
        <w:numPr>
          <w:ilvl w:val="0"/>
          <w:numId w:val="311"/>
        </w:numPr>
        <w:spacing w:after="200"/>
        <w:ind w:left="720" w:hanging="267"/>
        <w:jc w:val="left"/>
        <w:rPr>
          <w:rFonts w:eastAsia="Arial" w:cs="Arial"/>
          <w:sz w:val="20"/>
          <w:szCs w:val="20"/>
        </w:rPr>
      </w:pPr>
      <w:r>
        <w:rPr>
          <w:rFonts w:eastAsia="Arial" w:cs="Arial"/>
          <w:sz w:val="20"/>
          <w:szCs w:val="20"/>
        </w:rPr>
        <w:t>KCD will file Form 144 with the SEC and send all required information to the issuer including Form 144.</w:t>
      </w:r>
    </w:p>
    <w:p>
      <w:bookmarkEnd w:id="316"/>
      <w:bookmarkStart w:id="318" w:name="Sec_Chp_061016102250093_061016102251140"/>
    </w:p>
    <w:p>
      <w:pPr>
        <w:pStyle w:val="Heading3"/>
      </w:pPr>
      <w:bookmarkStart w:id="319" w:name="_Toc256000080"/>
      <w:r>
        <w:t>5.3.11 Proxy Voting Policies and Procedures</w:t>
      </w:r>
      <w:bookmarkEnd w:id="319"/>
    </w:p>
    <w:p/>
    <w:p>
      <w:pPr>
        <w:rPr>
          <w:rFonts w:eastAsia="Arial" w:cs="Arial"/>
          <w:sz w:val="16"/>
          <w:szCs w:val="16"/>
        </w:rPr>
      </w:pPr>
      <w:r>
        <w:rPr>
          <w:rFonts w:eastAsia="Arial" w:cs="Arial"/>
          <w:sz w:val="16"/>
          <w:szCs w:val="16"/>
        </w:rPr>
        <w:t>[Investment Advisers Act of 1940 Rule 206(4)-6]</w:t>
      </w:r>
    </w:p>
    <w:p/>
    <w:p>
      <w:pPr>
        <w:pStyle w:val="normal0"/>
        <w:spacing w:after="200"/>
        <w:rPr>
          <w:rFonts w:eastAsia="Arial" w:cs="Arial"/>
          <w:sz w:val="20"/>
          <w:szCs w:val="20"/>
        </w:rPr>
      </w:pPr>
      <w:r>
        <w:rPr>
          <w:rFonts w:eastAsia="Arial" w:cs="Arial"/>
          <w:sz w:val="20"/>
          <w:szCs w:val="20"/>
        </w:rPr>
        <w:t>KCD recognizes that the act of managing assets of clients consisting of equity securities can include the voting of proxies related to such equity securities. Each client can either: (i) delegate the power to vote proxies received from issuers of equity securities to the adviser; or (ii) retain the authority to vote his or her proxy. Where a client delegates to KCD the power to vote proxies for equity securities held in his or her account, KCD will vote the proxies in a manner that is in the best interests of the client. When KCD has such responsibility, it will follow the Proxy Voting Policies and Procedures.</w:t>
      </w:r>
    </w:p>
    <w:p>
      <w:pPr>
        <w:pStyle w:val="normal0"/>
        <w:spacing w:before="200" w:after="200"/>
        <w:rPr>
          <w:rFonts w:eastAsia="Arial" w:cs="Arial"/>
          <w:sz w:val="20"/>
          <w:szCs w:val="20"/>
        </w:rPr>
      </w:pPr>
      <w:r>
        <w:rPr>
          <w:rFonts w:eastAsia="Arial" w:cs="Arial"/>
          <w:sz w:val="20"/>
          <w:szCs w:val="20"/>
        </w:rPr>
        <w:t>Upon request, KCD shall furnish a copy of these proxy voting policies and procedures to the requesting client.</w:t>
      </w:r>
    </w:p>
    <w:p>
      <w:pPr>
        <w:pStyle w:val="normal0"/>
        <w:spacing w:before="200" w:after="200"/>
        <w:rPr>
          <w:rFonts w:eastAsia="Arial" w:cs="Arial"/>
          <w:sz w:val="20"/>
          <w:szCs w:val="20"/>
        </w:rPr>
      </w:pPr>
      <w:r>
        <w:rPr>
          <w:rFonts w:eastAsia="Arial" w:cs="Arial"/>
          <w:sz w:val="20"/>
          <w:szCs w:val="20"/>
        </w:rPr>
        <w:t xml:space="preserve">KCD when administering the voting of proxies will comply with "Commission Guidance Regarding Proxy Voting Responsibilities of Investment Advisers" (August 29, 2019). </w:t>
      </w:r>
    </w:p>
    <w:p>
      <w:bookmarkEnd w:id="318"/>
      <w:bookmarkStart w:id="320" w:name="Sec_Chp_061016102250093_061016102251156"/>
    </w:p>
    <w:p>
      <w:pPr>
        <w:pStyle w:val="Heading4"/>
      </w:pPr>
      <w:r>
        <w:t>5.3.11.1 Proxy Voting</w:t>
      </w:r>
    </w:p>
    <w:p/>
    <w:p>
      <w:pPr>
        <w:rPr>
          <w:rFonts w:eastAsia="Arial" w:cs="Arial"/>
          <w:sz w:val="16"/>
          <w:szCs w:val="16"/>
        </w:rPr>
      </w:pPr>
    </w:p>
    <w:p>
      <w:bookmarkEnd w:id="320"/>
      <w:bookmarkStart w:id="321" w:name="Sec_Chp_061016102250093_06101531211"/>
    </w:p>
    <w:p>
      <w:pPr>
        <w:pStyle w:val="Heading5"/>
      </w:pPr>
      <w:r>
        <w:t>5.3.11.1.1 Proxy Voting Responsibility</w:t>
      </w:r>
    </w:p>
    <w:p/>
    <w:p>
      <w:pPr>
        <w:rPr>
          <w:rFonts w:eastAsia="Arial" w:cs="Arial"/>
          <w:sz w:val="16"/>
          <w:szCs w:val="16"/>
        </w:rPr>
      </w:pPr>
      <w:r>
        <w:rPr>
          <w:rFonts w:eastAsia="Arial" w:cs="Arial"/>
          <w:sz w:val="16"/>
          <w:szCs w:val="16"/>
        </w:rPr>
        <w:t>[Commission Interpretation Regarding Standard of Conduct for Investment Advisers, Investment Advisers Act Rel. No. 5248 (June 5, 2019)]</w:t>
      </w:r>
    </w:p>
    <w:p/>
    <w:p>
      <w:pPr>
        <w:pStyle w:val="normal0"/>
        <w:spacing w:after="200"/>
        <w:rPr>
          <w:rFonts w:eastAsia="Arial" w:cs="Arial"/>
          <w:sz w:val="20"/>
          <w:szCs w:val="20"/>
        </w:rPr>
      </w:pPr>
      <w:r>
        <w:rPr>
          <w:rFonts w:eastAsia="Arial" w:cs="Arial"/>
          <w:sz w:val="20"/>
          <w:szCs w:val="20"/>
        </w:rPr>
        <w:t>When establishing proxy voting responsibility, KCD will take into consideration that it owes each of its clients a fiduciary duty under the Advisers Act, which must be viewed in the context of the agreed-upon scope of the relationship between KCD and the client.</w:t>
      </w:r>
    </w:p>
    <w:p>
      <w:pPr>
        <w:pStyle w:val="normal0"/>
        <w:spacing w:before="200" w:after="200"/>
        <w:rPr>
          <w:rFonts w:eastAsia="Arial" w:cs="Arial"/>
          <w:sz w:val="20"/>
          <w:szCs w:val="20"/>
        </w:rPr>
      </w:pPr>
      <w:r>
        <w:rPr>
          <w:rFonts w:eastAsia="Arial" w:cs="Arial"/>
          <w:sz w:val="20"/>
          <w:szCs w:val="20"/>
        </w:rPr>
        <w:t>At the inception of each investment adviser-client relationship, KCD shall:</w:t>
      </w:r>
    </w:p>
    <w:p>
      <w:pPr>
        <w:numPr>
          <w:ilvl w:val="0"/>
          <w:numId w:val="312"/>
        </w:numPr>
        <w:spacing w:before="200"/>
        <w:ind w:left="720" w:hanging="267"/>
        <w:jc w:val="left"/>
        <w:rPr>
          <w:rFonts w:eastAsia="Arial" w:cs="Arial"/>
          <w:sz w:val="20"/>
          <w:szCs w:val="20"/>
        </w:rPr>
      </w:pPr>
      <w:r>
        <w:rPr>
          <w:rFonts w:eastAsia="Arial" w:cs="Arial"/>
          <w:sz w:val="20"/>
          <w:szCs w:val="20"/>
        </w:rPr>
        <w:t xml:space="preserve">fully inform client about his or her options regarding who will vote proxies, including: </w:t>
      </w:r>
    </w:p>
    <w:p>
      <w:pPr>
        <w:numPr>
          <w:ilvl w:val="1"/>
          <w:numId w:val="312"/>
        </w:numPr>
        <w:ind w:left="1440" w:hanging="220"/>
        <w:jc w:val="left"/>
        <w:rPr>
          <w:rFonts w:eastAsia="Arial" w:cs="Arial"/>
          <w:sz w:val="20"/>
          <w:szCs w:val="20"/>
        </w:rPr>
      </w:pPr>
      <w:r>
        <w:rPr>
          <w:rFonts w:eastAsia="Arial" w:cs="Arial"/>
          <w:sz w:val="20"/>
          <w:szCs w:val="20"/>
        </w:rPr>
        <w:t>the scope of the services available to the client;</w:t>
      </w:r>
    </w:p>
    <w:p>
      <w:pPr>
        <w:numPr>
          <w:ilvl w:val="1"/>
          <w:numId w:val="312"/>
        </w:numPr>
        <w:ind w:left="1440" w:hanging="220"/>
        <w:jc w:val="left"/>
        <w:rPr>
          <w:rFonts w:eastAsia="Arial" w:cs="Arial"/>
          <w:sz w:val="20"/>
          <w:szCs w:val="20"/>
        </w:rPr>
      </w:pPr>
      <w:r>
        <w:rPr>
          <w:rFonts w:eastAsia="Arial" w:cs="Arial"/>
          <w:sz w:val="20"/>
          <w:szCs w:val="20"/>
        </w:rPr>
        <w:t>any conflicts of interest between the client and KCD;</w:t>
      </w:r>
    </w:p>
    <w:p>
      <w:pPr>
        <w:numPr>
          <w:ilvl w:val="1"/>
          <w:numId w:val="312"/>
        </w:numPr>
        <w:ind w:left="1440" w:hanging="220"/>
        <w:jc w:val="left"/>
        <w:rPr>
          <w:rFonts w:eastAsia="Arial" w:cs="Arial"/>
          <w:sz w:val="20"/>
          <w:szCs w:val="20"/>
        </w:rPr>
      </w:pPr>
      <w:r>
        <w:rPr>
          <w:rFonts w:eastAsia="Arial" w:cs="Arial"/>
          <w:sz w:val="20"/>
          <w:szCs w:val="20"/>
        </w:rPr>
        <w:t>the ability to allocate such responsibility between KCD and the client; and</w:t>
      </w:r>
    </w:p>
    <w:p>
      <w:pPr>
        <w:numPr>
          <w:ilvl w:val="0"/>
          <w:numId w:val="312"/>
        </w:numPr>
        <w:ind w:left="720" w:hanging="267"/>
        <w:jc w:val="left"/>
        <w:rPr>
          <w:rFonts w:eastAsia="Arial" w:cs="Arial"/>
          <w:sz w:val="20"/>
          <w:szCs w:val="20"/>
        </w:rPr>
      </w:pPr>
      <w:r>
        <w:rPr>
          <w:rFonts w:eastAsia="Arial" w:cs="Arial"/>
          <w:sz w:val="20"/>
          <w:szCs w:val="20"/>
        </w:rPr>
        <w:t xml:space="preserve">obtain client's written consent regarding whether the client or KCD is responsible for voting proxies. Such allocation of responsibility shall be documented in one or more of the following: </w:t>
      </w:r>
    </w:p>
    <w:p>
      <w:pPr>
        <w:numPr>
          <w:ilvl w:val="1"/>
          <w:numId w:val="312"/>
        </w:numPr>
        <w:ind w:left="1440" w:hanging="220"/>
        <w:jc w:val="left"/>
        <w:rPr>
          <w:rFonts w:eastAsia="Arial" w:cs="Arial"/>
          <w:sz w:val="20"/>
          <w:szCs w:val="20"/>
        </w:rPr>
      </w:pPr>
      <w:r>
        <w:rPr>
          <w:rFonts w:eastAsia="Arial" w:cs="Arial"/>
          <w:sz w:val="20"/>
          <w:szCs w:val="20"/>
        </w:rPr>
        <w:t>Client's investment advisory contract;</w:t>
      </w:r>
    </w:p>
    <w:p>
      <w:pPr>
        <w:numPr>
          <w:ilvl w:val="1"/>
          <w:numId w:val="312"/>
        </w:numPr>
        <w:ind w:left="1440" w:hanging="220"/>
        <w:jc w:val="left"/>
        <w:rPr>
          <w:rFonts w:eastAsia="Arial" w:cs="Arial"/>
          <w:sz w:val="20"/>
          <w:szCs w:val="20"/>
        </w:rPr>
      </w:pPr>
      <w:r>
        <w:rPr>
          <w:rFonts w:eastAsia="Arial" w:cs="Arial"/>
          <w:sz w:val="20"/>
          <w:szCs w:val="20"/>
        </w:rPr>
        <w:t>Client's Account Opening Form; or</w:t>
      </w:r>
    </w:p>
    <w:p>
      <w:pPr>
        <w:numPr>
          <w:ilvl w:val="1"/>
          <w:numId w:val="312"/>
        </w:numPr>
        <w:spacing w:after="200"/>
        <w:ind w:left="1440" w:hanging="220"/>
        <w:jc w:val="left"/>
        <w:rPr>
          <w:rFonts w:eastAsia="Arial" w:cs="Arial"/>
          <w:sz w:val="20"/>
          <w:szCs w:val="20"/>
        </w:rPr>
      </w:pPr>
      <w:r>
        <w:rPr>
          <w:rFonts w:eastAsia="Arial" w:cs="Arial"/>
          <w:sz w:val="20"/>
          <w:szCs w:val="20"/>
        </w:rPr>
        <w:t>Separate agreement between client and KCD authorizing KCD to vote client's proxies.</w:t>
      </w:r>
    </w:p>
    <w:p>
      <w:bookmarkEnd w:id="321"/>
      <w:bookmarkStart w:id="322" w:name="Sec_Chp_061016102250093_06101531212"/>
    </w:p>
    <w:p>
      <w:pPr>
        <w:pStyle w:val="Heading5"/>
      </w:pPr>
      <w:r>
        <w:t>5.3.11.1.2 Client Responsibility to Vote Proxies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receives proxies related to a client's securities and KCD is not responsible for voting such proxies, KCD shall make arrangements with the client's custodian or take such other steps to ensure that the client timely receives such proxies.</w:t>
      </w:r>
    </w:p>
    <w:p>
      <w:bookmarkEnd w:id="322"/>
      <w:bookmarkStart w:id="323" w:name="Sec_Chp_061016102250093_06101531213"/>
    </w:p>
    <w:p>
      <w:pPr>
        <w:pStyle w:val="Heading5"/>
      </w:pPr>
      <w:r>
        <w:t>5.3.11.1.3 Firm Responsibility to Vote Proxies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Unless the power to vote proxies for a client is reserved to that client (or in the case of an employee benefit plan, the plan's trustee or other fiduciaries), KCD is responsible for voting the proxies related to that account. The Chief Compliance Officer will be responsible for overseeing proxy voting. In such capacity, the Chief Compliance Officer will:</w:t>
      </w:r>
    </w:p>
    <w:p>
      <w:pPr>
        <w:numPr>
          <w:ilvl w:val="0"/>
          <w:numId w:val="313"/>
        </w:numPr>
        <w:spacing w:before="200"/>
        <w:ind w:left="720" w:hanging="192"/>
        <w:jc w:val="left"/>
        <w:rPr>
          <w:rFonts w:eastAsia="Arial" w:cs="Arial"/>
          <w:sz w:val="20"/>
          <w:szCs w:val="20"/>
        </w:rPr>
      </w:pPr>
      <w:r>
        <w:rPr>
          <w:rFonts w:eastAsia="Arial" w:cs="Arial"/>
          <w:sz w:val="20"/>
          <w:szCs w:val="20"/>
        </w:rPr>
        <w:t>deal directly with third parties to ensure that proxies and related materials are received; and</w:t>
      </w:r>
    </w:p>
    <w:p>
      <w:pPr>
        <w:numPr>
          <w:ilvl w:val="0"/>
          <w:numId w:val="313"/>
        </w:numPr>
        <w:spacing w:after="200"/>
        <w:ind w:left="720" w:hanging="192"/>
        <w:jc w:val="left"/>
        <w:rPr>
          <w:rFonts w:eastAsia="Arial" w:cs="Arial"/>
          <w:sz w:val="20"/>
          <w:szCs w:val="20"/>
        </w:rPr>
      </w:pPr>
      <w:r>
        <w:rPr>
          <w:rFonts w:eastAsia="Arial" w:cs="Arial"/>
          <w:sz w:val="20"/>
          <w:szCs w:val="20"/>
        </w:rPr>
        <w:t>resolve any issues with the proxy voting process including with third parties.</w:t>
      </w:r>
    </w:p>
    <w:p>
      <w:pPr>
        <w:spacing w:before="200" w:after="200"/>
        <w:rPr>
          <w:rFonts w:eastAsia="Arial" w:cs="Arial"/>
          <w:sz w:val="20"/>
          <w:szCs w:val="20"/>
        </w:rPr>
      </w:pPr>
      <w:r>
        <w:rPr>
          <w:rFonts w:eastAsia="Arial" w:cs="Arial"/>
          <w:sz w:val="20"/>
          <w:szCs w:val="20"/>
        </w:rPr>
        <w:t>When exercising its authority to vote proxies, KCD shall:</w:t>
      </w:r>
    </w:p>
    <w:p>
      <w:pPr>
        <w:numPr>
          <w:ilvl w:val="0"/>
          <w:numId w:val="314"/>
        </w:numPr>
        <w:spacing w:before="200"/>
        <w:ind w:left="720" w:hanging="192"/>
        <w:jc w:val="left"/>
        <w:rPr>
          <w:rFonts w:eastAsia="Arial" w:cs="Arial"/>
          <w:sz w:val="20"/>
          <w:szCs w:val="20"/>
        </w:rPr>
      </w:pPr>
      <w:r>
        <w:rPr>
          <w:rFonts w:eastAsia="Arial" w:cs="Arial"/>
          <w:sz w:val="20"/>
          <w:szCs w:val="20"/>
        </w:rPr>
        <w:t xml:space="preserve">satisfy its duties of care and loyalty to each client with respect to voting that client's proxies; </w:t>
      </w:r>
    </w:p>
    <w:p>
      <w:pPr>
        <w:numPr>
          <w:ilvl w:val="0"/>
          <w:numId w:val="314"/>
        </w:numPr>
        <w:ind w:left="720" w:hanging="192"/>
        <w:jc w:val="left"/>
        <w:rPr>
          <w:rFonts w:eastAsia="Arial" w:cs="Arial"/>
          <w:sz w:val="20"/>
          <w:szCs w:val="20"/>
        </w:rPr>
      </w:pPr>
      <w:r>
        <w:rPr>
          <w:rFonts w:eastAsia="Arial" w:cs="Arial"/>
          <w:sz w:val="20"/>
          <w:szCs w:val="20"/>
        </w:rPr>
        <w:t xml:space="preserve">conduct a reasonable investigation into matters on which KCD votes; </w:t>
      </w:r>
    </w:p>
    <w:p>
      <w:pPr>
        <w:numPr>
          <w:ilvl w:val="0"/>
          <w:numId w:val="314"/>
        </w:numPr>
        <w:ind w:left="720" w:hanging="192"/>
        <w:jc w:val="left"/>
        <w:rPr>
          <w:rFonts w:eastAsia="Arial" w:cs="Arial"/>
          <w:sz w:val="20"/>
          <w:szCs w:val="20"/>
        </w:rPr>
      </w:pPr>
      <w:r>
        <w:rPr>
          <w:rFonts w:eastAsia="Arial" w:cs="Arial"/>
          <w:sz w:val="20"/>
          <w:szCs w:val="20"/>
        </w:rPr>
        <w:t xml:space="preserve">consider whether voting all of its clients' shares the same and/or in accordance with a uniform voting policy would be in the best interest of each of its clients, including the potential effect of the vote on the value of a client's investments that have different investment objectives; </w:t>
      </w:r>
    </w:p>
    <w:p>
      <w:pPr>
        <w:numPr>
          <w:ilvl w:val="0"/>
          <w:numId w:val="314"/>
        </w:numPr>
        <w:ind w:left="720" w:hanging="192"/>
        <w:jc w:val="left"/>
        <w:rPr>
          <w:rFonts w:eastAsia="Arial" w:cs="Arial"/>
          <w:sz w:val="20"/>
          <w:szCs w:val="20"/>
        </w:rPr>
      </w:pPr>
      <w:r>
        <w:rPr>
          <w:rFonts w:eastAsia="Arial" w:cs="Arial"/>
          <w:sz w:val="20"/>
          <w:szCs w:val="20"/>
        </w:rPr>
        <w:t xml:space="preserve">make the determination with respect to each proxy vote that its vote or recommendation is in the best interest of the client; and </w:t>
      </w:r>
    </w:p>
    <w:p>
      <w:pPr>
        <w:numPr>
          <w:ilvl w:val="0"/>
          <w:numId w:val="314"/>
        </w:numPr>
        <w:spacing w:after="200"/>
        <w:ind w:left="720" w:hanging="192"/>
        <w:jc w:val="left"/>
        <w:rPr>
          <w:rFonts w:eastAsia="Arial" w:cs="Arial"/>
          <w:sz w:val="20"/>
          <w:szCs w:val="20"/>
        </w:rPr>
      </w:pPr>
      <w:r>
        <w:rPr>
          <w:rFonts w:eastAsia="Arial" w:cs="Arial"/>
          <w:sz w:val="20"/>
          <w:szCs w:val="20"/>
        </w:rPr>
        <w:t xml:space="preserve">not place its own interests ahead of the interests of any client with respect to any proxy vote or recommendation. </w:t>
      </w:r>
    </w:p>
    <w:p>
      <w:pPr>
        <w:pStyle w:val="normal0"/>
        <w:spacing w:before="200" w:after="200"/>
        <w:rPr>
          <w:rFonts w:eastAsia="Arial" w:cs="Arial"/>
          <w:sz w:val="20"/>
          <w:szCs w:val="20"/>
        </w:rPr>
      </w:pPr>
      <w:r>
        <w:rPr>
          <w:rFonts w:eastAsia="Arial" w:cs="Arial"/>
          <w:sz w:val="20"/>
          <w:szCs w:val="20"/>
        </w:rPr>
        <w:t>When voting proxies:</w:t>
      </w:r>
    </w:p>
    <w:p>
      <w:pPr>
        <w:numPr>
          <w:ilvl w:val="0"/>
          <w:numId w:val="315"/>
        </w:numPr>
        <w:spacing w:before="200"/>
        <w:ind w:left="720" w:hanging="192"/>
        <w:jc w:val="left"/>
        <w:rPr>
          <w:rFonts w:eastAsia="Arial" w:cs="Arial"/>
          <w:sz w:val="20"/>
          <w:szCs w:val="20"/>
        </w:rPr>
      </w:pPr>
      <w:r>
        <w:rPr>
          <w:rFonts w:eastAsia="Arial" w:cs="Arial"/>
          <w:sz w:val="20"/>
          <w:szCs w:val="20"/>
        </w:rPr>
        <w:t>The [Chief Compliance Officer] will sort and log all proxies and ballots upon receipt.</w:t>
      </w:r>
    </w:p>
    <w:p>
      <w:pPr>
        <w:numPr>
          <w:ilvl w:val="0"/>
          <w:numId w:val="315"/>
        </w:numPr>
        <w:ind w:left="720" w:hanging="192"/>
        <w:jc w:val="left"/>
        <w:rPr>
          <w:rFonts w:eastAsia="Arial" w:cs="Arial"/>
          <w:sz w:val="20"/>
          <w:szCs w:val="20"/>
        </w:rPr>
      </w:pPr>
      <w:r>
        <w:rPr>
          <w:rFonts w:eastAsia="Arial" w:cs="Arial"/>
          <w:sz w:val="20"/>
          <w:szCs w:val="20"/>
        </w:rPr>
        <w:t>The [Chief Compliance Officer] will document the record date of the issuer's meeting of shareholders, and verify the holdings of the client and that the client is eligible to vote.</w:t>
      </w:r>
    </w:p>
    <w:p>
      <w:pPr>
        <w:numPr>
          <w:ilvl w:val="0"/>
          <w:numId w:val="315"/>
        </w:numPr>
        <w:ind w:left="720" w:hanging="192"/>
        <w:jc w:val="left"/>
        <w:rPr>
          <w:rFonts w:eastAsia="Arial" w:cs="Arial"/>
          <w:sz w:val="20"/>
          <w:szCs w:val="20"/>
        </w:rPr>
      </w:pPr>
      <w:r>
        <w:rPr>
          <w:rFonts w:eastAsia="Arial" w:cs="Arial"/>
          <w:sz w:val="20"/>
          <w:szCs w:val="20"/>
        </w:rPr>
        <w:t xml:space="preserve">The [Chief Compliance Officer] will forward these documents to the appropriate Portfolio Manager voting the proxy. </w:t>
      </w:r>
    </w:p>
    <w:p>
      <w:pPr>
        <w:numPr>
          <w:ilvl w:val="0"/>
          <w:numId w:val="315"/>
        </w:numPr>
        <w:ind w:left="720" w:hanging="192"/>
        <w:jc w:val="left"/>
        <w:rPr>
          <w:rFonts w:eastAsia="Arial" w:cs="Arial"/>
          <w:sz w:val="20"/>
          <w:szCs w:val="20"/>
        </w:rPr>
      </w:pPr>
      <w:r>
        <w:rPr>
          <w:rFonts w:eastAsia="Arial" w:cs="Arial"/>
          <w:sz w:val="20"/>
          <w:szCs w:val="20"/>
        </w:rPr>
        <w:t xml:space="preserve">The Portfolio Manager voting the proxy will review the proxy materials and complete the proxy cards on behalf of clients. </w:t>
      </w:r>
    </w:p>
    <w:p>
      <w:pPr>
        <w:numPr>
          <w:ilvl w:val="0"/>
          <w:numId w:val="315"/>
        </w:numPr>
        <w:ind w:left="720" w:hanging="192"/>
        <w:jc w:val="left"/>
        <w:rPr>
          <w:rFonts w:eastAsia="Arial" w:cs="Arial"/>
          <w:sz w:val="20"/>
          <w:szCs w:val="20"/>
        </w:rPr>
      </w:pPr>
      <w:r>
        <w:rPr>
          <w:rFonts w:eastAsia="Arial" w:cs="Arial"/>
          <w:sz w:val="20"/>
          <w:szCs w:val="20"/>
        </w:rPr>
        <w:t xml:space="preserve">The Portfolio Manager will promptly vote proxies electronically, if possible, or otherwise by mail in a manner consistent with these Proxy Voting Policies and Procedures and guidelines (if any) issued by client (or in the case of an employee benefit plan, the plan's trustee or other fiduciaries). </w:t>
      </w:r>
    </w:p>
    <w:p>
      <w:pPr>
        <w:numPr>
          <w:ilvl w:val="0"/>
          <w:numId w:val="315"/>
        </w:numPr>
        <w:ind w:left="720" w:hanging="192"/>
        <w:jc w:val="left"/>
        <w:rPr>
          <w:rFonts w:eastAsia="Arial" w:cs="Arial"/>
          <w:sz w:val="20"/>
          <w:szCs w:val="20"/>
        </w:rPr>
      </w:pPr>
      <w:r>
        <w:rPr>
          <w:rFonts w:eastAsia="Arial" w:cs="Arial"/>
          <w:sz w:val="20"/>
          <w:szCs w:val="20"/>
        </w:rPr>
        <w:t xml:space="preserve">The Portfolio Manager will note on the cover page of the proxy or in a log how he or she voted on each issue. The proxy will then be filed in the applicable client's file and become a permanent part of the records of KCD. </w:t>
      </w:r>
    </w:p>
    <w:p>
      <w:pPr>
        <w:numPr>
          <w:ilvl w:val="0"/>
          <w:numId w:val="315"/>
        </w:numPr>
        <w:ind w:left="720" w:hanging="192"/>
        <w:jc w:val="left"/>
        <w:rPr>
          <w:rFonts w:eastAsia="Arial" w:cs="Arial"/>
          <w:sz w:val="20"/>
          <w:szCs w:val="20"/>
        </w:rPr>
      </w:pPr>
      <w:r>
        <w:rPr>
          <w:rFonts w:eastAsia="Arial" w:cs="Arial"/>
          <w:sz w:val="20"/>
          <w:szCs w:val="20"/>
        </w:rPr>
        <w:t xml:space="preserve">On an ongoing basis, the Portfolio Manager will monitor corporate management of issuers whose securities are held by clients whose accounts he or she manages and, where appropriate, will communicate with the officers of the issuers of the securities. </w:t>
      </w:r>
    </w:p>
    <w:p>
      <w:pPr>
        <w:numPr>
          <w:ilvl w:val="0"/>
          <w:numId w:val="315"/>
        </w:numPr>
        <w:ind w:left="720" w:hanging="192"/>
        <w:jc w:val="left"/>
        <w:rPr>
          <w:rFonts w:eastAsia="Arial" w:cs="Arial"/>
          <w:sz w:val="20"/>
          <w:szCs w:val="20"/>
        </w:rPr>
      </w:pPr>
      <w:r>
        <w:rPr>
          <w:rFonts w:eastAsia="Arial" w:cs="Arial"/>
          <w:sz w:val="20"/>
          <w:szCs w:val="20"/>
        </w:rPr>
        <w:t xml:space="preserve">Periodically, the [Chief Compliance Officer] will verify that: </w:t>
      </w:r>
    </w:p>
    <w:p>
      <w:pPr>
        <w:numPr>
          <w:ilvl w:val="1"/>
          <w:numId w:val="315"/>
        </w:numPr>
        <w:ind w:left="1440" w:hanging="220"/>
        <w:jc w:val="left"/>
        <w:rPr>
          <w:rFonts w:eastAsia="Arial" w:cs="Arial"/>
          <w:sz w:val="20"/>
          <w:szCs w:val="20"/>
        </w:rPr>
      </w:pPr>
      <w:r>
        <w:rPr>
          <w:rFonts w:eastAsia="Arial" w:cs="Arial"/>
          <w:sz w:val="20"/>
          <w:szCs w:val="20"/>
        </w:rPr>
        <w:t xml:space="preserve">All annual proxies for the securities held by the clients managed by KCD have been received; </w:t>
      </w:r>
    </w:p>
    <w:p>
      <w:pPr>
        <w:numPr>
          <w:ilvl w:val="1"/>
          <w:numId w:val="315"/>
        </w:numPr>
        <w:ind w:left="1440" w:hanging="220"/>
        <w:jc w:val="left"/>
        <w:rPr>
          <w:rFonts w:eastAsia="Arial" w:cs="Arial"/>
          <w:sz w:val="20"/>
          <w:szCs w:val="20"/>
        </w:rPr>
      </w:pPr>
      <w:r>
        <w:rPr>
          <w:rFonts w:eastAsia="Arial" w:cs="Arial"/>
          <w:sz w:val="20"/>
          <w:szCs w:val="20"/>
        </w:rPr>
        <w:t xml:space="preserve">Each proxy received has been voted in a manner consistent with these Proxy Voting Policies and Procedures and the guidelines (if any) issued by the client (or in the case of an employee benefit plan, the plan's trustee or other fiduciaries); </w:t>
      </w:r>
    </w:p>
    <w:p>
      <w:pPr>
        <w:numPr>
          <w:ilvl w:val="1"/>
          <w:numId w:val="315"/>
        </w:numPr>
        <w:ind w:left="1440" w:hanging="220"/>
        <w:jc w:val="left"/>
        <w:rPr>
          <w:rFonts w:eastAsia="Arial" w:cs="Arial"/>
          <w:sz w:val="20"/>
          <w:szCs w:val="20"/>
        </w:rPr>
      </w:pPr>
      <w:r>
        <w:rPr>
          <w:rFonts w:eastAsia="Arial" w:cs="Arial"/>
          <w:sz w:val="20"/>
          <w:szCs w:val="20"/>
        </w:rPr>
        <w:t xml:space="preserve">Reports, if required, have been sent to each client showing how each proxy was voted; and </w:t>
      </w:r>
    </w:p>
    <w:p>
      <w:pPr>
        <w:numPr>
          <w:ilvl w:val="1"/>
          <w:numId w:val="315"/>
        </w:numPr>
        <w:spacing w:after="200"/>
        <w:ind w:left="1440" w:hanging="220"/>
        <w:jc w:val="left"/>
        <w:rPr>
          <w:rFonts w:eastAsia="Arial" w:cs="Arial"/>
          <w:sz w:val="20"/>
          <w:szCs w:val="20"/>
        </w:rPr>
      </w:pPr>
      <w:r>
        <w:rPr>
          <w:rFonts w:eastAsia="Arial" w:cs="Arial"/>
          <w:sz w:val="20"/>
          <w:szCs w:val="20"/>
        </w:rPr>
        <w:t xml:space="preserve">Files containing records of how proxies were voted to ensure their completeness are maintained and kept current. </w:t>
      </w:r>
    </w:p>
    <w:p>
      <w:bookmarkEnd w:id="323"/>
      <w:bookmarkStart w:id="324" w:name="Sec_Chp_061016102250093_0610153121333"/>
    </w:p>
    <w:p>
      <w:pPr>
        <w:pStyle w:val="Heading5"/>
      </w:pPr>
      <w:r>
        <w:t>5.3.11.1.4 Joint Client-Firm Responsibility to Vote Proxies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and the client agree on a proxy voting arrangement in which KCD will not assume all of the proxy voting authority, or in which KCD only assumes the authority to vote on behalf of the client in limited circumstances, KCD shall document such shared arrangement in writing. KCD and client may consider the following shared proxy voting arrangements:</w:t>
      </w:r>
    </w:p>
    <w:p>
      <w:pPr>
        <w:numPr>
          <w:ilvl w:val="0"/>
          <w:numId w:val="316"/>
        </w:numPr>
        <w:spacing w:before="200"/>
        <w:ind w:left="720" w:hanging="192"/>
        <w:jc w:val="left"/>
        <w:rPr>
          <w:rFonts w:eastAsia="Arial" w:cs="Arial"/>
          <w:sz w:val="20"/>
          <w:szCs w:val="20"/>
        </w:rPr>
      </w:pPr>
      <w:r>
        <w:rPr>
          <w:rFonts w:eastAsia="Arial" w:cs="Arial"/>
          <w:sz w:val="20"/>
          <w:szCs w:val="20"/>
        </w:rPr>
        <w:t>A client and KCD may agree that KCD should exercise voting authority pursuant to specific parameters designed to serve the client's best interest. For example, the client and KCD may agree that, absent receipt of a contrary instruction from the client or a determination by KCD that voting a particular proposal in a different way would be in the client's best interest (</w:t>
      </w:r>
      <w:r>
        <w:rPr>
          <w:rFonts w:eastAsia="Arial" w:cs="Arial"/>
          <w:i/>
          <w:iCs/>
          <w:sz w:val="20"/>
          <w:szCs w:val="20"/>
        </w:rPr>
        <w:t>e.g.,</w:t>
      </w:r>
      <w:r>
        <w:rPr>
          <w:rFonts w:eastAsia="Arial" w:cs="Arial"/>
          <w:sz w:val="20"/>
          <w:szCs w:val="20"/>
        </w:rPr>
        <w:t xml:space="preserve"> if voting differently would further the investment strategy being pursued by KCD on behalf of the client): </w:t>
      </w:r>
    </w:p>
    <w:p>
      <w:pPr>
        <w:numPr>
          <w:ilvl w:val="1"/>
          <w:numId w:val="316"/>
        </w:numPr>
        <w:ind w:left="1440" w:hanging="220"/>
        <w:jc w:val="left"/>
        <w:rPr>
          <w:rFonts w:eastAsia="Arial" w:cs="Arial"/>
          <w:sz w:val="20"/>
          <w:szCs w:val="20"/>
        </w:rPr>
      </w:pPr>
      <w:r>
        <w:rPr>
          <w:rFonts w:eastAsia="Arial" w:cs="Arial"/>
          <w:sz w:val="20"/>
          <w:szCs w:val="20"/>
        </w:rPr>
        <w:t>KCD will vote in accordance with the voting recommendations of management of the issuer. Such an arrangement could be subject to conditions, for example additional analysis by KCD where the voting recommendation concerns a matter that may present heightened management conflicts of interest or involve a type of matter of particular interest to KCD's client; or</w:t>
      </w:r>
    </w:p>
    <w:p>
      <w:pPr>
        <w:numPr>
          <w:ilvl w:val="1"/>
          <w:numId w:val="316"/>
        </w:numPr>
        <w:ind w:left="1440" w:hanging="220"/>
        <w:jc w:val="left"/>
        <w:rPr>
          <w:rFonts w:eastAsia="Arial" w:cs="Arial"/>
          <w:sz w:val="20"/>
          <w:szCs w:val="20"/>
        </w:rPr>
      </w:pPr>
      <w:r>
        <w:rPr>
          <w:rFonts w:eastAsia="Arial" w:cs="Arial"/>
          <w:sz w:val="20"/>
          <w:szCs w:val="20"/>
        </w:rPr>
        <w:t xml:space="preserve">KCD will vote in favor of all proposals made by particular shareholder proponents. Such an arrangement could be subject to conditions, for example requiring that the shareholder proponent has particular expertise or an investment strategy that will further the interests of KCD's client. </w:t>
      </w:r>
    </w:p>
    <w:p>
      <w:pPr>
        <w:numPr>
          <w:ilvl w:val="0"/>
          <w:numId w:val="316"/>
        </w:numPr>
        <w:ind w:left="720" w:hanging="192"/>
        <w:jc w:val="left"/>
        <w:rPr>
          <w:rFonts w:eastAsia="Arial" w:cs="Arial"/>
          <w:sz w:val="20"/>
          <w:szCs w:val="20"/>
        </w:rPr>
      </w:pPr>
      <w:r>
        <w:rPr>
          <w:rFonts w:eastAsia="Arial" w:cs="Arial"/>
          <w:sz w:val="20"/>
          <w:szCs w:val="20"/>
        </w:rPr>
        <w:t>A client and KCD may agree that KCD will not exercise voting authority in circumstances under which voting would impose costs on the client, such as opportunity costs for the client resulting from restricting the use of securities for lending in order to preserve the right to vote;</w:t>
      </w:r>
    </w:p>
    <w:p>
      <w:pPr>
        <w:numPr>
          <w:ilvl w:val="0"/>
          <w:numId w:val="316"/>
        </w:numPr>
        <w:ind w:left="720" w:hanging="192"/>
        <w:jc w:val="left"/>
        <w:rPr>
          <w:rFonts w:eastAsia="Arial" w:cs="Arial"/>
          <w:sz w:val="20"/>
          <w:szCs w:val="20"/>
        </w:rPr>
      </w:pPr>
      <w:r>
        <w:rPr>
          <w:rFonts w:eastAsia="Arial" w:cs="Arial"/>
          <w:sz w:val="20"/>
          <w:szCs w:val="20"/>
        </w:rPr>
        <w:t xml:space="preserve">A client and KCD may agree that KCD will focus voting resources only on particular types of proposals based on the client's preferences, such as proposals relating to corporate events (mergers and acquisition transactions, dissolutions, conversions, or consolidations) or contested elections for directors; </w:t>
      </w:r>
    </w:p>
    <w:p>
      <w:pPr>
        <w:numPr>
          <w:ilvl w:val="0"/>
          <w:numId w:val="316"/>
        </w:numPr>
        <w:ind w:left="720" w:hanging="192"/>
        <w:jc w:val="left"/>
        <w:rPr>
          <w:rFonts w:eastAsia="Arial" w:cs="Arial"/>
          <w:sz w:val="20"/>
          <w:szCs w:val="20"/>
        </w:rPr>
      </w:pPr>
      <w:r>
        <w:rPr>
          <w:rFonts w:eastAsia="Arial" w:cs="Arial"/>
          <w:sz w:val="20"/>
          <w:szCs w:val="20"/>
        </w:rPr>
        <w:t xml:space="preserve">A client and KCD may agree that KCD would not exercise voting authority on certain types of matters where the cost of voting would be high, or the benefit to the client would be low. This could include, for example: </w:t>
      </w:r>
    </w:p>
    <w:p>
      <w:pPr>
        <w:numPr>
          <w:ilvl w:val="1"/>
          <w:numId w:val="316"/>
        </w:numPr>
        <w:ind w:left="1440" w:hanging="220"/>
        <w:jc w:val="left"/>
        <w:rPr>
          <w:rFonts w:eastAsia="Arial" w:cs="Arial"/>
          <w:sz w:val="20"/>
          <w:szCs w:val="20"/>
        </w:rPr>
      </w:pPr>
      <w:r>
        <w:rPr>
          <w:rFonts w:eastAsia="Arial" w:cs="Arial"/>
          <w:sz w:val="20"/>
          <w:szCs w:val="20"/>
        </w:rPr>
        <w:t xml:space="preserve">Circumstances where the cost of voting the proxy exceeds the expected benefit to the client, including, for example, casting a vote on a foreign security that could involve the additional costs of hiring a translator or traveling to a foreign country to vote the security in person; or </w:t>
      </w:r>
    </w:p>
    <w:p>
      <w:pPr>
        <w:numPr>
          <w:ilvl w:val="1"/>
          <w:numId w:val="316"/>
        </w:numPr>
        <w:spacing w:after="200"/>
        <w:ind w:left="1440" w:hanging="220"/>
        <w:jc w:val="left"/>
        <w:rPr>
          <w:rFonts w:eastAsia="Arial" w:cs="Arial"/>
          <w:sz w:val="20"/>
          <w:szCs w:val="20"/>
        </w:rPr>
      </w:pPr>
      <w:r>
        <w:rPr>
          <w:rFonts w:eastAsia="Arial" w:cs="Arial"/>
          <w:sz w:val="20"/>
          <w:szCs w:val="20"/>
        </w:rPr>
        <w:t xml:space="preserve">Circumstances under which casting a vote would not reasonably be expected to have a material effect on the value of the client's investment. </w:t>
      </w:r>
    </w:p>
    <w:p>
      <w:bookmarkEnd w:id="324"/>
      <w:bookmarkStart w:id="325" w:name="Sec_Chp_061016102250093_06101531214"/>
    </w:p>
    <w:p>
      <w:pPr>
        <w:pStyle w:val="Heading5"/>
      </w:pPr>
      <w:r>
        <w:t>5.3.11.1.5 Proxy Voting Responsibility Monitoring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shall maintain a log or otherwise create a record that lists those clients where KCD exercises proxy voting authority and those clients where KCD does not have such authority. </w:t>
      </w:r>
    </w:p>
    <w:p>
      <w:bookmarkEnd w:id="325"/>
      <w:bookmarkStart w:id="326" w:name="Sec_Chp_061016102250093_0610161053124"/>
    </w:p>
    <w:p>
      <w:pPr>
        <w:pStyle w:val="Heading4"/>
      </w:pPr>
      <w:r>
        <w:t>5.3.11.2 Third-Party Proxy Advisory Firm Advice</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An executive order has been issued that calls on the SEC, FTC, the attorney general and Department of Labor to investigate and take action to curb the influence of proxy advisory firms. The order also suggests additional scrutiny of registered investment advisers regarding their proxy voting practices. Investment advisers may use proxy advisers to inform voting, but relying solely on them (robo-voting) is increasingly being scrutinized by regulators. Advisers should use recommendations as research, not a replacement for independent judgment. Certain proxy advisers are moving to customized, rather than standardized, voting recommendations, allowing investment advisers to better ensure their votes align with specific, long-term client interests.</w:t>
            </w:r>
          </w:p>
        </w:tc>
      </w:tr>
    </w:tbl>
    <w:p>
      <w:pPr>
        <w:pStyle w:val="normal0"/>
        <w:spacing w:before="200" w:after="200"/>
        <w:rPr>
          <w:rFonts w:eastAsia="Arial" w:cs="Arial"/>
          <w:sz w:val="20"/>
          <w:szCs w:val="20"/>
        </w:rPr>
      </w:pPr>
      <w:r>
        <w:rPr>
          <w:rFonts w:eastAsia="Arial" w:cs="Arial"/>
          <w:sz w:val="20"/>
          <w:szCs w:val="20"/>
        </w:rPr>
        <w:t>When KCD retains a Third-Party Proxy Advisory Firm to assist it in voting proxies received from issuers the equity securities of which are owned by clients, it shall:</w:t>
      </w:r>
    </w:p>
    <w:p>
      <w:pPr>
        <w:numPr>
          <w:ilvl w:val="0"/>
          <w:numId w:val="317"/>
        </w:numPr>
        <w:spacing w:before="200"/>
        <w:ind w:left="720" w:hanging="192"/>
        <w:jc w:val="left"/>
        <w:rPr>
          <w:rFonts w:eastAsia="Arial" w:cs="Arial"/>
          <w:sz w:val="20"/>
          <w:szCs w:val="20"/>
        </w:rPr>
      </w:pPr>
      <w:r>
        <w:rPr>
          <w:rFonts w:eastAsia="Arial" w:cs="Arial"/>
          <w:sz w:val="20"/>
          <w:szCs w:val="20"/>
        </w:rPr>
        <w:t>recognize KCD's fiduciary duty that recommendations from the Third-Party Proxy Advisory Firm do not eliminate KCD's fiduciary duty to vote proxies in a manner that is in the best interest of its clients;</w:t>
      </w:r>
    </w:p>
    <w:p>
      <w:pPr>
        <w:numPr>
          <w:ilvl w:val="0"/>
          <w:numId w:val="317"/>
        </w:numPr>
        <w:ind w:left="720" w:hanging="192"/>
        <w:jc w:val="left"/>
        <w:rPr>
          <w:rFonts w:eastAsia="Arial" w:cs="Arial"/>
          <w:sz w:val="20"/>
          <w:szCs w:val="20"/>
        </w:rPr>
      </w:pPr>
      <w:r>
        <w:rPr>
          <w:rFonts w:eastAsia="Arial" w:cs="Arial"/>
          <w:sz w:val="20"/>
          <w:szCs w:val="20"/>
        </w:rPr>
        <w:t>inquire whether the Third-Party Advisory Firm offers customized proxy voting services that include recommendations, as a means of tailoring the Third-Party Advisory Firm's services to KCD and its clients;</w:t>
      </w:r>
    </w:p>
    <w:p>
      <w:pPr>
        <w:numPr>
          <w:ilvl w:val="0"/>
          <w:numId w:val="317"/>
        </w:numPr>
        <w:ind w:left="720" w:hanging="192"/>
        <w:jc w:val="left"/>
        <w:rPr>
          <w:rFonts w:eastAsia="Arial" w:cs="Arial"/>
          <w:sz w:val="20"/>
          <w:szCs w:val="20"/>
        </w:rPr>
      </w:pPr>
      <w:r>
        <w:rPr>
          <w:rFonts w:eastAsia="Arial" w:cs="Arial"/>
          <w:sz w:val="20"/>
          <w:szCs w:val="20"/>
        </w:rPr>
        <w:t>exercise its independent judgment when deciding how to vote a proxy, while taking into account any recommendations from the Third-Party Proxy Advisory Firm;</w:t>
      </w:r>
    </w:p>
    <w:p>
      <w:pPr>
        <w:numPr>
          <w:ilvl w:val="0"/>
          <w:numId w:val="317"/>
        </w:numPr>
        <w:ind w:left="720" w:hanging="192"/>
        <w:jc w:val="left"/>
        <w:rPr>
          <w:rFonts w:eastAsia="Arial" w:cs="Arial"/>
          <w:sz w:val="20"/>
          <w:szCs w:val="20"/>
        </w:rPr>
      </w:pPr>
      <w:r>
        <w:rPr>
          <w:rFonts w:eastAsia="Arial" w:cs="Arial"/>
          <w:sz w:val="20"/>
          <w:szCs w:val="20"/>
        </w:rPr>
        <w:t>periodically review:</w:t>
      </w:r>
    </w:p>
    <w:p>
      <w:pPr>
        <w:numPr>
          <w:ilvl w:val="1"/>
          <w:numId w:val="317"/>
        </w:numPr>
        <w:ind w:left="1440" w:hanging="220"/>
        <w:jc w:val="left"/>
        <w:rPr>
          <w:rFonts w:eastAsia="Arial" w:cs="Arial"/>
          <w:sz w:val="20"/>
          <w:szCs w:val="20"/>
        </w:rPr>
      </w:pPr>
      <w:r>
        <w:rPr>
          <w:rFonts w:eastAsia="Arial" w:cs="Arial"/>
          <w:sz w:val="20"/>
          <w:szCs w:val="20"/>
        </w:rPr>
        <w:t>the internal guidelines published by the Third-Party Proxy Advisory Firm to verify that such firm is following its guidelines, including how such Firm addresses conflicts of interest;</w:t>
      </w:r>
    </w:p>
    <w:p>
      <w:pPr>
        <w:numPr>
          <w:ilvl w:val="1"/>
          <w:numId w:val="317"/>
        </w:numPr>
        <w:ind w:left="1440" w:hanging="220"/>
        <w:jc w:val="left"/>
        <w:rPr>
          <w:rFonts w:eastAsia="Arial" w:cs="Arial"/>
          <w:sz w:val="20"/>
          <w:szCs w:val="20"/>
        </w:rPr>
      </w:pPr>
      <w:r>
        <w:rPr>
          <w:rFonts w:eastAsia="Arial" w:cs="Arial"/>
          <w:sz w:val="20"/>
          <w:szCs w:val="20"/>
        </w:rPr>
        <w:t>reports prepared by the Third-Party Proxy Advisory Firm for accuracy as well as the Third-Party Proxy Advisory Firm's process for ensuring that it has complete and accurate information about the issuer and each particular matter, and the Third-Party Proxy Advisory Firm's process, if any, for investment advisers to access the issuer's views about the Third-Party Proxy Advisory Firm's voting recommendations in a timely and efficient manner;</w:t>
      </w:r>
    </w:p>
    <w:p>
      <w:pPr>
        <w:numPr>
          <w:ilvl w:val="1"/>
          <w:numId w:val="317"/>
        </w:numPr>
        <w:ind w:left="1440" w:hanging="220"/>
        <w:jc w:val="left"/>
        <w:rPr>
          <w:rFonts w:eastAsia="Arial" w:cs="Arial"/>
          <w:sz w:val="20"/>
          <w:szCs w:val="20"/>
        </w:rPr>
      </w:pPr>
      <w:r>
        <w:rPr>
          <w:rFonts w:eastAsia="Arial" w:cs="Arial"/>
          <w:sz w:val="20"/>
          <w:szCs w:val="20"/>
        </w:rPr>
        <w:t>the Third-Party Proxy Advisory Firm's efforts to correct any identified material deficiencies in the Third-Party Proxy Advisory Firm's analysis;</w:t>
      </w:r>
    </w:p>
    <w:p>
      <w:pPr>
        <w:numPr>
          <w:ilvl w:val="0"/>
          <w:numId w:val="317"/>
        </w:numPr>
        <w:ind w:left="720" w:hanging="192"/>
        <w:jc w:val="left"/>
        <w:rPr>
          <w:rFonts w:eastAsia="Arial" w:cs="Arial"/>
          <w:sz w:val="20"/>
          <w:szCs w:val="20"/>
        </w:rPr>
      </w:pPr>
      <w:r>
        <w:rPr>
          <w:rFonts w:eastAsia="Arial" w:cs="Arial"/>
          <w:sz w:val="20"/>
          <w:szCs w:val="20"/>
        </w:rPr>
        <w:t>periodically review the Third-Party Proxy Advisory Firm's disclosure to KCD regarding the sources of information and methodologies used in formulating voting recommendations or executing voting instructions;</w:t>
      </w:r>
    </w:p>
    <w:p>
      <w:pPr>
        <w:numPr>
          <w:ilvl w:val="0"/>
          <w:numId w:val="317"/>
        </w:numPr>
        <w:ind w:left="720" w:hanging="192"/>
        <w:jc w:val="left"/>
        <w:rPr>
          <w:rFonts w:eastAsia="Arial" w:cs="Arial"/>
          <w:sz w:val="20"/>
          <w:szCs w:val="20"/>
        </w:rPr>
      </w:pPr>
      <w:r>
        <w:rPr>
          <w:rFonts w:eastAsia="Arial" w:cs="Arial"/>
          <w:sz w:val="20"/>
          <w:szCs w:val="20"/>
        </w:rPr>
        <w:t>request the Third-Party Proxy Advisory Firm to update KCD regarding business changes KCD considers relevant (</w:t>
      </w:r>
      <w:r>
        <w:rPr>
          <w:rFonts w:eastAsia="Arial" w:cs="Arial"/>
          <w:i/>
          <w:iCs/>
          <w:sz w:val="20"/>
          <w:szCs w:val="20"/>
        </w:rPr>
        <w:t>e.g.,</w:t>
      </w:r>
      <w:r>
        <w:rPr>
          <w:rFonts w:eastAsia="Arial" w:cs="Arial"/>
          <w:sz w:val="20"/>
          <w:szCs w:val="20"/>
        </w:rPr>
        <w:t xml:space="preserve"> with respect to the Third-Party Proxy Advisory Firm's capacity and competency to provide independent proxy voting advice or carry out voting instructions);</w:t>
      </w:r>
    </w:p>
    <w:p>
      <w:pPr>
        <w:numPr>
          <w:ilvl w:val="0"/>
          <w:numId w:val="317"/>
        </w:numPr>
        <w:ind w:left="720" w:hanging="192"/>
        <w:jc w:val="left"/>
        <w:rPr>
          <w:rFonts w:eastAsia="Arial" w:cs="Arial"/>
          <w:sz w:val="20"/>
          <w:szCs w:val="20"/>
        </w:rPr>
      </w:pPr>
      <w:r>
        <w:rPr>
          <w:rFonts w:eastAsia="Arial" w:cs="Arial"/>
          <w:sz w:val="20"/>
          <w:szCs w:val="20"/>
        </w:rPr>
        <w:t>inquire whether the Third-Party Proxy Advisory Firm appropriately updates its methodologies, guidelines, and voting recommendations on an ongoing basis, including in response to feedback from issuers and their shareholders; and</w:t>
      </w:r>
    </w:p>
    <w:p>
      <w:pPr>
        <w:numPr>
          <w:ilvl w:val="0"/>
          <w:numId w:val="317"/>
        </w:numPr>
        <w:spacing w:after="200"/>
        <w:ind w:left="720" w:hanging="192"/>
        <w:jc w:val="left"/>
        <w:rPr>
          <w:rFonts w:eastAsia="Arial" w:cs="Arial"/>
          <w:sz w:val="20"/>
          <w:szCs w:val="20"/>
        </w:rPr>
      </w:pPr>
      <w:r>
        <w:rPr>
          <w:rFonts w:eastAsia="Arial" w:cs="Arial"/>
          <w:sz w:val="20"/>
          <w:szCs w:val="20"/>
        </w:rPr>
        <w:t>periodically review how the Third-Party Proxy Advisory Firm has voted client proxies and compare how client proxies were voted to the recommendations of the Third-Party Proxy Advisory Firm and, if applicable, investigate high correlations between its votes and Third-Party Proxy Advisory Firm recommendations (which may suggest "rote" reliance on proxy advisory firms).</w:t>
      </w:r>
    </w:p>
    <w:p>
      <w:bookmarkEnd w:id="326"/>
      <w:bookmarkStart w:id="327" w:name="Sec_Chp_061016102250093_061016105312455"/>
    </w:p>
    <w:p>
      <w:pPr>
        <w:pStyle w:val="Heading4"/>
      </w:pPr>
      <w:r>
        <w:t>5.3.11.3 Refraining from Voting Client Proxies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and a client have agreed in advance to limit the conditions under which KCD exercises voting authority, KCD need not cast a vote on behalf of the client in situations contemplated by their agreement. </w:t>
      </w:r>
    </w:p>
    <w:p>
      <w:pPr>
        <w:pStyle w:val="normal0"/>
        <w:spacing w:before="200" w:after="200"/>
        <w:rPr>
          <w:rFonts w:eastAsia="Arial" w:cs="Arial"/>
          <w:sz w:val="20"/>
          <w:szCs w:val="20"/>
        </w:rPr>
      </w:pPr>
      <w:r>
        <w:rPr>
          <w:rFonts w:eastAsia="Arial" w:cs="Arial"/>
          <w:sz w:val="20"/>
          <w:szCs w:val="20"/>
        </w:rPr>
        <w:t>KCD may refrain from voting a proxy on behalf of a client if it has determined that refraining is in the best interest of that client including, for example, when KCD determines that the cost to the client of voting the proxy exceeds the expected benefit to the client. KCD and its client agreement that KCD may refrain from voting the client's proxies shall be documented in one or more of the following:</w:t>
      </w:r>
    </w:p>
    <w:p>
      <w:pPr>
        <w:numPr>
          <w:ilvl w:val="0"/>
          <w:numId w:val="318"/>
        </w:numPr>
        <w:spacing w:before="200"/>
        <w:ind w:left="720" w:hanging="192"/>
        <w:jc w:val="left"/>
        <w:rPr>
          <w:rFonts w:eastAsia="Arial" w:cs="Arial"/>
          <w:sz w:val="20"/>
          <w:szCs w:val="20"/>
        </w:rPr>
      </w:pPr>
      <w:r>
        <w:rPr>
          <w:rFonts w:eastAsia="Arial" w:cs="Arial"/>
          <w:sz w:val="20"/>
          <w:szCs w:val="20"/>
        </w:rPr>
        <w:t>Client's investment advisory contract;</w:t>
      </w:r>
    </w:p>
    <w:p>
      <w:pPr>
        <w:numPr>
          <w:ilvl w:val="0"/>
          <w:numId w:val="318"/>
        </w:numPr>
        <w:ind w:left="720" w:hanging="192"/>
        <w:jc w:val="left"/>
        <w:rPr>
          <w:rFonts w:eastAsia="Arial" w:cs="Arial"/>
          <w:sz w:val="20"/>
          <w:szCs w:val="20"/>
        </w:rPr>
      </w:pPr>
      <w:r>
        <w:rPr>
          <w:rFonts w:eastAsia="Arial" w:cs="Arial"/>
          <w:sz w:val="20"/>
          <w:szCs w:val="20"/>
        </w:rPr>
        <w:t>Client's Account Opening Form; or</w:t>
      </w:r>
    </w:p>
    <w:p>
      <w:pPr>
        <w:numPr>
          <w:ilvl w:val="0"/>
          <w:numId w:val="318"/>
        </w:numPr>
        <w:spacing w:after="200"/>
        <w:ind w:left="720" w:hanging="192"/>
        <w:jc w:val="left"/>
        <w:rPr>
          <w:rFonts w:eastAsia="Arial" w:cs="Arial"/>
          <w:sz w:val="20"/>
          <w:szCs w:val="20"/>
        </w:rPr>
      </w:pPr>
      <w:r>
        <w:rPr>
          <w:rFonts w:eastAsia="Arial" w:cs="Arial"/>
          <w:sz w:val="20"/>
          <w:szCs w:val="20"/>
        </w:rPr>
        <w:t>Separate agreement between client and KCD authorizing KCD to vote client's proxies.</w:t>
      </w:r>
    </w:p>
    <w:p>
      <w:bookmarkEnd w:id="327"/>
      <w:bookmarkStart w:id="328" w:name="Sec_Chp_061016102250093_061016102251203"/>
    </w:p>
    <w:p>
      <w:pPr>
        <w:pStyle w:val="Heading4"/>
      </w:pPr>
      <w:r>
        <w:t xml:space="preserve">5.3.11.4 Proxy Voting Guidelines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vote proxies related to securities held by any client in a manner solely in the best interests of the client. KCD shall consider only those factors that relate to the client's investment, including how its vote will economically impact and affect the value of the client's investment. Proxy votes will be cast in favor of proposals that maintain or strengthen the shared interests of shareholders and management, increase shareholder value, and maintain or increase the rights of shareholders. Proxy votes will be cast against proposals having the opposite effect. In voting on each and every issue, KCD shall vote in a prudent and diligent fashion and only after a careful evaluation of the issue presented on the ballot. </w:t>
      </w:r>
    </w:p>
    <w:p>
      <w:pPr>
        <w:pStyle w:val="normal0"/>
        <w:spacing w:before="200" w:after="200"/>
        <w:rPr>
          <w:rFonts w:eastAsia="Arial" w:cs="Arial"/>
          <w:sz w:val="20"/>
          <w:szCs w:val="20"/>
        </w:rPr>
      </w:pPr>
      <w:r>
        <w:rPr>
          <w:rFonts w:eastAsia="Arial" w:cs="Arial"/>
          <w:sz w:val="20"/>
          <w:szCs w:val="20"/>
        </w:rPr>
        <w:t>From time to time, KCD may have the option to elect to follow specific types of guidelines offered by a third-party proxy voting service (</w:t>
      </w:r>
      <w:r>
        <w:rPr>
          <w:rFonts w:eastAsia="Arial" w:cs="Arial"/>
          <w:i/>
          <w:iCs/>
          <w:sz w:val="20"/>
          <w:szCs w:val="20"/>
        </w:rPr>
        <w:t>e.g.,</w:t>
      </w:r>
      <w:r>
        <w:rPr>
          <w:rFonts w:eastAsia="Arial" w:cs="Arial"/>
          <w:sz w:val="20"/>
          <w:szCs w:val="20"/>
        </w:rPr>
        <w:t xml:space="preserve"> XYZ Guidelines, which follows AFL-CIO voting recommendations). While such specific guidelines may be in the best interest of a subset of clients (</w:t>
      </w:r>
      <w:r>
        <w:rPr>
          <w:rFonts w:eastAsia="Arial" w:cs="Arial"/>
          <w:i/>
          <w:iCs/>
          <w:sz w:val="20"/>
          <w:szCs w:val="20"/>
        </w:rPr>
        <w:t>e.g.,</w:t>
      </w:r>
      <w:r>
        <w:rPr>
          <w:rFonts w:eastAsia="Arial" w:cs="Arial"/>
          <w:sz w:val="20"/>
          <w:szCs w:val="20"/>
        </w:rPr>
        <w:t xml:space="preserve"> union pension plans), they may not be in the best interest of other clients. Furthermore, KCD may receive an indirect benefit by choosing one type of guideline over another (</w:t>
      </w:r>
      <w:r>
        <w:rPr>
          <w:rFonts w:eastAsia="Arial" w:cs="Arial"/>
          <w:i/>
          <w:iCs/>
          <w:sz w:val="20"/>
          <w:szCs w:val="20"/>
        </w:rPr>
        <w:t>e.g.,</w:t>
      </w:r>
      <w:r>
        <w:rPr>
          <w:rFonts w:eastAsia="Arial" w:cs="Arial"/>
          <w:sz w:val="20"/>
          <w:szCs w:val="20"/>
        </w:rPr>
        <w:t xml:space="preserve"> it may be able to attract and retain union pension plans because of its pro-union proxy voting record). This practice may not be in the best interest of certain clients and may raise conflicts of interest. See </w:t>
      </w:r>
      <w:r>
        <w:rPr>
          <w:rFonts w:eastAsia="Arial" w:cs="Arial"/>
          <w:i/>
          <w:iCs/>
          <w:sz w:val="20"/>
          <w:szCs w:val="20"/>
        </w:rPr>
        <w:t>INTECH Investment LLC,</w:t>
      </w:r>
      <w:r>
        <w:rPr>
          <w:rFonts w:eastAsia="Arial" w:cs="Arial"/>
          <w:sz w:val="20"/>
          <w:szCs w:val="20"/>
        </w:rPr>
        <w:t xml:space="preserve"> Investment Advisers Act Rel. No. 2872 (May 7, 2009).</w:t>
      </w:r>
    </w:p>
    <w:p>
      <w:pPr>
        <w:pStyle w:val="normal0"/>
        <w:spacing w:before="200" w:after="200"/>
        <w:rPr>
          <w:rFonts w:eastAsia="Arial" w:cs="Arial"/>
          <w:sz w:val="20"/>
          <w:szCs w:val="20"/>
        </w:rPr>
      </w:pPr>
      <w:r>
        <w:rPr>
          <w:rFonts w:eastAsia="Arial" w:cs="Arial"/>
          <w:sz w:val="20"/>
          <w:szCs w:val="20"/>
        </w:rPr>
        <w:t>Prior to electing to follow any specific guidelines, KCD will:</w:t>
      </w:r>
    </w:p>
    <w:p>
      <w:pPr>
        <w:numPr>
          <w:ilvl w:val="0"/>
          <w:numId w:val="319"/>
        </w:numPr>
        <w:spacing w:before="200"/>
        <w:ind w:left="720" w:hanging="192"/>
        <w:jc w:val="left"/>
        <w:rPr>
          <w:rFonts w:eastAsia="Arial" w:cs="Arial"/>
          <w:sz w:val="20"/>
          <w:szCs w:val="20"/>
        </w:rPr>
      </w:pPr>
      <w:r>
        <w:rPr>
          <w:rFonts w:eastAsia="Arial" w:cs="Arial"/>
          <w:sz w:val="20"/>
          <w:szCs w:val="20"/>
        </w:rPr>
        <w:t xml:space="preserve">Determine the impact of following such guidelines on all clients, including whether the guidelines would be more appropriate for one group of clients and not for others; </w:t>
      </w:r>
    </w:p>
    <w:p>
      <w:pPr>
        <w:numPr>
          <w:ilvl w:val="0"/>
          <w:numId w:val="319"/>
        </w:numPr>
        <w:ind w:left="720" w:hanging="192"/>
        <w:jc w:val="left"/>
        <w:rPr>
          <w:rFonts w:eastAsia="Arial" w:cs="Arial"/>
          <w:sz w:val="20"/>
          <w:szCs w:val="20"/>
        </w:rPr>
      </w:pPr>
      <w:r>
        <w:rPr>
          <w:rFonts w:eastAsia="Arial" w:cs="Arial"/>
          <w:sz w:val="20"/>
          <w:szCs w:val="20"/>
        </w:rPr>
        <w:t>Identify any direct or indirect benefits that might flow to KCD as a result of choosing one guideline over other guidelines;</w:t>
      </w:r>
    </w:p>
    <w:p>
      <w:pPr>
        <w:numPr>
          <w:ilvl w:val="0"/>
          <w:numId w:val="319"/>
        </w:numPr>
        <w:ind w:left="720" w:hanging="192"/>
        <w:jc w:val="left"/>
        <w:rPr>
          <w:rFonts w:eastAsia="Arial" w:cs="Arial"/>
          <w:sz w:val="20"/>
          <w:szCs w:val="20"/>
        </w:rPr>
      </w:pPr>
      <w:r>
        <w:rPr>
          <w:rFonts w:eastAsia="Arial" w:cs="Arial"/>
          <w:sz w:val="20"/>
          <w:szCs w:val="20"/>
        </w:rPr>
        <w:t xml:space="preserve">Address any conflicts of interest raised by the selection of such guidelines by following the Proxy Voting Conflicts of Interest section of these Procedures; and </w:t>
      </w:r>
    </w:p>
    <w:p>
      <w:pPr>
        <w:numPr>
          <w:ilvl w:val="0"/>
          <w:numId w:val="319"/>
        </w:numPr>
        <w:spacing w:after="200"/>
        <w:ind w:left="720" w:hanging="192"/>
        <w:jc w:val="left"/>
        <w:rPr>
          <w:rFonts w:eastAsia="Arial" w:cs="Arial"/>
          <w:sz w:val="20"/>
          <w:szCs w:val="20"/>
        </w:rPr>
      </w:pPr>
      <w:r>
        <w:rPr>
          <w:rFonts w:eastAsia="Arial" w:cs="Arial"/>
          <w:sz w:val="20"/>
          <w:szCs w:val="20"/>
        </w:rPr>
        <w:t>Refrain from using such guidelines if it provides an advantage to one group of clients while disadvantaging or otherwise not being in the best interest of any of the remaining clients.</w:t>
      </w:r>
    </w:p>
    <w:p>
      <w:pPr>
        <w:pStyle w:val="normal0"/>
        <w:spacing w:before="200" w:after="200"/>
        <w:rPr>
          <w:rFonts w:eastAsia="Arial" w:cs="Arial"/>
          <w:sz w:val="20"/>
          <w:szCs w:val="20"/>
        </w:rPr>
      </w:pPr>
      <w:r>
        <w:rPr>
          <w:rFonts w:eastAsia="Arial" w:cs="Arial"/>
          <w:sz w:val="20"/>
          <w:szCs w:val="20"/>
        </w:rPr>
        <w:t xml:space="preserve">KCD has adopted the following specific voting guidelines: </w:t>
      </w:r>
    </w:p>
    <w:p>
      <w:bookmarkEnd w:id="328"/>
      <w:bookmarkStart w:id="329" w:name="Sec_Chp_061016102250093_061016102251218"/>
    </w:p>
    <w:p>
      <w:pPr>
        <w:pStyle w:val="Heading5"/>
      </w:pPr>
      <w:r>
        <w:t xml:space="preserve">5.3.11.4.1 Corporate Governance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Unless exceptional circumstances exist, KCD will vote against proposals that make it more difficult to replace Board members, including proposals to: </w:t>
      </w:r>
    </w:p>
    <w:p>
      <w:pPr>
        <w:numPr>
          <w:ilvl w:val="0"/>
          <w:numId w:val="320"/>
        </w:numPr>
        <w:spacing w:before="200" w:after="200"/>
        <w:ind w:left="720" w:hanging="192"/>
        <w:jc w:val="left"/>
        <w:rPr>
          <w:rFonts w:eastAsia="Arial" w:cs="Arial"/>
          <w:sz w:val="20"/>
          <w:szCs w:val="20"/>
        </w:rPr>
      </w:pPr>
      <w:r>
        <w:rPr>
          <w:rFonts w:eastAsia="Arial" w:cs="Arial"/>
          <w:sz w:val="20"/>
          <w:szCs w:val="20"/>
        </w:rPr>
        <w:t>Do not vote proxies</w:t>
      </w:r>
    </w:p>
    <w:p>
      <w:bookmarkEnd w:id="329"/>
      <w:bookmarkStart w:id="330" w:name="Sec_Chp_061016102250093_061016102251343"/>
    </w:p>
    <w:p>
      <w:pPr>
        <w:pStyle w:val="Heading4"/>
      </w:pPr>
      <w:r>
        <w:t>5.3.11.5 Proxy Voting Conflicts of Interest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recognizes that conflicts between itself and clients may arise in voting the proxies of issuers of equity securities and that these conflicts must be addressed. The Chief Compliance Officer is responsible for identifying potential conflicts of interest in regard to the proxy voting process. </w:t>
      </w:r>
    </w:p>
    <w:p>
      <w:pPr>
        <w:pStyle w:val="normal0"/>
        <w:spacing w:before="200" w:after="200"/>
        <w:rPr>
          <w:rFonts w:eastAsia="Arial" w:cs="Arial"/>
          <w:sz w:val="20"/>
          <w:szCs w:val="20"/>
        </w:rPr>
      </w:pPr>
      <w:r>
        <w:rPr>
          <w:rFonts w:eastAsia="Arial" w:cs="Arial"/>
          <w:sz w:val="20"/>
          <w:szCs w:val="20"/>
          <w:u w:val="single"/>
        </w:rPr>
        <w:t>Firm</w:t>
      </w:r>
    </w:p>
    <w:p>
      <w:pPr>
        <w:pStyle w:val="normal0"/>
        <w:spacing w:before="200" w:after="200"/>
        <w:rPr>
          <w:rFonts w:eastAsia="Arial" w:cs="Arial"/>
          <w:sz w:val="20"/>
          <w:szCs w:val="20"/>
        </w:rPr>
      </w:pPr>
      <w:r>
        <w:rPr>
          <w:rFonts w:eastAsia="Arial" w:cs="Arial"/>
          <w:sz w:val="20"/>
          <w:szCs w:val="20"/>
        </w:rPr>
        <w:t xml:space="preserve">Where appropriate, KCD will use one of the following methods to resolve such conflicts, provided such method results in a decision to vote the proxies that is based on the clients' best interest and is not the product of the conflict: </w:t>
      </w:r>
    </w:p>
    <w:p>
      <w:pPr>
        <w:numPr>
          <w:ilvl w:val="0"/>
          <w:numId w:val="321"/>
        </w:numPr>
        <w:spacing w:before="200"/>
        <w:ind w:left="720" w:hanging="267"/>
        <w:jc w:val="left"/>
        <w:rPr>
          <w:rFonts w:eastAsia="Arial" w:cs="Arial"/>
          <w:sz w:val="20"/>
          <w:szCs w:val="20"/>
        </w:rPr>
      </w:pPr>
      <w:r>
        <w:rPr>
          <w:rFonts w:eastAsia="Arial" w:cs="Arial"/>
          <w:sz w:val="20"/>
          <w:szCs w:val="20"/>
        </w:rPr>
        <w:t xml:space="preserve">provide the client with sufficient information regarding the shareholder vote and KCD's potential conflict to the client and obtain the client's consent before voting; </w:t>
      </w:r>
    </w:p>
    <w:p>
      <w:pPr>
        <w:numPr>
          <w:ilvl w:val="0"/>
          <w:numId w:val="321"/>
        </w:numPr>
        <w:ind w:left="720" w:hanging="267"/>
        <w:jc w:val="left"/>
        <w:rPr>
          <w:rFonts w:eastAsia="Arial" w:cs="Arial"/>
          <w:sz w:val="20"/>
          <w:szCs w:val="20"/>
        </w:rPr>
      </w:pPr>
      <w:r>
        <w:rPr>
          <w:rFonts w:eastAsia="Arial" w:cs="Arial"/>
          <w:sz w:val="20"/>
          <w:szCs w:val="20"/>
        </w:rPr>
        <w:t xml:space="preserve">vote securities based on a pre-determined voting policy; </w:t>
      </w:r>
    </w:p>
    <w:p>
      <w:pPr>
        <w:numPr>
          <w:ilvl w:val="0"/>
          <w:numId w:val="321"/>
        </w:numPr>
        <w:ind w:left="720" w:hanging="267"/>
        <w:jc w:val="left"/>
        <w:rPr>
          <w:rFonts w:eastAsia="Arial" w:cs="Arial"/>
          <w:sz w:val="20"/>
          <w:szCs w:val="20"/>
        </w:rPr>
      </w:pPr>
      <w:r>
        <w:rPr>
          <w:rFonts w:eastAsia="Arial" w:cs="Arial"/>
          <w:sz w:val="20"/>
          <w:szCs w:val="20"/>
        </w:rPr>
        <w:t xml:space="preserve">vote client securities based upon the recommendations of a Third-Party Proxy Advisory Firm that itself does not have a conflict of interest; or </w:t>
      </w:r>
    </w:p>
    <w:p>
      <w:pPr>
        <w:numPr>
          <w:ilvl w:val="0"/>
          <w:numId w:val="321"/>
        </w:numPr>
        <w:spacing w:after="200"/>
        <w:ind w:left="720" w:hanging="267"/>
        <w:jc w:val="left"/>
        <w:rPr>
          <w:rFonts w:eastAsia="Arial" w:cs="Arial"/>
          <w:sz w:val="20"/>
          <w:szCs w:val="20"/>
        </w:rPr>
      </w:pPr>
      <w:r>
        <w:rPr>
          <w:rFonts w:eastAsia="Arial" w:cs="Arial"/>
          <w:sz w:val="20"/>
          <w:szCs w:val="20"/>
        </w:rPr>
        <w:t xml:space="preserve">request the client to engage another party to determine how the proxies should be voted. </w:t>
      </w:r>
    </w:p>
    <w:p>
      <w:pPr>
        <w:pStyle w:val="normal0"/>
        <w:spacing w:before="200" w:after="200"/>
        <w:rPr>
          <w:rFonts w:eastAsia="Arial" w:cs="Arial"/>
          <w:sz w:val="20"/>
          <w:szCs w:val="20"/>
        </w:rPr>
      </w:pPr>
      <w:r>
        <w:rPr>
          <w:rFonts w:eastAsia="Arial" w:cs="Arial"/>
          <w:sz w:val="20"/>
          <w:szCs w:val="20"/>
          <w:u w:val="single"/>
        </w:rPr>
        <w:t>Third Party Proxy Advisory Firm</w:t>
      </w:r>
    </w:p>
    <w:p>
      <w:pPr>
        <w:pStyle w:val="normal0"/>
        <w:spacing w:before="200" w:after="200"/>
        <w:rPr>
          <w:rFonts w:eastAsia="Arial" w:cs="Arial"/>
          <w:sz w:val="20"/>
          <w:szCs w:val="20"/>
        </w:rPr>
      </w:pPr>
      <w:r>
        <w:rPr>
          <w:rFonts w:eastAsia="Arial" w:cs="Arial"/>
          <w:sz w:val="20"/>
          <w:szCs w:val="20"/>
        </w:rPr>
        <w:t>If KCD utilizes a Third Party Proxy Advisory Firm, it will review such firm's policies and procedures regarding how it identifies and addresses conflicts of interest. KCD will assess:</w:t>
      </w:r>
    </w:p>
    <w:p>
      <w:pPr>
        <w:numPr>
          <w:ilvl w:val="0"/>
          <w:numId w:val="322"/>
        </w:numPr>
        <w:spacing w:before="200"/>
        <w:ind w:left="720" w:hanging="192"/>
        <w:jc w:val="left"/>
        <w:rPr>
          <w:rFonts w:eastAsia="Arial" w:cs="Arial"/>
          <w:sz w:val="20"/>
          <w:szCs w:val="20"/>
        </w:rPr>
      </w:pPr>
      <w:r>
        <w:rPr>
          <w:rFonts w:eastAsia="Arial" w:cs="Arial"/>
          <w:sz w:val="20"/>
          <w:szCs w:val="20"/>
        </w:rPr>
        <w:t xml:space="preserve">Whether the Third Party Proxy Advisory Firm has adequate policies and procedures to identify, disclose, and address actual and potential conflicts of interest, including: </w:t>
      </w:r>
    </w:p>
    <w:p>
      <w:pPr>
        <w:numPr>
          <w:ilvl w:val="1"/>
          <w:numId w:val="322"/>
        </w:numPr>
        <w:ind w:left="1440" w:hanging="267"/>
        <w:jc w:val="left"/>
        <w:rPr>
          <w:rFonts w:eastAsia="Arial" w:cs="Arial"/>
          <w:sz w:val="20"/>
          <w:szCs w:val="20"/>
        </w:rPr>
      </w:pPr>
      <w:r>
        <w:rPr>
          <w:rFonts w:eastAsia="Arial" w:cs="Arial"/>
          <w:sz w:val="20"/>
          <w:szCs w:val="20"/>
        </w:rPr>
        <w:t>conflicts relating to the provision of proxy voting recommendations and proxy voting services generally, which may include actual or potential conflicts, may include conflicts arising from the provision of recommendations and services to issuers as well as proponents of shareholder proposals regarding matters that may be the subject of a vote;</w:t>
      </w:r>
    </w:p>
    <w:p>
      <w:pPr>
        <w:numPr>
          <w:ilvl w:val="1"/>
          <w:numId w:val="322"/>
        </w:numPr>
        <w:ind w:left="1440" w:hanging="267"/>
        <w:jc w:val="left"/>
        <w:rPr>
          <w:rFonts w:eastAsia="Arial" w:cs="Arial"/>
          <w:sz w:val="20"/>
          <w:szCs w:val="20"/>
        </w:rPr>
      </w:pPr>
      <w:r>
        <w:rPr>
          <w:rFonts w:eastAsia="Arial" w:cs="Arial"/>
          <w:sz w:val="20"/>
          <w:szCs w:val="20"/>
        </w:rPr>
        <w:t>conflicts relating to activities other than providing proxy voting recommendations and proxy voting services; and</w:t>
      </w:r>
    </w:p>
    <w:p>
      <w:pPr>
        <w:numPr>
          <w:ilvl w:val="1"/>
          <w:numId w:val="322"/>
        </w:numPr>
        <w:ind w:left="1440" w:hanging="267"/>
        <w:jc w:val="left"/>
        <w:rPr>
          <w:rFonts w:eastAsia="Arial" w:cs="Arial"/>
          <w:sz w:val="20"/>
          <w:szCs w:val="20"/>
        </w:rPr>
      </w:pPr>
      <w:r>
        <w:rPr>
          <w:rFonts w:eastAsia="Arial" w:cs="Arial"/>
          <w:sz w:val="20"/>
          <w:szCs w:val="20"/>
        </w:rPr>
        <w:t>conflicts presented by certain affiliations, which may include actual or potential conflicts presented by certain affiliations, may include whether a third party with significant influence over the Third Party Proxy Advisory Firm (</w:t>
      </w:r>
      <w:r>
        <w:rPr>
          <w:rFonts w:eastAsia="Arial" w:cs="Arial"/>
          <w:i/>
          <w:iCs/>
          <w:sz w:val="20"/>
          <w:szCs w:val="20"/>
        </w:rPr>
        <w:t>e.g.,</w:t>
      </w:r>
      <w:r>
        <w:rPr>
          <w:rFonts w:eastAsia="Arial" w:cs="Arial"/>
          <w:sz w:val="20"/>
          <w:szCs w:val="20"/>
        </w:rPr>
        <w:t xml:space="preserve"> as a shareholder, lender, or significant source of business) has taken a position on a particular voting issue or voting issues more generally.</w:t>
      </w:r>
    </w:p>
    <w:p>
      <w:pPr>
        <w:numPr>
          <w:ilvl w:val="0"/>
          <w:numId w:val="322"/>
        </w:numPr>
        <w:ind w:left="720" w:hanging="192"/>
        <w:jc w:val="left"/>
        <w:rPr>
          <w:rFonts w:eastAsia="Arial" w:cs="Arial"/>
          <w:sz w:val="20"/>
          <w:szCs w:val="20"/>
        </w:rPr>
      </w:pPr>
      <w:r>
        <w:rPr>
          <w:rFonts w:eastAsia="Arial" w:cs="Arial"/>
          <w:sz w:val="20"/>
          <w:szCs w:val="20"/>
        </w:rPr>
        <w:t>Whether the Third Party Proxy Advisory Firm's policies and procedures provide for adequate disclosure (</w:t>
      </w:r>
      <w:r>
        <w:rPr>
          <w:rFonts w:eastAsia="Arial" w:cs="Arial"/>
          <w:i/>
          <w:iCs/>
          <w:sz w:val="20"/>
          <w:szCs w:val="20"/>
        </w:rPr>
        <w:t>i.e.,</w:t>
      </w:r>
      <w:r>
        <w:rPr>
          <w:rFonts w:eastAsia="Arial" w:cs="Arial"/>
          <w:sz w:val="20"/>
          <w:szCs w:val="20"/>
        </w:rPr>
        <w:t xml:space="preserve"> context-specific, non-boilerplate disclosure) of the Third Party Advisory Firm's actual and potential conflicts with respect to the services the Third Party Advisory Firm provides to KCD This disclosure could include details on, for example, whether the issuer of the equity securities has received consulting services from the Third Party Advisory Firm, and if so, the amount of compensation paid to the Third-Party Proxy Advisory Firm, if any;</w:t>
      </w:r>
    </w:p>
    <w:p>
      <w:pPr>
        <w:numPr>
          <w:ilvl w:val="0"/>
          <w:numId w:val="322"/>
        </w:numPr>
        <w:ind w:left="720" w:hanging="192"/>
        <w:jc w:val="left"/>
        <w:rPr>
          <w:rFonts w:eastAsia="Arial" w:cs="Arial"/>
          <w:sz w:val="20"/>
          <w:szCs w:val="20"/>
        </w:rPr>
      </w:pPr>
      <w:r>
        <w:rPr>
          <w:rFonts w:eastAsia="Arial" w:cs="Arial"/>
          <w:sz w:val="20"/>
          <w:szCs w:val="20"/>
        </w:rPr>
        <w:t xml:space="preserve">Whether a proponent of a shareholder proposal or an affiliate of the proponent is or has been a client of the Third-Party Proxy Advisory Firm; and </w:t>
      </w:r>
    </w:p>
    <w:p>
      <w:pPr>
        <w:numPr>
          <w:ilvl w:val="0"/>
          <w:numId w:val="322"/>
        </w:numPr>
        <w:spacing w:after="200"/>
        <w:ind w:left="720" w:hanging="192"/>
        <w:jc w:val="left"/>
        <w:rPr>
          <w:rFonts w:eastAsia="Arial" w:cs="Arial"/>
          <w:sz w:val="20"/>
          <w:szCs w:val="20"/>
        </w:rPr>
      </w:pPr>
      <w:r>
        <w:rPr>
          <w:rFonts w:eastAsia="Arial" w:cs="Arial"/>
          <w:sz w:val="20"/>
          <w:szCs w:val="20"/>
        </w:rPr>
        <w:t>Whether the Third Party Proxy Advisory Firm's policies and procedures utilize technology in delivering conflicts disclosures that are readily accessible (for example, usage of online portals or other tools to make conflicts disclosure transparent and accessible).</w:t>
      </w:r>
    </w:p>
    <w:p>
      <w:bookmarkEnd w:id="330"/>
      <w:bookmarkStart w:id="331" w:name="Sec_Chp_061016102250093_0610161022513431"/>
    </w:p>
    <w:p>
      <w:pPr>
        <w:pStyle w:val="Heading4"/>
      </w:pPr>
      <w:r>
        <w:t>5.3.11.6 Proxy Voting Review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will review the votes cast for clients.</w:t>
      </w:r>
    </w:p>
    <w:p>
      <w:pPr>
        <w:pStyle w:val="normal0"/>
        <w:spacing w:before="200" w:after="200"/>
        <w:rPr>
          <w:rFonts w:eastAsia="Arial" w:cs="Arial"/>
          <w:sz w:val="20"/>
          <w:szCs w:val="20"/>
        </w:rPr>
      </w:pPr>
      <w:r>
        <w:rPr>
          <w:rFonts w:eastAsia="Arial" w:cs="Arial"/>
          <w:sz w:val="20"/>
          <w:szCs w:val="20"/>
          <w:u w:val="single"/>
        </w:rPr>
        <w:t>Firm and Third-Party Proxy Advisory Firm Voting</w:t>
      </w:r>
    </w:p>
    <w:p>
      <w:pPr>
        <w:pStyle w:val="normal0"/>
        <w:spacing w:before="200" w:after="200"/>
        <w:rPr>
          <w:rFonts w:eastAsia="Arial" w:cs="Arial"/>
          <w:sz w:val="20"/>
          <w:szCs w:val="20"/>
        </w:rPr>
      </w:pPr>
      <w:r>
        <w:rPr>
          <w:rFonts w:eastAsia="Arial" w:cs="Arial"/>
          <w:sz w:val="20"/>
          <w:szCs w:val="20"/>
        </w:rPr>
        <w:t>KCD will test whether its or the Third-Party Proxy Advisory Firm's casting of votes on behalf of clients is consistently following KCD's voting policies and procedures including:</w:t>
      </w:r>
    </w:p>
    <w:p>
      <w:pPr>
        <w:numPr>
          <w:ilvl w:val="0"/>
          <w:numId w:val="323"/>
        </w:numPr>
        <w:spacing w:before="200"/>
        <w:ind w:left="720" w:hanging="192"/>
        <w:jc w:val="left"/>
        <w:rPr>
          <w:rFonts w:eastAsia="Arial" w:cs="Arial"/>
          <w:sz w:val="20"/>
          <w:szCs w:val="20"/>
        </w:rPr>
      </w:pPr>
      <w:r>
        <w:rPr>
          <w:rFonts w:eastAsia="Arial" w:cs="Arial"/>
          <w:sz w:val="20"/>
          <w:szCs w:val="20"/>
        </w:rPr>
        <w:t>sampling proxy votes that relate to proposals that may require more issuer-specific analysis (</w:t>
      </w:r>
      <w:r>
        <w:rPr>
          <w:rFonts w:eastAsia="Arial" w:cs="Arial"/>
          <w:i/>
          <w:iCs/>
          <w:sz w:val="20"/>
          <w:szCs w:val="20"/>
        </w:rPr>
        <w:t>e.g.,</w:t>
      </w:r>
      <w:r>
        <w:rPr>
          <w:rFonts w:eastAsia="Arial" w:cs="Arial"/>
          <w:sz w:val="20"/>
          <w:szCs w:val="20"/>
        </w:rPr>
        <w:t xml:space="preserve"> mergers and acquisition transactions, dissolutions, conversions, or consolidations); and</w:t>
      </w:r>
    </w:p>
    <w:p>
      <w:pPr>
        <w:numPr>
          <w:ilvl w:val="0"/>
          <w:numId w:val="323"/>
        </w:numPr>
        <w:spacing w:after="200"/>
        <w:ind w:left="720" w:hanging="192"/>
        <w:jc w:val="left"/>
        <w:rPr>
          <w:rFonts w:eastAsia="Arial" w:cs="Arial"/>
          <w:sz w:val="20"/>
          <w:szCs w:val="20"/>
        </w:rPr>
      </w:pPr>
      <w:r>
        <w:rPr>
          <w:rFonts w:eastAsia="Arial" w:cs="Arial"/>
          <w:sz w:val="20"/>
          <w:szCs w:val="20"/>
        </w:rPr>
        <w:t>sampling proxy votes to determine whether they were consistent with its voting policies and procedures and in its client's best interest.</w:t>
      </w:r>
    </w:p>
    <w:p>
      <w:pPr>
        <w:pStyle w:val="normal0"/>
        <w:spacing w:before="200" w:after="200"/>
        <w:rPr>
          <w:rFonts w:eastAsia="Arial" w:cs="Arial"/>
          <w:sz w:val="20"/>
          <w:szCs w:val="20"/>
        </w:rPr>
      </w:pPr>
      <w:r>
        <w:rPr>
          <w:rFonts w:eastAsia="Arial" w:cs="Arial"/>
          <w:sz w:val="20"/>
          <w:szCs w:val="20"/>
          <w:u w:val="single"/>
        </w:rPr>
        <w:t>Third-Party Proxy Advisory Firm Voting</w:t>
      </w:r>
    </w:p>
    <w:p>
      <w:pPr>
        <w:pStyle w:val="normal0"/>
        <w:spacing w:before="200" w:after="200"/>
        <w:rPr>
          <w:rFonts w:eastAsia="Arial" w:cs="Arial"/>
          <w:sz w:val="20"/>
          <w:szCs w:val="20"/>
        </w:rPr>
      </w:pPr>
      <w:r>
        <w:rPr>
          <w:rFonts w:eastAsia="Arial" w:cs="Arial"/>
          <w:sz w:val="20"/>
          <w:szCs w:val="20"/>
        </w:rPr>
        <w:t>If KCD retains a Third-Party Proxy Advisory Firm to provide voting recommendations or voting execution services, it periodically will evaluate whether the Third-Party Proxy Advisory Firm's voting determinations are consistent with its voting policies and procedures and in the client's best interest by:</w:t>
      </w:r>
    </w:p>
    <w:p>
      <w:pPr>
        <w:numPr>
          <w:ilvl w:val="0"/>
          <w:numId w:val="324"/>
        </w:numPr>
        <w:spacing w:before="200"/>
        <w:ind w:left="720" w:hanging="192"/>
        <w:jc w:val="left"/>
        <w:rPr>
          <w:rFonts w:eastAsia="Arial" w:cs="Arial"/>
          <w:sz w:val="20"/>
          <w:szCs w:val="20"/>
        </w:rPr>
      </w:pPr>
      <w:r>
        <w:rPr>
          <w:rFonts w:eastAsia="Arial" w:cs="Arial"/>
          <w:sz w:val="20"/>
          <w:szCs w:val="20"/>
          <w:u w:val="single"/>
        </w:rPr>
        <w:t>Reconciliation:</w:t>
      </w:r>
      <w:r>
        <w:rPr>
          <w:rFonts w:eastAsia="Arial" w:cs="Arial"/>
          <w:sz w:val="20"/>
          <w:szCs w:val="20"/>
        </w:rPr>
        <w:t xml:space="preserve"> where KCD periodically will verify that the Third-Party Proxy Advisory Firm actually receives proxies from issuers of securities owned by KCD's clients in time for those proxies to be voted and that KCD and the Third-Party Proxy Advisory Firm have procedures in place to resolve situations where expected proxies have not been received;</w:t>
      </w:r>
    </w:p>
    <w:p>
      <w:pPr>
        <w:numPr>
          <w:ilvl w:val="0"/>
          <w:numId w:val="324"/>
        </w:numPr>
        <w:ind w:left="720" w:hanging="192"/>
        <w:jc w:val="left"/>
        <w:rPr>
          <w:rFonts w:eastAsia="Arial" w:cs="Arial"/>
          <w:sz w:val="20"/>
          <w:szCs w:val="20"/>
        </w:rPr>
      </w:pPr>
      <w:r>
        <w:rPr>
          <w:rFonts w:eastAsia="Arial" w:cs="Arial"/>
          <w:sz w:val="20"/>
          <w:szCs w:val="20"/>
          <w:u w:val="single"/>
        </w:rPr>
        <w:t>Sampling Pre-Populated Votes:</w:t>
      </w:r>
      <w:r>
        <w:rPr>
          <w:rFonts w:eastAsia="Arial" w:cs="Arial"/>
          <w:sz w:val="20"/>
          <w:szCs w:val="20"/>
        </w:rPr>
        <w:t xml:space="preserve"> where KCD utilizes the Third-Party Proxy Advisory Firm for either voting recommendations or voting execution (or both), KCD will assess "pre-populated" votes shown on the Third-Party Proxy Advisory Firm's electronic voting platform before such votes are cast, such as through periodic sampling of the Third-Party Proxy Advisory Firm's pre-populated votes;</w:t>
      </w:r>
    </w:p>
    <w:p>
      <w:pPr>
        <w:numPr>
          <w:ilvl w:val="0"/>
          <w:numId w:val="324"/>
        </w:numPr>
        <w:ind w:left="720" w:hanging="192"/>
        <w:jc w:val="left"/>
        <w:rPr>
          <w:rFonts w:eastAsia="Arial" w:cs="Arial"/>
          <w:sz w:val="20"/>
          <w:szCs w:val="20"/>
        </w:rPr>
      </w:pPr>
      <w:r>
        <w:rPr>
          <w:rFonts w:eastAsia="Arial" w:cs="Arial"/>
          <w:sz w:val="20"/>
          <w:szCs w:val="20"/>
          <w:u w:val="single"/>
        </w:rPr>
        <w:t>Considering Additional Information:</w:t>
      </w:r>
      <w:r>
        <w:rPr>
          <w:rFonts w:eastAsia="Arial" w:cs="Arial"/>
          <w:sz w:val="20"/>
          <w:szCs w:val="20"/>
        </w:rPr>
        <w:t xml:space="preserve"> where KCD utilizes a Third-Party Proxy Advisory Firm for voting recommendations, KCD shall consider policies and procedures that provide for consideration of additional information that may become available regarding a particular proposal. This additional information may include an issuer's or a shareholder proponent's subsequently filed additional definitive proxy materials or other information conveyed by an issuer or shareholder proponent to KCD that would reasonably be expected to affect KCD's voting determination; and</w:t>
      </w:r>
    </w:p>
    <w:p>
      <w:pPr>
        <w:numPr>
          <w:ilvl w:val="0"/>
          <w:numId w:val="324"/>
        </w:numPr>
        <w:spacing w:after="200"/>
        <w:ind w:left="720" w:hanging="192"/>
        <w:jc w:val="left"/>
        <w:rPr>
          <w:rFonts w:eastAsia="Arial" w:cs="Arial"/>
          <w:sz w:val="20"/>
          <w:szCs w:val="20"/>
        </w:rPr>
      </w:pPr>
      <w:r>
        <w:rPr>
          <w:rFonts w:eastAsia="Arial" w:cs="Arial"/>
          <w:sz w:val="20"/>
          <w:szCs w:val="20"/>
          <w:u w:val="single"/>
        </w:rPr>
        <w:t>Conducting a Higher Degree of Analysis:</w:t>
      </w:r>
      <w:r>
        <w:rPr>
          <w:rFonts w:eastAsia="Arial" w:cs="Arial"/>
          <w:sz w:val="20"/>
          <w:szCs w:val="20"/>
        </w:rPr>
        <w:t xml:space="preserve"> where KCD utilizes a Third-Party Proxy Advisory Firm for either voting recommendations or voting execution (or both), with respect to matters where KCD's voting policies and procedures do not address how it should vote on a particular matter, or where the matter is highly contested or controversial, KCD may consider whether a higher degree of analysis may be necessary or appropriate to assess whether any votes it casts on behalf of its client are cast in the client's best interest.</w:t>
      </w:r>
    </w:p>
    <w:p>
      <w:bookmarkEnd w:id="331"/>
      <w:bookmarkStart w:id="332" w:name="Sec_Chp_061016102250093_531310"/>
    </w:p>
    <w:p>
      <w:pPr>
        <w:pStyle w:val="Heading4"/>
      </w:pPr>
      <w:r>
        <w:t>5.3.11.7 Universal Proxy Card</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universal proxy rule requires the use of universal proxy cards by management and shareholders soliciting proxy votes for their candidates in contested election contests involving directors. The term "contested election" refers to an election of directors where a corporate issuer is soliciting proxies in support of nominees and a person or group of persons is soliciting proxies in support of director nominees other than the corporate issuer's nominees. Under new Rule 14a-19 of the Securities Exchange Act of 1934, the universal proxy card must include all director nominees presented by management and shareholders for election at the upcoming shareholder meeting. To facilitate the use of universal proxy cards, the SEC amended the current proxy rules so each side can list the other side's director candidates on its universal proxy card. The new rules also establish new notice and filing requirements for all soliciting parties, as well as formatting and presentation requirements for universal proxy cards. In addition, the universal proxy rules require shareholders presenting their own director candidates in the contest to solicit holders of a minimum of 67% of the voting power of shares entitled to vote in the election. Registered investment companies and business development companies are not subject to the universal proxy rules. </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KCD recognizes that the primary means for its clients to become informed about matters to be decided on at a meeting and to vote on the election of directors and other matters is through the proxy process. When presented with a universal proxy card, KCD will consider all nominees on the card equally including those nominees presented by management of the corporate issuer and those nominees presented by dissidents.</w:t>
      </w:r>
    </w:p>
    <w:p>
      <w:bookmarkEnd w:id="332"/>
      <w:bookmarkStart w:id="333" w:name="Sec_Chp_061016102250093_531311"/>
    </w:p>
    <w:p>
      <w:pPr>
        <w:pStyle w:val="Heading4"/>
      </w:pPr>
      <w:r>
        <w:t>5.3.11.8 DVP-RVP Accounts</w:t>
      </w:r>
    </w:p>
    <w:p/>
    <w:p>
      <w:pPr>
        <w:rPr>
          <w:rFonts w:eastAsia="Arial" w:cs="Arial"/>
          <w:sz w:val="16"/>
          <w:szCs w:val="16"/>
        </w:rPr>
      </w:pPr>
    </w:p>
    <w:p>
      <w:pPr>
        <w:spacing w:after="200"/>
        <w:rPr>
          <w:rFonts w:eastAsia="Arial" w:cs="Arial"/>
          <w:sz w:val="20"/>
          <w:szCs w:val="20"/>
        </w:rPr>
      </w:pPr>
      <w:r>
        <w:rPr>
          <w:rFonts w:eastAsia="Arial" w:cs="Arial"/>
          <w:sz w:val="20"/>
          <w:szCs w:val="20"/>
        </w:rPr>
        <w:t>For DVP-RVP Accounts where the portfolio securities are maintained at a third party custodian and KCD has the authority to vote such securities, Broadridge will seek to obtain proxy information from KCD concerning securities held in accounts of Firm clients directly from third party custodians. KCD will use reasonable efforts to vote such securities.</w:t>
      </w:r>
    </w:p>
    <w:p>
      <w:pPr>
        <w:spacing w:before="200" w:after="200"/>
        <w:rPr>
          <w:rFonts w:eastAsia="Arial" w:cs="Arial"/>
          <w:sz w:val="20"/>
          <w:szCs w:val="20"/>
        </w:rPr>
      </w:pPr>
      <w:r>
        <w:rPr>
          <w:rFonts w:eastAsia="Arial" w:cs="Arial"/>
          <w:sz w:val="20"/>
          <w:szCs w:val="20"/>
        </w:rPr>
        <w:t>For DVP-RVP Accounts where the portfolio securities are maintained at a third party custodian and the client and not KCD has authority to vote such securities, Broadridge will forward the proxy and related materials directly to the Firm client.</w:t>
      </w:r>
    </w:p>
    <w:p>
      <w:bookmarkEnd w:id="333"/>
      <w:bookmarkStart w:id="334" w:name="Sec_Chp_061016102250093_531312"/>
    </w:p>
    <w:p>
      <w:pPr>
        <w:pStyle w:val="Heading4"/>
      </w:pPr>
      <w:r>
        <w:t>5.3.11.9 ESG Proxy Voting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KCD's proxy voting policies include consideration of ESG issues, KCD shall vote client securities in accordance with those policies and procedures. The Chief Compliance Officer periodically shall verify that the votes cast for its clients align with KCD's ESG-related disclosures and any mandates.</w:t>
      </w:r>
    </w:p>
    <w:p>
      <w:pPr>
        <w:pStyle w:val="normal0"/>
        <w:spacing w:before="200" w:after="200"/>
        <w:rPr>
          <w:rFonts w:eastAsia="Arial" w:cs="Arial"/>
          <w:sz w:val="20"/>
          <w:szCs w:val="20"/>
        </w:rPr>
      </w:pPr>
      <w:r>
        <w:rPr>
          <w:rFonts w:eastAsia="Arial" w:cs="Arial"/>
          <w:sz w:val="20"/>
          <w:szCs w:val="20"/>
        </w:rPr>
        <w:t>For example, such ESG-Focused strategies might exclude or include certain investments based on particular ESG criteria. These factors could include, for example, screens for carbon emissions, board or workforce diversity and inclusion, or industry-specific issues.</w:t>
      </w:r>
    </w:p>
    <w:p>
      <w:pPr>
        <w:pStyle w:val="normal0"/>
        <w:spacing w:before="200" w:after="200"/>
        <w:rPr>
          <w:rFonts w:eastAsia="Arial" w:cs="Arial"/>
          <w:sz w:val="20"/>
          <w:szCs w:val="20"/>
        </w:rPr>
      </w:pPr>
      <w:r>
        <w:rPr>
          <w:rFonts w:eastAsia="Arial" w:cs="Arial"/>
          <w:sz w:val="20"/>
          <w:szCs w:val="20"/>
        </w:rPr>
        <w:t>If KCD's investment strategy includes engagement with management of the issuers in which KCD invests, the Chief Compliance Officer shall verify that direct engagement has taken place. Portfolio managers and others assisting with the management of client accounts shall maintain written logs. Such logs or other records shall set forth the stated goal that KCD seeks to achieve through its ESG impact or impacts that generate specific ESG-related benefits. Impact strategies generally seek to target portfolio investments that drive specific and measurable environmental, social, or governance outcomes.</w:t>
      </w:r>
    </w:p>
    <w:p>
      <w:bookmarkEnd w:id="334"/>
      <w:bookmarkStart w:id="335" w:name="Sec_Chp_061016102250093_162647"/>
    </w:p>
    <w:p>
      <w:pPr>
        <w:pStyle w:val="Heading4"/>
      </w:pPr>
      <w:r>
        <w:t>5.3.11.10 Proxy Voting Record Disclosure and Proxy Voting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disclose to its clients how clients may obtain information from the Firm about how KCD voted proxies with respect to their securities.</w:t>
      </w:r>
    </w:p>
    <w:p>
      <w:bookmarkEnd w:id="335"/>
      <w:bookmarkStart w:id="336" w:name="Sec_Chp_061016102250093_268583"/>
    </w:p>
    <w:p>
      <w:pPr>
        <w:pStyle w:val="Heading4"/>
      </w:pPr>
      <w:r>
        <w:t>5.3.11.11 N-PX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1. KCD shall monitor whether it is a 13F Filer.</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iCs/>
                <w:smallCaps w:val="0"/>
                <w:color w:val="000000"/>
                <w:sz w:val="20"/>
              </w:rPr>
              <w:t>13F Filer:</w:t>
            </w:r>
            <w:r>
              <w:rPr>
                <w:rFonts w:eastAsia="Arial" w:cs="Arial"/>
                <w:b w:val="0"/>
                <w:bCs w:val="0"/>
                <w:i w:val="0"/>
                <w:iCs w:val="0"/>
                <w:smallCaps w:val="0"/>
                <w:color w:val="000000"/>
                <w:sz w:val="20"/>
              </w:rPr>
              <w:t xml:space="preserve"> A company is an institutional investment manager under Section 13(f) of the Securities Exchange Act of 1934 because it </w:t>
            </w:r>
            <w:r>
              <w:rPr>
                <w:rFonts w:eastAsia="Arial" w:cs="Arial"/>
                <w:b w:val="0"/>
                <w:bCs w:val="0"/>
                <w:i/>
                <w:iCs/>
                <w:smallCaps w:val="0"/>
                <w:color w:val="000000"/>
                <w:sz w:val="20"/>
              </w:rPr>
              <w:t>exercises voting power</w:t>
            </w:r>
            <w:r>
              <w:rPr>
                <w:rFonts w:eastAsia="Arial" w:cs="Arial"/>
                <w:b w:val="0"/>
                <w:bCs w:val="0"/>
                <w:i w:val="0"/>
                <w:iCs w:val="0"/>
                <w:smallCaps w:val="0"/>
                <w:color w:val="000000"/>
                <w:sz w:val="20"/>
              </w:rPr>
              <w:t xml:space="preserve"> over $100 million or more of </w:t>
            </w:r>
            <w:r>
              <w:rPr>
                <w:rFonts w:eastAsia="Arial" w:cs="Arial"/>
                <w:b w:val="0"/>
                <w:bCs w:val="0"/>
                <w:i/>
                <w:iCs/>
                <w:smallCaps w:val="0"/>
                <w:color w:val="000000"/>
                <w:sz w:val="20"/>
              </w:rPr>
              <w:t>Section 13(f) securities</w:t>
            </w:r>
            <w:r>
              <w:rPr>
                <w:rFonts w:eastAsia="Arial" w:cs="Arial"/>
                <w:b w:val="0"/>
                <w:bCs w:val="0"/>
                <w:i w:val="0"/>
                <w:iCs w:val="0"/>
                <w:smallCaps w:val="0"/>
                <w:color w:val="000000"/>
                <w:sz w:val="20"/>
              </w:rPr>
              <w:t xml:space="preserve">. Such companies must file Form 13F to report their ownership of such securities. See the section </w:t>
            </w:r>
            <w:r>
              <w:rPr>
                <w:rFonts w:eastAsia="Arial" w:cs="Arial"/>
                <w:b w:val="0"/>
                <w:bCs w:val="0"/>
                <w:i/>
                <w:iCs/>
                <w:smallCaps w:val="0"/>
                <w:color w:val="000000"/>
                <w:sz w:val="20"/>
              </w:rPr>
              <w:t>Schedule 13F Filings</w:t>
            </w:r>
            <w:r>
              <w:rPr>
                <w:rFonts w:eastAsia="Arial" w:cs="Arial"/>
                <w:b w:val="0"/>
                <w:bCs w:val="0"/>
                <w:i w:val="0"/>
                <w:iCs w:val="0"/>
                <w:smallCaps w:val="0"/>
                <w:color w:val="000000"/>
                <w:sz w:val="20"/>
              </w:rPr>
              <w:t xml:space="preserve"> in the chapter </w:t>
            </w:r>
            <w:r>
              <w:rPr>
                <w:rFonts w:eastAsia="Arial" w:cs="Arial"/>
                <w:b w:val="0"/>
                <w:bCs w:val="0"/>
                <w:i/>
                <w:iCs/>
                <w:smallCaps w:val="0"/>
                <w:color w:val="000000"/>
                <w:sz w:val="20"/>
              </w:rPr>
              <w:t>REGISTRATION AND FILINGS</w:t>
            </w:r>
            <w:r>
              <w:rPr>
                <w:rFonts w:eastAsia="Arial" w:cs="Arial"/>
                <w:b w:val="0"/>
                <w:bCs w:val="0"/>
                <w:i w:val="0"/>
                <w:iCs w:val="0"/>
                <w:smallCaps w:val="0"/>
                <w:color w:val="000000"/>
                <w:sz w:val="20"/>
              </w:rPr>
              <w:t>.</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iCs/>
                <w:smallCaps w:val="0"/>
                <w:color w:val="000000"/>
                <w:sz w:val="20"/>
              </w:rPr>
              <w:t>Section 13F Securities</w:t>
            </w:r>
            <w:r>
              <w:rPr>
                <w:rFonts w:eastAsia="Arial" w:cs="Arial"/>
                <w:b w:val="0"/>
                <w:bCs w:val="0"/>
                <w:i w:val="0"/>
                <w:iCs w:val="0"/>
                <w:smallCaps w:val="0"/>
                <w:color w:val="000000"/>
                <w:sz w:val="20"/>
              </w:rPr>
              <w:t xml:space="preserve">: A list of 13F securities - called the Official List of Section 13(f) Securities - is available shortly after the end of each calendar quarter on the SEC's website, at </w:t>
            </w:r>
            <w:hyperlink r:id="rId17" w:tgtFrame="_blank" w:history="1">
              <w:r>
                <w:rPr>
                  <w:rStyle w:val="Hyperlink"/>
                  <w:rFonts w:eastAsia="Arial" w:cs="Arial"/>
                  <w:b w:val="0"/>
                  <w:bCs w:val="0"/>
                  <w:i w:val="0"/>
                  <w:iCs w:val="0"/>
                  <w:smallCaps w:val="0"/>
                  <w:color w:val="0000EE"/>
                  <w:sz w:val="24"/>
                  <w:u w:color="0000EE"/>
                </w:rPr>
                <w:t>http://www.sec.gov/divisions/investment/13flists.htm</w:t>
              </w:r>
            </w:hyperlink>
            <w:r>
              <w:rPr>
                <w:rFonts w:eastAsia="Arial" w:cs="Arial"/>
                <w:b w:val="0"/>
                <w:bCs w:val="0"/>
                <w:i w:val="0"/>
                <w:iCs w:val="0"/>
                <w:smallCaps w:val="0"/>
                <w:color w:val="000000"/>
                <w:sz w:val="20"/>
              </w:rPr>
              <w:t>.</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iCs/>
                <w:smallCaps w:val="0"/>
                <w:color w:val="000000"/>
                <w:sz w:val="20"/>
              </w:rPr>
              <w:t>Exercising Voting Power:</w:t>
            </w:r>
            <w:r>
              <w:rPr>
                <w:rFonts w:eastAsia="Arial" w:cs="Arial"/>
                <w:b w:val="0"/>
                <w:bCs w:val="0"/>
                <w:i w:val="0"/>
                <w:iCs w:val="0"/>
                <w:smallCaps w:val="0"/>
                <w:color w:val="000000"/>
                <w:sz w:val="20"/>
              </w:rPr>
              <w:t xml:space="preserve"> The Firm is deemed to exercise voting power for purposes of the N-PX or N-PX notice filing requirements when it votes (or directs another party to vote) in accordance with KCD's own guidelines or based on KCD's own judgment, including exercising independent judgment or expertise to determine how a client's voting policies should apply to a </w:t>
            </w:r>
            <w:r>
              <w:rPr>
                <w:rFonts w:eastAsia="Arial" w:cs="Arial"/>
                <w:b w:val="0"/>
                <w:bCs w:val="0"/>
                <w:i/>
                <w:iCs/>
                <w:smallCaps w:val="0"/>
                <w:color w:val="000000"/>
                <w:sz w:val="20"/>
              </w:rPr>
              <w:t>say-on-pay</w:t>
            </w:r>
            <w:r>
              <w:rPr>
                <w:rFonts w:eastAsia="Arial" w:cs="Arial"/>
                <w:b w:val="0"/>
                <w:bCs w:val="0"/>
                <w:i w:val="0"/>
                <w:iCs w:val="0"/>
                <w:smallCaps w:val="0"/>
                <w:color w:val="000000"/>
                <w:sz w:val="20"/>
              </w:rPr>
              <w:t xml:space="preserve"> vote. KCD is also deemed to exercise voting power when it influences the decision of whether to vote a security, such as by determining not to vote on a </w:t>
            </w:r>
            <w:r>
              <w:rPr>
                <w:rFonts w:eastAsia="Arial" w:cs="Arial"/>
                <w:b w:val="0"/>
                <w:bCs w:val="0"/>
                <w:i/>
                <w:iCs/>
                <w:smallCaps w:val="0"/>
                <w:color w:val="000000"/>
                <w:sz w:val="20"/>
              </w:rPr>
              <w:t>say-on-pay</w:t>
            </w:r>
            <w:r>
              <w:rPr>
                <w:rFonts w:eastAsia="Arial" w:cs="Arial"/>
                <w:b w:val="0"/>
                <w:bCs w:val="0"/>
                <w:i w:val="0"/>
                <w:iCs w:val="0"/>
                <w:smallCaps w:val="0"/>
                <w:color w:val="000000"/>
                <w:sz w:val="20"/>
              </w:rPr>
              <w:t xml:space="preserve"> matter or whether to recall loaned securities in advance of a vote in order to vote the shares.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iCs/>
                <w:smallCaps w:val="0"/>
                <w:color w:val="000000"/>
                <w:sz w:val="20"/>
              </w:rPr>
              <w:t>Say-on-pay:</w:t>
            </w:r>
            <w:r>
              <w:rPr>
                <w:rFonts w:eastAsia="Arial" w:cs="Arial"/>
                <w:b w:val="0"/>
                <w:bCs w:val="0"/>
                <w:i w:val="0"/>
                <w:iCs w:val="0"/>
                <w:smallCaps w:val="0"/>
                <w:color w:val="000000"/>
                <w:sz w:val="20"/>
              </w:rPr>
              <w:t xml:space="preserve"> Reportable </w:t>
            </w:r>
            <w:r>
              <w:rPr>
                <w:rFonts w:eastAsia="Arial" w:cs="Arial"/>
                <w:b w:val="0"/>
                <w:bCs w:val="0"/>
                <w:i/>
                <w:iCs/>
                <w:smallCaps w:val="0"/>
                <w:color w:val="000000"/>
                <w:sz w:val="20"/>
              </w:rPr>
              <w:t>say-on-pay</w:t>
            </w:r>
            <w:r>
              <w:rPr>
                <w:rFonts w:eastAsia="Arial" w:cs="Arial"/>
                <w:b w:val="0"/>
                <w:bCs w:val="0"/>
                <w:i w:val="0"/>
                <w:iCs w:val="0"/>
                <w:smallCaps w:val="0"/>
                <w:color w:val="000000"/>
                <w:sz w:val="20"/>
              </w:rPr>
              <w:t xml:space="preserve"> matters include (i) votes on executive compensation, (ii) votes on the frequency of executive compensation votes, and (iii) votes on compensation tied to mergers or acquisitions, such as "golden parachute" payments. </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2. If KCD is not a 13F Filer, it will not file a Form N-PX or an N-PX Notice with the SEC in a given year.</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iCs/>
                <w:smallCaps w:val="0"/>
                <w:color w:val="000000"/>
                <w:sz w:val="20"/>
              </w:rPr>
              <w:t>Reporting Period:</w:t>
            </w:r>
            <w:r>
              <w:rPr>
                <w:rFonts w:eastAsia="Arial" w:cs="Arial"/>
                <w:b w:val="0"/>
                <w:bCs w:val="0"/>
                <w:i w:val="0"/>
                <w:iCs w:val="0"/>
                <w:smallCaps w:val="0"/>
                <w:color w:val="000000"/>
                <w:sz w:val="20"/>
              </w:rPr>
              <w:t xml:space="preserve"> the period that runs from July 1 until June 30 of each year.</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3. If KCD is a 13F Filer, it will file with the SEC by August 31</w:t>
      </w:r>
      <w:r>
        <w:rPr>
          <w:rFonts w:eastAsia="Arial" w:cs="Arial"/>
          <w:sz w:val="25"/>
          <w:szCs w:val="25"/>
          <w:vertAlign w:val="superscript"/>
        </w:rPr>
        <w:t>st</w:t>
      </w:r>
      <w:r>
        <w:rPr>
          <w:rFonts w:eastAsia="Arial" w:cs="Arial"/>
          <w:sz w:val="20"/>
          <w:szCs w:val="20"/>
        </w:rPr>
        <w:t xml:space="preserve"> of each year either (a) a completed Form N-PX covering the </w:t>
      </w:r>
      <w:r>
        <w:rPr>
          <w:rFonts w:eastAsia="Arial" w:cs="Arial"/>
          <w:i/>
          <w:iCs/>
          <w:sz w:val="20"/>
          <w:szCs w:val="20"/>
        </w:rPr>
        <w:t>reporting period</w:t>
      </w:r>
      <w:r>
        <w:rPr>
          <w:rFonts w:eastAsia="Arial" w:cs="Arial"/>
          <w:sz w:val="20"/>
          <w:szCs w:val="20"/>
        </w:rPr>
        <w:t xml:space="preserve"> if it exercised voting power over any voting matter relating to </w:t>
      </w:r>
      <w:r>
        <w:rPr>
          <w:rFonts w:eastAsia="Arial" w:cs="Arial"/>
          <w:i/>
          <w:iCs/>
          <w:sz w:val="20"/>
          <w:szCs w:val="20"/>
        </w:rPr>
        <w:t>say-on-pay</w:t>
      </w:r>
      <w:r>
        <w:rPr>
          <w:rFonts w:eastAsia="Arial" w:cs="Arial"/>
          <w:sz w:val="20"/>
          <w:szCs w:val="20"/>
        </w:rPr>
        <w:t>; or (b) an N-PX Notice.</w:t>
      </w:r>
    </w:p>
    <w:p>
      <w:pPr>
        <w:pStyle w:val="normal0"/>
        <w:spacing w:before="200" w:after="200"/>
        <w:rPr>
          <w:rFonts w:eastAsia="Arial" w:cs="Arial"/>
          <w:sz w:val="20"/>
          <w:szCs w:val="20"/>
        </w:rPr>
      </w:pPr>
      <w:r>
        <w:rPr>
          <w:rFonts w:eastAsia="Arial" w:cs="Arial"/>
          <w:sz w:val="20"/>
          <w:szCs w:val="20"/>
        </w:rPr>
        <w:t>4. If KCD is required to file a Form N-PX because it is a 13F filer but has no proxy votes that are required to be reported during the Reporting Period, it will file a notice (N-PX Notice) filing with the SEC containing only a cover page that checks one of three explanations:</w:t>
      </w:r>
    </w:p>
    <w:p>
      <w:pPr>
        <w:numPr>
          <w:ilvl w:val="0"/>
          <w:numId w:val="325"/>
        </w:numPr>
        <w:spacing w:before="200"/>
        <w:ind w:left="720" w:hanging="192"/>
        <w:jc w:val="left"/>
        <w:rPr>
          <w:rFonts w:eastAsia="Arial" w:cs="Arial"/>
          <w:sz w:val="20"/>
          <w:szCs w:val="20"/>
        </w:rPr>
      </w:pPr>
      <w:r>
        <w:rPr>
          <w:rFonts w:eastAsia="Arial" w:cs="Arial"/>
          <w:sz w:val="20"/>
          <w:szCs w:val="20"/>
        </w:rPr>
        <w:t xml:space="preserve">KCD did not </w:t>
      </w:r>
      <w:r>
        <w:rPr>
          <w:rFonts w:eastAsia="Arial" w:cs="Arial"/>
          <w:i/>
          <w:iCs/>
          <w:sz w:val="20"/>
          <w:szCs w:val="20"/>
        </w:rPr>
        <w:t>exercise voting power</w:t>
      </w:r>
      <w:r>
        <w:rPr>
          <w:rFonts w:eastAsia="Arial" w:cs="Arial"/>
          <w:sz w:val="20"/>
          <w:szCs w:val="20"/>
        </w:rPr>
        <w:t xml:space="preserve"> over any </w:t>
      </w:r>
      <w:r>
        <w:rPr>
          <w:rFonts w:eastAsia="Arial" w:cs="Arial"/>
          <w:i/>
          <w:iCs/>
          <w:sz w:val="20"/>
          <w:szCs w:val="20"/>
        </w:rPr>
        <w:t>say-on-pay</w:t>
      </w:r>
      <w:r>
        <w:rPr>
          <w:rFonts w:eastAsia="Arial" w:cs="Arial"/>
          <w:sz w:val="20"/>
          <w:szCs w:val="20"/>
        </w:rPr>
        <w:t xml:space="preserve"> voting matter during the </w:t>
      </w:r>
      <w:r>
        <w:rPr>
          <w:rFonts w:eastAsia="Arial" w:cs="Arial"/>
          <w:i/>
          <w:iCs/>
          <w:sz w:val="20"/>
          <w:szCs w:val="20"/>
        </w:rPr>
        <w:t>reporting period</w:t>
      </w:r>
      <w:r>
        <w:rPr>
          <w:rFonts w:eastAsia="Arial" w:cs="Arial"/>
          <w:sz w:val="20"/>
          <w:szCs w:val="20"/>
        </w:rPr>
        <w:t>;</w:t>
      </w:r>
    </w:p>
    <w:p>
      <w:pPr>
        <w:numPr>
          <w:ilvl w:val="0"/>
          <w:numId w:val="325"/>
        </w:numPr>
        <w:ind w:left="720" w:hanging="192"/>
        <w:jc w:val="left"/>
        <w:rPr>
          <w:rFonts w:eastAsia="Arial" w:cs="Arial"/>
          <w:sz w:val="20"/>
          <w:szCs w:val="20"/>
        </w:rPr>
      </w:pPr>
      <w:r>
        <w:rPr>
          <w:rFonts w:eastAsia="Arial" w:cs="Arial"/>
          <w:sz w:val="20"/>
          <w:szCs w:val="20"/>
        </w:rPr>
        <w:t xml:space="preserve">KCD has "a clearly disclosed policy of not voting, and did not vote, on any proxy voting matter" during the </w:t>
      </w:r>
      <w:r>
        <w:rPr>
          <w:rFonts w:eastAsia="Arial" w:cs="Arial"/>
          <w:i/>
          <w:iCs/>
          <w:sz w:val="20"/>
          <w:szCs w:val="20"/>
        </w:rPr>
        <w:t>reporting period</w:t>
      </w:r>
      <w:r>
        <w:rPr>
          <w:rFonts w:eastAsia="Arial" w:cs="Arial"/>
          <w:sz w:val="20"/>
          <w:szCs w:val="20"/>
        </w:rPr>
        <w:t>; or</w:t>
      </w:r>
    </w:p>
    <w:p>
      <w:pPr>
        <w:numPr>
          <w:ilvl w:val="0"/>
          <w:numId w:val="325"/>
        </w:numPr>
        <w:spacing w:after="200"/>
        <w:ind w:left="720" w:hanging="192"/>
        <w:jc w:val="left"/>
        <w:rPr>
          <w:rFonts w:eastAsia="Arial" w:cs="Arial"/>
          <w:sz w:val="20"/>
          <w:szCs w:val="20"/>
        </w:rPr>
      </w:pPr>
      <w:r>
        <w:rPr>
          <w:rFonts w:eastAsia="Arial" w:cs="Arial"/>
          <w:sz w:val="20"/>
          <w:szCs w:val="20"/>
        </w:rPr>
        <w:t xml:space="preserve">all of KCD's votes required to be reported for the </w:t>
      </w:r>
      <w:r>
        <w:rPr>
          <w:rFonts w:eastAsia="Arial" w:cs="Arial"/>
          <w:i/>
          <w:iCs/>
          <w:sz w:val="20"/>
          <w:szCs w:val="20"/>
        </w:rPr>
        <w:t>reporting period</w:t>
      </w:r>
      <w:r>
        <w:rPr>
          <w:rFonts w:eastAsia="Arial" w:cs="Arial"/>
          <w:sz w:val="20"/>
          <w:szCs w:val="20"/>
        </w:rPr>
        <w:t xml:space="preserve"> have been reported by other filers on Form N-PX as a result of shared voting power.</w:t>
      </w:r>
    </w:p>
    <w:p>
      <w:pPr>
        <w:pStyle w:val="normal0"/>
        <w:spacing w:before="200" w:after="200"/>
        <w:rPr>
          <w:rFonts w:eastAsia="Arial" w:cs="Arial"/>
          <w:sz w:val="20"/>
          <w:szCs w:val="20"/>
        </w:rPr>
      </w:pPr>
      <w:r>
        <w:rPr>
          <w:rFonts w:eastAsia="Arial" w:cs="Arial"/>
          <w:sz w:val="20"/>
          <w:szCs w:val="20"/>
        </w:rPr>
        <w:t>5. All N-PX filings by KCD will be filed using an XML-based structured data language created specifically for reports on Form N-PX.</w:t>
      </w:r>
    </w:p>
    <w:p>
      <w:bookmarkEnd w:id="336"/>
      <w:bookmarkStart w:id="337" w:name="Sec_Chp_061016102250093_162650"/>
    </w:p>
    <w:p>
      <w:pPr>
        <w:pStyle w:val="Heading3"/>
      </w:pPr>
      <w:bookmarkStart w:id="338" w:name="_Toc256000081"/>
      <w:r>
        <w:t>5.3.12 Proxy Voting Involving Loaned Securities</w:t>
      </w:r>
      <w:bookmarkEnd w:id="338"/>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may have loaned client portfolio securities. While client portfolio securities are out on loan, KCD may receive a proxy related to the issuer of the loaned security. In such situations, KCD shall act, consistent with its fiduciary duty to clients, either by: (1) recalling such loaned security and voting the related proxy; or (2) leaving such security out on loan. With respect to either action, KCD shall document why such action or inaction is in the best interests of the applicable clients.</w:t>
      </w:r>
    </w:p>
    <w:p>
      <w:bookmarkEnd w:id="337"/>
      <w:bookmarkStart w:id="339" w:name="Sec_Chp_061016102250093_061016102251359"/>
    </w:p>
    <w:p>
      <w:pPr>
        <w:pStyle w:val="Heading3"/>
      </w:pPr>
      <w:bookmarkStart w:id="340" w:name="_Toc256000082"/>
      <w:r>
        <w:t>5.3.13 Inadvertent Investment Company</w:t>
      </w:r>
      <w:bookmarkEnd w:id="340"/>
    </w:p>
    <w:p/>
    <w:p>
      <w:pPr>
        <w:rPr>
          <w:rFonts w:eastAsia="Arial" w:cs="Arial"/>
          <w:sz w:val="16"/>
          <w:szCs w:val="16"/>
        </w:rPr>
      </w:pPr>
      <w:r>
        <w:rPr>
          <w:rFonts w:eastAsia="Arial" w:cs="Arial"/>
          <w:sz w:val="16"/>
          <w:szCs w:val="16"/>
        </w:rPr>
        <w:t>[Investment Company Act of 1940 Rule 3a-4]</w:t>
      </w:r>
    </w:p>
    <w:p/>
    <w:p>
      <w:pPr>
        <w:pStyle w:val="normal0"/>
        <w:spacing w:after="200"/>
        <w:rPr>
          <w:rFonts w:eastAsia="Arial" w:cs="Arial"/>
          <w:sz w:val="20"/>
          <w:szCs w:val="20"/>
        </w:rPr>
      </w:pPr>
      <w:r>
        <w:rPr>
          <w:rFonts w:eastAsia="Arial" w:cs="Arial"/>
          <w:sz w:val="20"/>
          <w:szCs w:val="20"/>
        </w:rPr>
        <w:t>Investment advisers that manage a number of accounts in a similar manner should be concerned that they have not created an "inadvertent investment company." Rule 3a-4 under the Investment Company Act of 1940 provides a safe harbor for such advisers, provided its conditions are met. To ensure that KCD may rely on Rule 3a-4, the Chief Compliance Officer will make sure that each of the conditions below is met.</w:t>
      </w:r>
    </w:p>
    <w:p>
      <w:pPr>
        <w:numPr>
          <w:ilvl w:val="0"/>
          <w:numId w:val="326"/>
        </w:numPr>
        <w:spacing w:before="200"/>
        <w:ind w:left="720" w:hanging="192"/>
        <w:jc w:val="left"/>
        <w:rPr>
          <w:rFonts w:eastAsia="Arial" w:cs="Arial"/>
          <w:sz w:val="20"/>
          <w:szCs w:val="20"/>
        </w:rPr>
      </w:pPr>
      <w:r>
        <w:rPr>
          <w:rFonts w:eastAsia="Arial" w:cs="Arial"/>
          <w:sz w:val="20"/>
          <w:szCs w:val="20"/>
        </w:rPr>
        <w:t xml:space="preserve">Each client's account will be managed in accordance with the: </w:t>
      </w:r>
    </w:p>
    <w:p>
      <w:pPr>
        <w:numPr>
          <w:ilvl w:val="1"/>
          <w:numId w:val="326"/>
        </w:numPr>
        <w:ind w:left="1440" w:hanging="220"/>
        <w:jc w:val="left"/>
        <w:rPr>
          <w:rFonts w:eastAsia="Arial" w:cs="Arial"/>
          <w:sz w:val="20"/>
          <w:szCs w:val="20"/>
        </w:rPr>
      </w:pPr>
      <w:r>
        <w:rPr>
          <w:rFonts w:eastAsia="Arial" w:cs="Arial"/>
          <w:sz w:val="20"/>
          <w:szCs w:val="20"/>
        </w:rPr>
        <w:t xml:space="preserve">client's financial situation, </w:t>
      </w:r>
    </w:p>
    <w:p>
      <w:pPr>
        <w:numPr>
          <w:ilvl w:val="1"/>
          <w:numId w:val="326"/>
        </w:numPr>
        <w:ind w:left="1440" w:hanging="220"/>
        <w:jc w:val="left"/>
        <w:rPr>
          <w:rFonts w:eastAsia="Arial" w:cs="Arial"/>
          <w:sz w:val="20"/>
          <w:szCs w:val="20"/>
        </w:rPr>
      </w:pPr>
      <w:r>
        <w:rPr>
          <w:rFonts w:eastAsia="Arial" w:cs="Arial"/>
          <w:sz w:val="20"/>
          <w:szCs w:val="20"/>
        </w:rPr>
        <w:t xml:space="preserve">the client's investment objectives, and </w:t>
      </w:r>
    </w:p>
    <w:p>
      <w:pPr>
        <w:numPr>
          <w:ilvl w:val="1"/>
          <w:numId w:val="326"/>
        </w:numPr>
        <w:ind w:left="1440" w:hanging="220"/>
        <w:jc w:val="left"/>
        <w:rPr>
          <w:rFonts w:eastAsia="Arial" w:cs="Arial"/>
          <w:sz w:val="20"/>
          <w:szCs w:val="20"/>
        </w:rPr>
      </w:pPr>
      <w:r>
        <w:rPr>
          <w:rFonts w:eastAsia="Arial" w:cs="Arial"/>
          <w:sz w:val="20"/>
          <w:szCs w:val="20"/>
        </w:rPr>
        <w:t>restrictions the client desires to impose;</w:t>
      </w:r>
    </w:p>
    <w:p>
      <w:pPr>
        <w:numPr>
          <w:ilvl w:val="0"/>
          <w:numId w:val="326"/>
        </w:numPr>
        <w:ind w:left="720" w:hanging="192"/>
        <w:jc w:val="left"/>
        <w:rPr>
          <w:rFonts w:eastAsia="Arial" w:cs="Arial"/>
          <w:sz w:val="20"/>
          <w:szCs w:val="20"/>
        </w:rPr>
      </w:pPr>
      <w:r>
        <w:rPr>
          <w:rFonts w:eastAsia="Arial" w:cs="Arial"/>
          <w:sz w:val="20"/>
          <w:szCs w:val="20"/>
        </w:rPr>
        <w:t xml:space="preserve">Before a client account is opened, KCD, pursuant to the procedures in the "New Client &amp; Anti-Money Laundering" chapter in the Compliance Manual, will obtain from the client information about: </w:t>
      </w:r>
    </w:p>
    <w:p>
      <w:pPr>
        <w:numPr>
          <w:ilvl w:val="1"/>
          <w:numId w:val="326"/>
        </w:numPr>
        <w:ind w:left="1440" w:hanging="220"/>
        <w:jc w:val="left"/>
        <w:rPr>
          <w:rFonts w:eastAsia="Arial" w:cs="Arial"/>
          <w:sz w:val="20"/>
          <w:szCs w:val="20"/>
        </w:rPr>
      </w:pPr>
      <w:r>
        <w:rPr>
          <w:rFonts w:eastAsia="Arial" w:cs="Arial"/>
          <w:sz w:val="20"/>
          <w:szCs w:val="20"/>
        </w:rPr>
        <w:t xml:space="preserve">the client's financial situation, </w:t>
      </w:r>
    </w:p>
    <w:p>
      <w:pPr>
        <w:numPr>
          <w:ilvl w:val="1"/>
          <w:numId w:val="326"/>
        </w:numPr>
        <w:ind w:left="1440" w:hanging="220"/>
        <w:jc w:val="left"/>
        <w:rPr>
          <w:rFonts w:eastAsia="Arial" w:cs="Arial"/>
          <w:sz w:val="20"/>
          <w:szCs w:val="20"/>
        </w:rPr>
      </w:pPr>
      <w:r>
        <w:rPr>
          <w:rFonts w:eastAsia="Arial" w:cs="Arial"/>
          <w:sz w:val="20"/>
          <w:szCs w:val="20"/>
        </w:rPr>
        <w:t xml:space="preserve">the client's investment objective(s), and </w:t>
      </w:r>
    </w:p>
    <w:p>
      <w:pPr>
        <w:numPr>
          <w:ilvl w:val="1"/>
          <w:numId w:val="326"/>
        </w:numPr>
        <w:ind w:left="1440" w:hanging="220"/>
        <w:jc w:val="left"/>
        <w:rPr>
          <w:rFonts w:eastAsia="Arial" w:cs="Arial"/>
          <w:sz w:val="20"/>
          <w:szCs w:val="20"/>
        </w:rPr>
      </w:pPr>
      <w:r>
        <w:rPr>
          <w:rFonts w:eastAsia="Arial" w:cs="Arial"/>
          <w:sz w:val="20"/>
          <w:szCs w:val="20"/>
        </w:rPr>
        <w:t xml:space="preserve">any investment restrictions the client desires to impose; </w:t>
      </w:r>
    </w:p>
    <w:p>
      <w:pPr>
        <w:numPr>
          <w:ilvl w:val="0"/>
          <w:numId w:val="326"/>
        </w:numPr>
        <w:ind w:left="720" w:hanging="192"/>
        <w:jc w:val="left"/>
        <w:rPr>
          <w:rFonts w:eastAsia="Arial" w:cs="Arial"/>
          <w:sz w:val="20"/>
          <w:szCs w:val="20"/>
        </w:rPr>
      </w:pPr>
      <w:r>
        <w:rPr>
          <w:rFonts w:eastAsia="Arial" w:cs="Arial"/>
          <w:sz w:val="20"/>
          <w:szCs w:val="20"/>
        </w:rPr>
        <w:t xml:space="preserve">At least annually, the Chief Compliance Officer will cause the appropriate Adviser Representative to contact the client to see if there have been changes in (a) the client's financial situation, (b) the client's investment objective(s), and (c) any investment restrictions previously imposed by the client; </w:t>
      </w:r>
    </w:p>
    <w:p>
      <w:pPr>
        <w:numPr>
          <w:ilvl w:val="0"/>
          <w:numId w:val="326"/>
        </w:numPr>
        <w:ind w:left="720" w:hanging="192"/>
        <w:jc w:val="left"/>
        <w:rPr>
          <w:rFonts w:eastAsia="Arial" w:cs="Arial"/>
          <w:sz w:val="20"/>
          <w:szCs w:val="20"/>
        </w:rPr>
      </w:pPr>
      <w:r>
        <w:rPr>
          <w:rFonts w:eastAsia="Arial" w:cs="Arial"/>
          <w:sz w:val="20"/>
          <w:szCs w:val="20"/>
        </w:rPr>
        <w:t xml:space="preserve">At least quarterly, the Chief Compliance Officer will cause the appropriate Adviser Representative to send a written notice to the client directing the client to contact KCD if there has been any changes in (a) the client's financial situation, (b) the client's investment objective(s), and (c) any investment restrictions previously imposed by the client; </w:t>
      </w:r>
    </w:p>
    <w:p>
      <w:pPr>
        <w:numPr>
          <w:ilvl w:val="0"/>
          <w:numId w:val="326"/>
        </w:numPr>
        <w:ind w:left="720" w:hanging="192"/>
        <w:jc w:val="left"/>
        <w:rPr>
          <w:rFonts w:eastAsia="Arial" w:cs="Arial"/>
          <w:sz w:val="20"/>
          <w:szCs w:val="20"/>
        </w:rPr>
      </w:pPr>
      <w:r>
        <w:rPr>
          <w:rFonts w:eastAsia="Arial" w:cs="Arial"/>
          <w:sz w:val="20"/>
          <w:szCs w:val="20"/>
        </w:rPr>
        <w:t xml:space="preserve">The Chief Compliance Officer will send, or arrange to be sent, to each client in accordance with the procedures set forth in the Existing Clients &amp; Privacy Procedures chapter of this Manual: </w:t>
      </w:r>
    </w:p>
    <w:p>
      <w:pPr>
        <w:numPr>
          <w:ilvl w:val="1"/>
          <w:numId w:val="326"/>
        </w:numPr>
        <w:ind w:left="1440" w:hanging="220"/>
        <w:jc w:val="left"/>
        <w:rPr>
          <w:rFonts w:eastAsia="Arial" w:cs="Arial"/>
          <w:sz w:val="20"/>
          <w:szCs w:val="20"/>
        </w:rPr>
      </w:pPr>
      <w:r>
        <w:rPr>
          <w:rFonts w:eastAsia="Arial" w:cs="Arial"/>
          <w:sz w:val="20"/>
          <w:szCs w:val="20"/>
        </w:rPr>
        <w:t xml:space="preserve">performance results in the prior quarter; </w:t>
      </w:r>
    </w:p>
    <w:p>
      <w:pPr>
        <w:numPr>
          <w:ilvl w:val="1"/>
          <w:numId w:val="326"/>
        </w:numPr>
        <w:ind w:left="1440" w:hanging="220"/>
        <w:jc w:val="left"/>
        <w:rPr>
          <w:rFonts w:eastAsia="Arial" w:cs="Arial"/>
          <w:sz w:val="20"/>
          <w:szCs w:val="20"/>
        </w:rPr>
      </w:pPr>
      <w:r>
        <w:rPr>
          <w:rFonts w:eastAsia="Arial" w:cs="Arial"/>
          <w:sz w:val="20"/>
          <w:szCs w:val="20"/>
        </w:rPr>
        <w:t xml:space="preserve">contributions and withdrawals made by the client in the prior quarter; </w:t>
      </w:r>
    </w:p>
    <w:p>
      <w:pPr>
        <w:numPr>
          <w:ilvl w:val="1"/>
          <w:numId w:val="326"/>
        </w:numPr>
        <w:ind w:left="1440" w:hanging="220"/>
        <w:jc w:val="left"/>
        <w:rPr>
          <w:rFonts w:eastAsia="Arial" w:cs="Arial"/>
          <w:sz w:val="20"/>
          <w:szCs w:val="20"/>
        </w:rPr>
      </w:pPr>
      <w:r>
        <w:rPr>
          <w:rFonts w:eastAsia="Arial" w:cs="Arial"/>
          <w:sz w:val="20"/>
          <w:szCs w:val="20"/>
        </w:rPr>
        <w:t xml:space="preserve">fees and expenses charged to the client in the prior quarter; and </w:t>
      </w:r>
    </w:p>
    <w:p>
      <w:pPr>
        <w:numPr>
          <w:ilvl w:val="1"/>
          <w:numId w:val="326"/>
        </w:numPr>
        <w:ind w:left="1440" w:hanging="220"/>
        <w:jc w:val="left"/>
        <w:rPr>
          <w:rFonts w:eastAsia="Arial" w:cs="Arial"/>
          <w:sz w:val="20"/>
          <w:szCs w:val="20"/>
        </w:rPr>
      </w:pPr>
      <w:r>
        <w:rPr>
          <w:rFonts w:eastAsia="Arial" w:cs="Arial"/>
          <w:sz w:val="20"/>
          <w:szCs w:val="20"/>
        </w:rPr>
        <w:t xml:space="preserve">the value of the account at the beginning of the prior quarter and the end of the prior quarter; </w:t>
      </w:r>
    </w:p>
    <w:p>
      <w:pPr>
        <w:numPr>
          <w:ilvl w:val="0"/>
          <w:numId w:val="326"/>
        </w:numPr>
        <w:ind w:left="720" w:hanging="192"/>
        <w:jc w:val="left"/>
        <w:rPr>
          <w:rFonts w:eastAsia="Arial" w:cs="Arial"/>
          <w:sz w:val="20"/>
          <w:szCs w:val="20"/>
        </w:rPr>
      </w:pPr>
      <w:r>
        <w:rPr>
          <w:rFonts w:eastAsia="Arial" w:cs="Arial"/>
          <w:sz w:val="20"/>
          <w:szCs w:val="20"/>
        </w:rPr>
        <w:t xml:space="preserve">Each client will have the unilateral right to: </w:t>
      </w:r>
    </w:p>
    <w:p>
      <w:pPr>
        <w:numPr>
          <w:ilvl w:val="1"/>
          <w:numId w:val="326"/>
        </w:numPr>
        <w:ind w:left="1440" w:hanging="220"/>
        <w:jc w:val="left"/>
        <w:rPr>
          <w:rFonts w:eastAsia="Arial" w:cs="Arial"/>
          <w:sz w:val="20"/>
          <w:szCs w:val="20"/>
        </w:rPr>
      </w:pPr>
      <w:r>
        <w:rPr>
          <w:rFonts w:eastAsia="Arial" w:cs="Arial"/>
          <w:sz w:val="20"/>
          <w:szCs w:val="20"/>
        </w:rPr>
        <w:t xml:space="preserve">withdraw securities or cash from his or her account; </w:t>
      </w:r>
    </w:p>
    <w:p>
      <w:pPr>
        <w:numPr>
          <w:ilvl w:val="1"/>
          <w:numId w:val="326"/>
        </w:numPr>
        <w:ind w:left="1440" w:hanging="220"/>
        <w:jc w:val="left"/>
        <w:rPr>
          <w:rFonts w:eastAsia="Arial" w:cs="Arial"/>
          <w:sz w:val="20"/>
          <w:szCs w:val="20"/>
        </w:rPr>
      </w:pPr>
      <w:r>
        <w:rPr>
          <w:rFonts w:eastAsia="Arial" w:cs="Arial"/>
          <w:sz w:val="20"/>
          <w:szCs w:val="20"/>
        </w:rPr>
        <w:t xml:space="preserve">vote securities held in the account; </w:t>
      </w:r>
    </w:p>
    <w:p>
      <w:pPr>
        <w:numPr>
          <w:ilvl w:val="1"/>
          <w:numId w:val="326"/>
        </w:numPr>
        <w:ind w:left="1440" w:hanging="220"/>
        <w:jc w:val="left"/>
        <w:rPr>
          <w:rFonts w:eastAsia="Arial" w:cs="Arial"/>
          <w:sz w:val="20"/>
          <w:szCs w:val="20"/>
        </w:rPr>
      </w:pPr>
      <w:r>
        <w:rPr>
          <w:rFonts w:eastAsia="Arial" w:cs="Arial"/>
          <w:sz w:val="20"/>
          <w:szCs w:val="20"/>
        </w:rPr>
        <w:t>receive confirmation statements for security transactions; and</w:t>
      </w:r>
    </w:p>
    <w:p>
      <w:pPr>
        <w:numPr>
          <w:ilvl w:val="1"/>
          <w:numId w:val="326"/>
        </w:numPr>
        <w:spacing w:after="200"/>
        <w:ind w:left="1440" w:hanging="220"/>
        <w:jc w:val="left"/>
        <w:rPr>
          <w:rFonts w:eastAsia="Arial" w:cs="Arial"/>
          <w:sz w:val="20"/>
          <w:szCs w:val="20"/>
        </w:rPr>
      </w:pPr>
      <w:r>
        <w:rPr>
          <w:rFonts w:eastAsia="Arial" w:cs="Arial"/>
          <w:sz w:val="20"/>
          <w:szCs w:val="20"/>
        </w:rPr>
        <w:t>legally proceed against any issuer of a security held in an account without having to include other clients in such proceeding.</w:t>
      </w:r>
    </w:p>
    <w:p>
      <w:bookmarkEnd w:id="339"/>
      <w:bookmarkStart w:id="341" w:name="Sec_Chp_061016102250093_061016102251375"/>
    </w:p>
    <w:p>
      <w:pPr>
        <w:pStyle w:val="Heading3"/>
      </w:pPr>
      <w:bookmarkStart w:id="342" w:name="_Toc256000083"/>
      <w:r>
        <w:t>5.3.14 Sub-Advisers</w:t>
      </w:r>
      <w:bookmarkEnd w:id="342"/>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delegate some or all of its investment advisory functions over a particular client account or accounts to another investment adviser (called a sub-adviser). Prior to delegating advisory functions, KCD will perform due diligence on the sub-adviser, enter into a sub-advisory contract with the sub-adviser, and supervise the advisory and other services provided by the sub-adviser.</w:t>
      </w:r>
    </w:p>
    <w:p>
      <w:bookmarkEnd w:id="341"/>
      <w:bookmarkStart w:id="343" w:name="Sec_Chp_061016102250093_061016102251406"/>
    </w:p>
    <w:p>
      <w:pPr>
        <w:pStyle w:val="Heading4"/>
      </w:pPr>
      <w:r>
        <w:t>5.3.14.1 Sub-Advisory Contract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retaining a sub-adviser, KCD will enter into a sub-advisory contract with the sub-adviser. With the advice of its inside or outside counsel, KCD will decide whether the sub-advisory contract will be between (1) KCD and the sub-adviser; or (2) KCD, the sub-adviser and the client. Inside or outside counsel will review any sub-advisory agreement prior to its execution and such contract will comply with the procedures set forth in the "Advisory Contract &amp; Fees" chapter of this Compliance Manual.</w:t>
      </w:r>
    </w:p>
    <w:p>
      <w:bookmarkEnd w:id="343"/>
      <w:bookmarkStart w:id="344" w:name="Sec_Chp_061016102250093_061016102251421"/>
    </w:p>
    <w:p>
      <w:pPr>
        <w:pStyle w:val="Heading4"/>
      </w:pPr>
      <w:r>
        <w:t>5.3.14.2 Supervision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consider taking the following steps when supervising any sub-advisory relationship:</w:t>
      </w:r>
    </w:p>
    <w:p>
      <w:pPr>
        <w:numPr>
          <w:ilvl w:val="0"/>
          <w:numId w:val="327"/>
        </w:numPr>
        <w:spacing w:before="200"/>
        <w:ind w:left="720" w:hanging="192"/>
        <w:jc w:val="left"/>
        <w:rPr>
          <w:rFonts w:eastAsia="Arial" w:cs="Arial"/>
          <w:sz w:val="20"/>
          <w:szCs w:val="20"/>
        </w:rPr>
      </w:pPr>
      <w:r>
        <w:rPr>
          <w:rFonts w:eastAsia="Arial" w:cs="Arial"/>
          <w:sz w:val="20"/>
          <w:szCs w:val="20"/>
        </w:rPr>
        <w:t xml:space="preserve">Obtaining an annual (or more frequent) certification from the sub-adviser regarding the following: </w:t>
      </w:r>
    </w:p>
    <w:p>
      <w:pPr>
        <w:numPr>
          <w:ilvl w:val="1"/>
          <w:numId w:val="327"/>
        </w:numPr>
        <w:ind w:left="1440" w:hanging="220"/>
        <w:jc w:val="left"/>
        <w:rPr>
          <w:rFonts w:eastAsia="Arial" w:cs="Arial"/>
          <w:sz w:val="20"/>
          <w:szCs w:val="20"/>
        </w:rPr>
      </w:pPr>
      <w:r>
        <w:rPr>
          <w:rFonts w:eastAsia="Arial" w:cs="Arial"/>
          <w:sz w:val="20"/>
          <w:szCs w:val="20"/>
        </w:rPr>
        <w:t xml:space="preserve">Material compliance matters including code of ethics' violations; </w:t>
      </w:r>
    </w:p>
    <w:p>
      <w:pPr>
        <w:numPr>
          <w:ilvl w:val="1"/>
          <w:numId w:val="327"/>
        </w:numPr>
        <w:ind w:left="1440" w:hanging="220"/>
        <w:jc w:val="left"/>
        <w:rPr>
          <w:rFonts w:eastAsia="Arial" w:cs="Arial"/>
          <w:sz w:val="20"/>
          <w:szCs w:val="20"/>
        </w:rPr>
      </w:pPr>
      <w:r>
        <w:rPr>
          <w:rFonts w:eastAsia="Arial" w:cs="Arial"/>
          <w:sz w:val="20"/>
          <w:szCs w:val="20"/>
        </w:rPr>
        <w:t xml:space="preserve">Material changes to sub-adviser's compliance procedures; </w:t>
      </w:r>
    </w:p>
    <w:p>
      <w:pPr>
        <w:numPr>
          <w:ilvl w:val="1"/>
          <w:numId w:val="327"/>
        </w:numPr>
        <w:ind w:left="1440" w:hanging="220"/>
        <w:jc w:val="left"/>
        <w:rPr>
          <w:rFonts w:eastAsia="Arial" w:cs="Arial"/>
          <w:sz w:val="20"/>
          <w:szCs w:val="20"/>
        </w:rPr>
      </w:pPr>
      <w:r>
        <w:rPr>
          <w:rFonts w:eastAsia="Arial" w:cs="Arial"/>
          <w:sz w:val="20"/>
          <w:szCs w:val="20"/>
        </w:rPr>
        <w:t xml:space="preserve">Copy or description of the sub-adviser's written annual compliance review; </w:t>
      </w:r>
    </w:p>
    <w:p>
      <w:pPr>
        <w:numPr>
          <w:ilvl w:val="1"/>
          <w:numId w:val="327"/>
        </w:numPr>
        <w:ind w:left="1440" w:hanging="220"/>
        <w:jc w:val="left"/>
        <w:rPr>
          <w:rFonts w:eastAsia="Arial" w:cs="Arial"/>
          <w:sz w:val="20"/>
          <w:szCs w:val="20"/>
        </w:rPr>
      </w:pPr>
      <w:r>
        <w:rPr>
          <w:rFonts w:eastAsia="Arial" w:cs="Arial"/>
          <w:sz w:val="20"/>
          <w:szCs w:val="20"/>
        </w:rPr>
        <w:t xml:space="preserve">Description and frequency of testing methods used in connection with the sub-adviser's compliance review; </w:t>
      </w:r>
    </w:p>
    <w:p>
      <w:pPr>
        <w:numPr>
          <w:ilvl w:val="1"/>
          <w:numId w:val="327"/>
        </w:numPr>
        <w:ind w:left="1440" w:hanging="220"/>
        <w:jc w:val="left"/>
        <w:rPr>
          <w:rFonts w:eastAsia="Arial" w:cs="Arial"/>
          <w:sz w:val="20"/>
          <w:szCs w:val="20"/>
        </w:rPr>
      </w:pPr>
      <w:r>
        <w:rPr>
          <w:rFonts w:eastAsia="Arial" w:cs="Arial"/>
          <w:sz w:val="20"/>
          <w:szCs w:val="20"/>
        </w:rPr>
        <w:t xml:space="preserve">Last date of regulatory inspection and written description of the results and findings of the inspection; </w:t>
      </w:r>
    </w:p>
    <w:p>
      <w:pPr>
        <w:numPr>
          <w:ilvl w:val="1"/>
          <w:numId w:val="327"/>
        </w:numPr>
        <w:ind w:left="1440" w:hanging="220"/>
        <w:jc w:val="left"/>
        <w:rPr>
          <w:rFonts w:eastAsia="Arial" w:cs="Arial"/>
          <w:sz w:val="20"/>
          <w:szCs w:val="20"/>
        </w:rPr>
      </w:pPr>
      <w:r>
        <w:rPr>
          <w:rFonts w:eastAsia="Arial" w:cs="Arial"/>
          <w:sz w:val="20"/>
          <w:szCs w:val="20"/>
        </w:rPr>
        <w:t>Litigation including new litigation and updates on existing litigation;</w:t>
      </w:r>
    </w:p>
    <w:p>
      <w:pPr>
        <w:numPr>
          <w:ilvl w:val="1"/>
          <w:numId w:val="327"/>
        </w:numPr>
        <w:ind w:left="1440" w:hanging="220"/>
        <w:jc w:val="left"/>
        <w:rPr>
          <w:rFonts w:eastAsia="Arial" w:cs="Arial"/>
          <w:sz w:val="20"/>
          <w:szCs w:val="20"/>
        </w:rPr>
      </w:pPr>
      <w:r>
        <w:rPr>
          <w:rFonts w:eastAsia="Arial" w:cs="Arial"/>
          <w:sz w:val="20"/>
          <w:szCs w:val="20"/>
        </w:rPr>
        <w:t xml:space="preserve">Material changes in key investment management personnel, executive management team and directors; </w:t>
      </w:r>
    </w:p>
    <w:p>
      <w:pPr>
        <w:numPr>
          <w:ilvl w:val="1"/>
          <w:numId w:val="327"/>
        </w:numPr>
        <w:ind w:left="1440" w:hanging="220"/>
        <w:jc w:val="left"/>
        <w:rPr>
          <w:rFonts w:eastAsia="Arial" w:cs="Arial"/>
          <w:sz w:val="20"/>
          <w:szCs w:val="20"/>
        </w:rPr>
      </w:pPr>
      <w:r>
        <w:rPr>
          <w:rFonts w:eastAsia="Arial" w:cs="Arial"/>
          <w:sz w:val="20"/>
          <w:szCs w:val="20"/>
        </w:rPr>
        <w:t xml:space="preserve">Material changes in sub-adviser's investment management process; </w:t>
      </w:r>
    </w:p>
    <w:p>
      <w:pPr>
        <w:numPr>
          <w:ilvl w:val="1"/>
          <w:numId w:val="327"/>
        </w:numPr>
        <w:ind w:left="1440" w:hanging="220"/>
        <w:jc w:val="left"/>
        <w:rPr>
          <w:rFonts w:eastAsia="Arial" w:cs="Arial"/>
          <w:sz w:val="20"/>
          <w:szCs w:val="20"/>
        </w:rPr>
      </w:pPr>
      <w:r>
        <w:rPr>
          <w:rFonts w:eastAsia="Arial" w:cs="Arial"/>
          <w:sz w:val="20"/>
          <w:szCs w:val="20"/>
        </w:rPr>
        <w:t xml:space="preserve">Report on the extent to which sub-adviser is managing each Firm client's assets consistent with the stated investment objective for the Firm client's account that includes all instances of non-compliance; </w:t>
      </w:r>
    </w:p>
    <w:p>
      <w:pPr>
        <w:numPr>
          <w:ilvl w:val="1"/>
          <w:numId w:val="327"/>
        </w:numPr>
        <w:ind w:left="1440" w:hanging="220"/>
        <w:jc w:val="left"/>
        <w:rPr>
          <w:rFonts w:eastAsia="Arial" w:cs="Arial"/>
          <w:sz w:val="20"/>
          <w:szCs w:val="20"/>
        </w:rPr>
      </w:pPr>
      <w:r>
        <w:rPr>
          <w:rFonts w:eastAsia="Arial" w:cs="Arial"/>
          <w:sz w:val="20"/>
          <w:szCs w:val="20"/>
        </w:rPr>
        <w:t>Report on all trade errors related to Firm client accounts;</w:t>
      </w:r>
    </w:p>
    <w:p>
      <w:pPr>
        <w:numPr>
          <w:ilvl w:val="1"/>
          <w:numId w:val="327"/>
        </w:numPr>
        <w:ind w:left="1440" w:hanging="220"/>
        <w:jc w:val="left"/>
        <w:rPr>
          <w:rFonts w:eastAsia="Arial" w:cs="Arial"/>
          <w:sz w:val="20"/>
          <w:szCs w:val="20"/>
        </w:rPr>
      </w:pPr>
      <w:r>
        <w:rPr>
          <w:rFonts w:eastAsia="Arial" w:cs="Arial"/>
          <w:sz w:val="20"/>
          <w:szCs w:val="20"/>
        </w:rPr>
        <w:t xml:space="preserve">Timely filing of 13F and 13G reports (if any); </w:t>
      </w:r>
    </w:p>
    <w:p>
      <w:pPr>
        <w:numPr>
          <w:ilvl w:val="1"/>
          <w:numId w:val="327"/>
        </w:numPr>
        <w:ind w:left="1440" w:hanging="220"/>
        <w:jc w:val="left"/>
        <w:rPr>
          <w:rFonts w:eastAsia="Arial" w:cs="Arial"/>
          <w:sz w:val="20"/>
          <w:szCs w:val="20"/>
        </w:rPr>
      </w:pPr>
      <w:r>
        <w:rPr>
          <w:rFonts w:eastAsia="Arial" w:cs="Arial"/>
          <w:sz w:val="20"/>
          <w:szCs w:val="20"/>
        </w:rPr>
        <w:t xml:space="preserve">Material changes to how brokers are selected and average commission rate; </w:t>
      </w:r>
    </w:p>
    <w:p>
      <w:pPr>
        <w:numPr>
          <w:ilvl w:val="1"/>
          <w:numId w:val="327"/>
        </w:numPr>
        <w:ind w:left="1440" w:hanging="220"/>
        <w:jc w:val="left"/>
        <w:rPr>
          <w:rFonts w:eastAsia="Arial" w:cs="Arial"/>
          <w:sz w:val="20"/>
          <w:szCs w:val="20"/>
        </w:rPr>
      </w:pPr>
      <w:r>
        <w:rPr>
          <w:rFonts w:eastAsia="Arial" w:cs="Arial"/>
          <w:sz w:val="20"/>
          <w:szCs w:val="20"/>
        </w:rPr>
        <w:t xml:space="preserve">Report on soft dollar practices including percentage of Firm client trades made for soft dollars (if any); </w:t>
      </w:r>
    </w:p>
    <w:p>
      <w:pPr>
        <w:numPr>
          <w:ilvl w:val="1"/>
          <w:numId w:val="327"/>
        </w:numPr>
        <w:ind w:left="1440" w:hanging="220"/>
        <w:jc w:val="left"/>
        <w:rPr>
          <w:rFonts w:eastAsia="Arial" w:cs="Arial"/>
          <w:sz w:val="20"/>
          <w:szCs w:val="20"/>
        </w:rPr>
      </w:pPr>
      <w:r>
        <w:rPr>
          <w:rFonts w:eastAsia="Arial" w:cs="Arial"/>
          <w:sz w:val="20"/>
          <w:szCs w:val="20"/>
        </w:rPr>
        <w:t>Proof of D&amp;O/E&amp;O insurance as well as information about the coverage;</w:t>
      </w:r>
    </w:p>
    <w:p>
      <w:pPr>
        <w:numPr>
          <w:ilvl w:val="1"/>
          <w:numId w:val="327"/>
        </w:numPr>
        <w:ind w:left="1440" w:hanging="220"/>
        <w:jc w:val="left"/>
        <w:rPr>
          <w:rFonts w:eastAsia="Arial" w:cs="Arial"/>
          <w:sz w:val="20"/>
          <w:szCs w:val="20"/>
        </w:rPr>
      </w:pPr>
      <w:r>
        <w:rPr>
          <w:rFonts w:eastAsia="Arial" w:cs="Arial"/>
          <w:sz w:val="20"/>
          <w:szCs w:val="20"/>
        </w:rPr>
        <w:t>Business continuity testing results and risk assessments;</w:t>
      </w:r>
    </w:p>
    <w:p>
      <w:pPr>
        <w:numPr>
          <w:ilvl w:val="1"/>
          <w:numId w:val="327"/>
        </w:numPr>
        <w:ind w:left="1440" w:hanging="220"/>
        <w:jc w:val="left"/>
        <w:rPr>
          <w:rFonts w:eastAsia="Arial" w:cs="Arial"/>
          <w:sz w:val="20"/>
          <w:szCs w:val="20"/>
        </w:rPr>
      </w:pPr>
      <w:r>
        <w:rPr>
          <w:rFonts w:eastAsia="Arial" w:cs="Arial"/>
          <w:sz w:val="20"/>
          <w:szCs w:val="20"/>
        </w:rPr>
        <w:t>Cybersecurity testing results and risk assessments;</w:t>
      </w:r>
    </w:p>
    <w:p>
      <w:pPr>
        <w:numPr>
          <w:ilvl w:val="1"/>
          <w:numId w:val="327"/>
        </w:numPr>
        <w:ind w:left="1440" w:hanging="220"/>
        <w:jc w:val="left"/>
        <w:rPr>
          <w:rFonts w:eastAsia="Arial" w:cs="Arial"/>
          <w:sz w:val="20"/>
          <w:szCs w:val="20"/>
        </w:rPr>
      </w:pPr>
      <w:r>
        <w:rPr>
          <w:rFonts w:eastAsia="Arial" w:cs="Arial"/>
          <w:sz w:val="20"/>
          <w:szCs w:val="20"/>
        </w:rPr>
        <w:t>Changes to key service providers;</w:t>
      </w:r>
    </w:p>
    <w:p>
      <w:pPr>
        <w:numPr>
          <w:ilvl w:val="1"/>
          <w:numId w:val="327"/>
        </w:numPr>
        <w:ind w:left="1440" w:hanging="220"/>
        <w:jc w:val="left"/>
        <w:rPr>
          <w:rFonts w:eastAsia="Arial" w:cs="Arial"/>
          <w:sz w:val="20"/>
          <w:szCs w:val="20"/>
        </w:rPr>
      </w:pPr>
      <w:r>
        <w:rPr>
          <w:rFonts w:eastAsia="Arial" w:cs="Arial"/>
          <w:sz w:val="20"/>
          <w:szCs w:val="20"/>
        </w:rPr>
        <w:t xml:space="preserve">Proxy voting report; and </w:t>
      </w:r>
    </w:p>
    <w:p>
      <w:pPr>
        <w:numPr>
          <w:ilvl w:val="1"/>
          <w:numId w:val="327"/>
        </w:numPr>
        <w:ind w:left="1440" w:hanging="220"/>
        <w:jc w:val="left"/>
        <w:rPr>
          <w:rFonts w:eastAsia="Arial" w:cs="Arial"/>
          <w:sz w:val="20"/>
          <w:szCs w:val="20"/>
        </w:rPr>
      </w:pPr>
      <w:r>
        <w:rPr>
          <w:rFonts w:eastAsia="Arial" w:cs="Arial"/>
          <w:sz w:val="20"/>
          <w:szCs w:val="20"/>
        </w:rPr>
        <w:t>Copy of the sub-adviser's most recent Brochure (Part 2A) and any applicable Brochure Supplements (Part 2B).</w:t>
      </w:r>
    </w:p>
    <w:p>
      <w:pPr>
        <w:numPr>
          <w:ilvl w:val="0"/>
          <w:numId w:val="327"/>
        </w:numPr>
        <w:ind w:left="720" w:hanging="192"/>
        <w:jc w:val="left"/>
        <w:rPr>
          <w:rFonts w:eastAsia="Arial" w:cs="Arial"/>
          <w:sz w:val="20"/>
          <w:szCs w:val="20"/>
        </w:rPr>
      </w:pPr>
      <w:r>
        <w:rPr>
          <w:rFonts w:eastAsia="Arial" w:cs="Arial"/>
          <w:sz w:val="20"/>
          <w:szCs w:val="20"/>
        </w:rPr>
        <w:t xml:space="preserve">Coordinate compliance efforts, including employee reporting of personal trades; </w:t>
      </w:r>
    </w:p>
    <w:p>
      <w:pPr>
        <w:numPr>
          <w:ilvl w:val="0"/>
          <w:numId w:val="327"/>
        </w:numPr>
        <w:ind w:left="720" w:hanging="192"/>
        <w:jc w:val="left"/>
        <w:rPr>
          <w:rFonts w:eastAsia="Arial" w:cs="Arial"/>
          <w:sz w:val="20"/>
          <w:szCs w:val="20"/>
        </w:rPr>
      </w:pPr>
      <w:r>
        <w:rPr>
          <w:rFonts w:eastAsia="Arial" w:cs="Arial"/>
          <w:sz w:val="20"/>
          <w:szCs w:val="20"/>
        </w:rPr>
        <w:t xml:space="preserve">Periodically meet with the investment management, senior management and compliance personnel of the sub-adviser to discuss the relationship, including compliance issues; </w:t>
      </w:r>
    </w:p>
    <w:p>
      <w:pPr>
        <w:numPr>
          <w:ilvl w:val="0"/>
          <w:numId w:val="327"/>
        </w:numPr>
        <w:ind w:left="720" w:hanging="192"/>
        <w:jc w:val="left"/>
        <w:rPr>
          <w:rFonts w:eastAsia="Arial" w:cs="Arial"/>
          <w:sz w:val="20"/>
          <w:szCs w:val="20"/>
        </w:rPr>
      </w:pPr>
      <w:r>
        <w:rPr>
          <w:rFonts w:eastAsia="Arial" w:cs="Arial"/>
          <w:sz w:val="20"/>
          <w:szCs w:val="20"/>
        </w:rPr>
        <w:t xml:space="preserve">Contact the sub-adviser immediately if KCD detects any irregularities with respect to client accounts managed by the sub-adviser, and KCD will investigate and follow up on the irregularities until it concludes that they do not raise compliance issues; </w:t>
      </w:r>
    </w:p>
    <w:p>
      <w:pPr>
        <w:numPr>
          <w:ilvl w:val="0"/>
          <w:numId w:val="327"/>
        </w:numPr>
        <w:ind w:left="720" w:hanging="192"/>
        <w:jc w:val="left"/>
        <w:rPr>
          <w:rFonts w:eastAsia="Arial" w:cs="Arial"/>
          <w:sz w:val="20"/>
          <w:szCs w:val="20"/>
        </w:rPr>
      </w:pPr>
      <w:r>
        <w:rPr>
          <w:rFonts w:eastAsia="Arial" w:cs="Arial"/>
          <w:sz w:val="20"/>
          <w:szCs w:val="20"/>
        </w:rPr>
        <w:t xml:space="preserve">Require the sub-adviser to immediately notify KCD of any compliance violation involving or impacting clients of KCD and any material compliance violation, irrespective of whether it impacts the Firm clients; and </w:t>
      </w:r>
    </w:p>
    <w:p>
      <w:pPr>
        <w:numPr>
          <w:ilvl w:val="0"/>
          <w:numId w:val="327"/>
        </w:numPr>
        <w:spacing w:after="200"/>
        <w:ind w:left="720" w:hanging="192"/>
        <w:jc w:val="left"/>
        <w:rPr>
          <w:rFonts w:eastAsia="Arial" w:cs="Arial"/>
          <w:sz w:val="20"/>
          <w:szCs w:val="20"/>
        </w:rPr>
      </w:pPr>
      <w:r>
        <w:rPr>
          <w:rFonts w:eastAsia="Arial" w:cs="Arial"/>
          <w:sz w:val="20"/>
          <w:szCs w:val="20"/>
        </w:rPr>
        <w:t>Require the sub-adviser to inform KCD about any material changes to its business.</w:t>
      </w:r>
    </w:p>
    <w:p>
      <w:bookmarkEnd w:id="344"/>
      <w:bookmarkStart w:id="345" w:name="Sec_Chp_061016102250093_0610161022514213"/>
    </w:p>
    <w:p>
      <w:pPr>
        <w:pStyle w:val="Heading4"/>
      </w:pPr>
      <w:r>
        <w:t>5.3.14.3 Sub-Adviser Reporting and Oversight</w:t>
      </w:r>
    </w:p>
    <w:p/>
    <w:p>
      <w:pPr>
        <w:rPr>
          <w:rFonts w:eastAsia="Arial" w:cs="Arial"/>
          <w:sz w:val="16"/>
          <w:szCs w:val="16"/>
        </w:rPr>
      </w:pPr>
    </w:p>
    <w:p>
      <w:pPr>
        <w:spacing w:after="200"/>
        <w:rPr>
          <w:rFonts w:eastAsia="Arial" w:cs="Arial"/>
          <w:sz w:val="20"/>
          <w:szCs w:val="20"/>
        </w:rPr>
      </w:pPr>
      <w:r>
        <w:rPr>
          <w:rFonts w:eastAsia="Arial" w:cs="Arial"/>
          <w:sz w:val="20"/>
          <w:szCs w:val="20"/>
        </w:rPr>
        <w:t>With respect to each sub-adviser retained by KCD to manage client assets, KCD will require each such sub-adviser periodically, but at least quarterly, to provide a written report addressing:</w:t>
      </w:r>
    </w:p>
    <w:p>
      <w:pPr>
        <w:numPr>
          <w:ilvl w:val="0"/>
          <w:numId w:val="328"/>
        </w:numPr>
        <w:spacing w:before="200"/>
        <w:ind w:left="720" w:hanging="192"/>
        <w:jc w:val="left"/>
        <w:rPr>
          <w:rFonts w:eastAsia="Arial" w:cs="Arial"/>
          <w:sz w:val="20"/>
          <w:szCs w:val="20"/>
        </w:rPr>
      </w:pPr>
      <w:r>
        <w:rPr>
          <w:rFonts w:eastAsia="Arial" w:cs="Arial"/>
          <w:sz w:val="20"/>
          <w:szCs w:val="20"/>
        </w:rPr>
        <w:t>how it is carrying out its portfolio management responsibilities in compliance with:</w:t>
      </w:r>
    </w:p>
    <w:p>
      <w:pPr>
        <w:numPr>
          <w:ilvl w:val="1"/>
          <w:numId w:val="328"/>
        </w:numPr>
        <w:ind w:left="1440" w:hanging="220"/>
        <w:jc w:val="left"/>
        <w:rPr>
          <w:rFonts w:eastAsia="Arial" w:cs="Arial"/>
          <w:sz w:val="20"/>
          <w:szCs w:val="20"/>
        </w:rPr>
      </w:pPr>
      <w:r>
        <w:rPr>
          <w:rFonts w:eastAsia="Arial" w:cs="Arial"/>
          <w:sz w:val="20"/>
          <w:szCs w:val="20"/>
        </w:rPr>
        <w:t>each sub-advised client's investment objective, policies, strategies and restrictions;</w:t>
      </w:r>
    </w:p>
    <w:p>
      <w:pPr>
        <w:numPr>
          <w:ilvl w:val="1"/>
          <w:numId w:val="328"/>
        </w:numPr>
        <w:ind w:left="1440" w:hanging="220"/>
        <w:jc w:val="left"/>
        <w:rPr>
          <w:rFonts w:eastAsia="Arial" w:cs="Arial"/>
          <w:sz w:val="20"/>
          <w:szCs w:val="20"/>
        </w:rPr>
      </w:pPr>
      <w:r>
        <w:rPr>
          <w:rFonts w:eastAsia="Arial" w:cs="Arial"/>
          <w:sz w:val="20"/>
          <w:szCs w:val="20"/>
        </w:rPr>
        <w:t>all policies or directives that KCD has from time to time established for the sub-advised clients and communicated to the sub-adviser;</w:t>
      </w:r>
    </w:p>
    <w:p>
      <w:pPr>
        <w:numPr>
          <w:ilvl w:val="1"/>
          <w:numId w:val="328"/>
        </w:numPr>
        <w:ind w:left="1440" w:hanging="220"/>
        <w:jc w:val="left"/>
        <w:rPr>
          <w:rFonts w:eastAsia="Arial" w:cs="Arial"/>
          <w:sz w:val="20"/>
          <w:szCs w:val="20"/>
        </w:rPr>
      </w:pPr>
      <w:r>
        <w:rPr>
          <w:rFonts w:eastAsia="Arial" w:cs="Arial"/>
          <w:sz w:val="20"/>
          <w:szCs w:val="20"/>
        </w:rPr>
        <w:t>applicable regulations including provisions of, and rules under, the Advisers Act including any violations;</w:t>
      </w:r>
    </w:p>
    <w:p>
      <w:pPr>
        <w:numPr>
          <w:ilvl w:val="0"/>
          <w:numId w:val="328"/>
        </w:numPr>
        <w:ind w:left="720" w:hanging="192"/>
        <w:jc w:val="left"/>
        <w:rPr>
          <w:rFonts w:eastAsia="Arial" w:cs="Arial"/>
          <w:sz w:val="20"/>
          <w:szCs w:val="20"/>
        </w:rPr>
      </w:pPr>
      <w:r>
        <w:rPr>
          <w:rFonts w:eastAsia="Arial" w:cs="Arial"/>
          <w:sz w:val="20"/>
          <w:szCs w:val="20"/>
        </w:rPr>
        <w:t>brokerage allocation and best execution;</w:t>
      </w:r>
    </w:p>
    <w:p>
      <w:pPr>
        <w:numPr>
          <w:ilvl w:val="0"/>
          <w:numId w:val="328"/>
        </w:numPr>
        <w:ind w:left="720" w:hanging="192"/>
        <w:jc w:val="left"/>
        <w:rPr>
          <w:rFonts w:eastAsia="Arial" w:cs="Arial"/>
          <w:sz w:val="20"/>
          <w:szCs w:val="20"/>
        </w:rPr>
      </w:pPr>
      <w:r>
        <w:rPr>
          <w:rFonts w:eastAsia="Arial" w:cs="Arial"/>
          <w:sz w:val="20"/>
          <w:szCs w:val="20"/>
        </w:rPr>
        <w:t>performance of the client's account; and</w:t>
      </w:r>
    </w:p>
    <w:p>
      <w:pPr>
        <w:numPr>
          <w:ilvl w:val="0"/>
          <w:numId w:val="328"/>
        </w:numPr>
        <w:spacing w:after="200"/>
        <w:ind w:left="720" w:hanging="192"/>
        <w:jc w:val="left"/>
        <w:rPr>
          <w:rFonts w:eastAsia="Arial" w:cs="Arial"/>
          <w:sz w:val="20"/>
          <w:szCs w:val="20"/>
        </w:rPr>
      </w:pPr>
      <w:r>
        <w:rPr>
          <w:rFonts w:eastAsia="Arial" w:cs="Arial"/>
          <w:sz w:val="20"/>
          <w:szCs w:val="20"/>
        </w:rPr>
        <w:t>valuation of client assets including fair valuations.</w:t>
      </w:r>
    </w:p>
    <w:p>
      <w:bookmarkEnd w:id="345"/>
    </w:p>
    <w:p>
      <w:pPr>
        <w:pStyle w:val="Heading3"/>
      </w:pPr>
      <w:bookmarkStart w:id="346" w:name="_Toc256000084"/>
      <w:r>
        <w:t>5.3.15 Hedge Funds</w:t>
      </w:r>
      <w:bookmarkEnd w:id="346"/>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may invest client assets in hedge funds or other private investment vehicles. Prior to making such investments, KCD will perform due diligence on the hedge fund adviser, carefully review the hedge fund's private placement memorandum, enter limited partnership or operating agreement with the hedge fund, and implement a system to monitor the hedge fund adviser and hedge fund investment.</w:t>
      </w:r>
    </w:p>
    <w:p/>
    <w:p>
      <w:pPr>
        <w:pStyle w:val="Heading4"/>
      </w:pPr>
      <w:r>
        <w:t>5.3.15.1 Limited Partnership/Operating Agreement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investing client assets in a hedge fund, KCD will have to complete, or assist the client in completing, a number of documents, including a questionnaire, subscription agreement and a limited partnership or operating agreement. With the advice of its inside or outside counsel, KCD will carefully review such documents and, if necessary, negotiate terms of the documents or side agreements on behalf of its investing clients. KCD will also explain to its clients all of their rights and limitations as hedge fund limited partners or members, including the length of time that must elapse before they can withdraw their investments.</w:t>
      </w:r>
    </w:p>
    <w:p/>
    <w:p>
      <w:pPr>
        <w:pStyle w:val="Heading4"/>
      </w:pPr>
      <w:r>
        <w:t>5.3.15.2 Monitoring Hedge Fund Investments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take the following steps when monitoring its clients' hedge fund investments:</w:t>
      </w:r>
    </w:p>
    <w:p>
      <w:pPr>
        <w:numPr>
          <w:ilvl w:val="0"/>
          <w:numId w:val="329"/>
        </w:numPr>
        <w:spacing w:before="200"/>
        <w:ind w:left="720" w:hanging="192"/>
        <w:jc w:val="left"/>
        <w:rPr>
          <w:rFonts w:eastAsia="Arial" w:cs="Arial"/>
          <w:sz w:val="20"/>
          <w:szCs w:val="20"/>
        </w:rPr>
      </w:pPr>
      <w:r>
        <w:rPr>
          <w:rFonts w:eastAsia="Arial" w:cs="Arial"/>
          <w:sz w:val="20"/>
          <w:szCs w:val="20"/>
        </w:rPr>
        <w:t xml:space="preserve">Obtaining an annual (or more frequent) certification from the hedge fund adviser regarding the following: </w:t>
      </w:r>
    </w:p>
    <w:p>
      <w:pPr>
        <w:numPr>
          <w:ilvl w:val="1"/>
          <w:numId w:val="329"/>
        </w:numPr>
        <w:ind w:left="1440" w:hanging="220"/>
        <w:jc w:val="left"/>
        <w:rPr>
          <w:rFonts w:eastAsia="Arial" w:cs="Arial"/>
          <w:sz w:val="20"/>
          <w:szCs w:val="20"/>
        </w:rPr>
      </w:pPr>
      <w:r>
        <w:rPr>
          <w:rFonts w:eastAsia="Arial" w:cs="Arial"/>
          <w:sz w:val="20"/>
          <w:szCs w:val="20"/>
        </w:rPr>
        <w:t>Material compliance matters;</w:t>
      </w:r>
    </w:p>
    <w:p>
      <w:pPr>
        <w:numPr>
          <w:ilvl w:val="1"/>
          <w:numId w:val="329"/>
        </w:numPr>
        <w:ind w:left="1440" w:hanging="220"/>
        <w:jc w:val="left"/>
        <w:rPr>
          <w:rFonts w:eastAsia="Arial" w:cs="Arial"/>
          <w:sz w:val="20"/>
          <w:szCs w:val="20"/>
        </w:rPr>
      </w:pPr>
      <w:r>
        <w:rPr>
          <w:rFonts w:eastAsia="Arial" w:cs="Arial"/>
          <w:sz w:val="20"/>
          <w:szCs w:val="20"/>
        </w:rPr>
        <w:t>Material changes to hedge fund adviser's compliance procedures;</w:t>
      </w:r>
    </w:p>
    <w:p>
      <w:pPr>
        <w:numPr>
          <w:ilvl w:val="1"/>
          <w:numId w:val="329"/>
        </w:numPr>
        <w:ind w:left="1440" w:hanging="220"/>
        <w:jc w:val="left"/>
        <w:rPr>
          <w:rFonts w:eastAsia="Arial" w:cs="Arial"/>
          <w:sz w:val="20"/>
          <w:szCs w:val="20"/>
        </w:rPr>
      </w:pPr>
      <w:r>
        <w:rPr>
          <w:rFonts w:eastAsia="Arial" w:cs="Arial"/>
          <w:sz w:val="20"/>
          <w:szCs w:val="20"/>
        </w:rPr>
        <w:t>Copy or description of the hedge fund adviser's written annual compliance review;</w:t>
      </w:r>
    </w:p>
    <w:p>
      <w:pPr>
        <w:numPr>
          <w:ilvl w:val="1"/>
          <w:numId w:val="329"/>
        </w:numPr>
        <w:ind w:left="1440" w:hanging="220"/>
        <w:jc w:val="left"/>
        <w:rPr>
          <w:rFonts w:eastAsia="Arial" w:cs="Arial"/>
          <w:sz w:val="20"/>
          <w:szCs w:val="20"/>
        </w:rPr>
      </w:pPr>
      <w:r>
        <w:rPr>
          <w:rFonts w:eastAsia="Arial" w:cs="Arial"/>
          <w:sz w:val="20"/>
          <w:szCs w:val="20"/>
        </w:rPr>
        <w:t xml:space="preserve">Description and frequency of testing methods used in connection with the hedge fund adviser's compliance review; </w:t>
      </w:r>
    </w:p>
    <w:p>
      <w:pPr>
        <w:numPr>
          <w:ilvl w:val="1"/>
          <w:numId w:val="329"/>
        </w:numPr>
        <w:ind w:left="1440" w:hanging="220"/>
        <w:jc w:val="left"/>
        <w:rPr>
          <w:rFonts w:eastAsia="Arial" w:cs="Arial"/>
          <w:sz w:val="20"/>
          <w:szCs w:val="20"/>
        </w:rPr>
      </w:pPr>
      <w:r>
        <w:rPr>
          <w:rFonts w:eastAsia="Arial" w:cs="Arial"/>
          <w:sz w:val="20"/>
          <w:szCs w:val="20"/>
        </w:rPr>
        <w:t>Material changes in key investment management personnel;</w:t>
      </w:r>
    </w:p>
    <w:p>
      <w:pPr>
        <w:numPr>
          <w:ilvl w:val="1"/>
          <w:numId w:val="329"/>
        </w:numPr>
        <w:ind w:left="1440" w:hanging="220"/>
        <w:jc w:val="left"/>
        <w:rPr>
          <w:rFonts w:eastAsia="Arial" w:cs="Arial"/>
          <w:sz w:val="20"/>
          <w:szCs w:val="20"/>
        </w:rPr>
      </w:pPr>
      <w:r>
        <w:rPr>
          <w:rFonts w:eastAsia="Arial" w:cs="Arial"/>
          <w:sz w:val="20"/>
          <w:szCs w:val="20"/>
        </w:rPr>
        <w:t xml:space="preserve">Material changes in the hedge fund adviser's investment management process; </w:t>
      </w:r>
    </w:p>
    <w:p>
      <w:pPr>
        <w:numPr>
          <w:ilvl w:val="1"/>
          <w:numId w:val="329"/>
        </w:numPr>
        <w:ind w:left="1440" w:hanging="220"/>
        <w:jc w:val="left"/>
        <w:rPr>
          <w:rFonts w:eastAsia="Arial" w:cs="Arial"/>
          <w:sz w:val="20"/>
          <w:szCs w:val="20"/>
        </w:rPr>
      </w:pPr>
      <w:r>
        <w:rPr>
          <w:rFonts w:eastAsia="Arial" w:cs="Arial"/>
          <w:sz w:val="20"/>
          <w:szCs w:val="20"/>
        </w:rPr>
        <w:t>Report on the extent to which hedge fund is being managed to its stated investment objective;</w:t>
      </w:r>
    </w:p>
    <w:p>
      <w:pPr>
        <w:numPr>
          <w:ilvl w:val="1"/>
          <w:numId w:val="329"/>
        </w:numPr>
        <w:ind w:left="1440" w:hanging="220"/>
        <w:jc w:val="left"/>
        <w:rPr>
          <w:rFonts w:eastAsia="Arial" w:cs="Arial"/>
          <w:sz w:val="20"/>
          <w:szCs w:val="20"/>
        </w:rPr>
      </w:pPr>
      <w:r>
        <w:rPr>
          <w:rFonts w:eastAsia="Arial" w:cs="Arial"/>
          <w:sz w:val="20"/>
          <w:szCs w:val="20"/>
        </w:rPr>
        <w:t>Deficiencies found by the hedge fund and hedge fund adviser's auditor(s);</w:t>
      </w:r>
    </w:p>
    <w:p>
      <w:pPr>
        <w:numPr>
          <w:ilvl w:val="1"/>
          <w:numId w:val="329"/>
        </w:numPr>
        <w:ind w:left="1440" w:hanging="220"/>
        <w:jc w:val="left"/>
        <w:rPr>
          <w:rFonts w:eastAsia="Arial" w:cs="Arial"/>
          <w:sz w:val="20"/>
          <w:szCs w:val="20"/>
        </w:rPr>
      </w:pPr>
      <w:r>
        <w:rPr>
          <w:rFonts w:eastAsia="Arial" w:cs="Arial"/>
          <w:sz w:val="20"/>
          <w:szCs w:val="20"/>
        </w:rPr>
        <w:t>Timely filing of 13F and 13G reports (if any);</w:t>
      </w:r>
    </w:p>
    <w:p>
      <w:pPr>
        <w:numPr>
          <w:ilvl w:val="1"/>
          <w:numId w:val="329"/>
        </w:numPr>
        <w:ind w:left="1440" w:hanging="220"/>
        <w:jc w:val="left"/>
        <w:rPr>
          <w:rFonts w:eastAsia="Arial" w:cs="Arial"/>
          <w:sz w:val="20"/>
          <w:szCs w:val="20"/>
        </w:rPr>
      </w:pPr>
      <w:r>
        <w:rPr>
          <w:rFonts w:eastAsia="Arial" w:cs="Arial"/>
          <w:sz w:val="20"/>
          <w:szCs w:val="20"/>
        </w:rPr>
        <w:t xml:space="preserve">Percentage of trades made for soft dollars (if any); </w:t>
      </w:r>
    </w:p>
    <w:p>
      <w:pPr>
        <w:numPr>
          <w:ilvl w:val="1"/>
          <w:numId w:val="329"/>
        </w:numPr>
        <w:ind w:left="1440" w:hanging="220"/>
        <w:jc w:val="left"/>
        <w:rPr>
          <w:rFonts w:eastAsia="Arial" w:cs="Arial"/>
          <w:sz w:val="20"/>
          <w:szCs w:val="20"/>
        </w:rPr>
      </w:pPr>
      <w:r>
        <w:rPr>
          <w:rFonts w:eastAsia="Arial" w:cs="Arial"/>
          <w:sz w:val="20"/>
          <w:szCs w:val="20"/>
        </w:rPr>
        <w:t>Five largest client relationships gained and lost during the relevant period;</w:t>
      </w:r>
    </w:p>
    <w:p>
      <w:pPr>
        <w:numPr>
          <w:ilvl w:val="1"/>
          <w:numId w:val="329"/>
        </w:numPr>
        <w:ind w:left="1440" w:hanging="220"/>
        <w:jc w:val="left"/>
        <w:rPr>
          <w:rFonts w:eastAsia="Arial" w:cs="Arial"/>
          <w:sz w:val="20"/>
          <w:szCs w:val="20"/>
        </w:rPr>
      </w:pPr>
      <w:r>
        <w:rPr>
          <w:rFonts w:eastAsia="Arial" w:cs="Arial"/>
          <w:sz w:val="20"/>
          <w:szCs w:val="20"/>
        </w:rPr>
        <w:t>Average commission rate;</w:t>
      </w:r>
    </w:p>
    <w:p>
      <w:pPr>
        <w:numPr>
          <w:ilvl w:val="1"/>
          <w:numId w:val="329"/>
        </w:numPr>
        <w:ind w:left="1440" w:hanging="220"/>
        <w:jc w:val="left"/>
        <w:rPr>
          <w:rFonts w:eastAsia="Arial" w:cs="Arial"/>
          <w:sz w:val="20"/>
          <w:szCs w:val="20"/>
        </w:rPr>
      </w:pPr>
      <w:r>
        <w:rPr>
          <w:rFonts w:eastAsia="Arial" w:cs="Arial"/>
          <w:sz w:val="20"/>
          <w:szCs w:val="20"/>
        </w:rPr>
        <w:t>Litigation and material client disputes; and</w:t>
      </w:r>
    </w:p>
    <w:p>
      <w:pPr>
        <w:numPr>
          <w:ilvl w:val="1"/>
          <w:numId w:val="329"/>
        </w:numPr>
        <w:ind w:left="1440" w:hanging="220"/>
        <w:jc w:val="left"/>
        <w:rPr>
          <w:rFonts w:eastAsia="Arial" w:cs="Arial"/>
          <w:sz w:val="20"/>
          <w:szCs w:val="20"/>
        </w:rPr>
      </w:pPr>
      <w:r>
        <w:rPr>
          <w:rFonts w:eastAsia="Arial" w:cs="Arial"/>
          <w:sz w:val="20"/>
          <w:szCs w:val="20"/>
        </w:rPr>
        <w:t>Proxy voting report.</w:t>
      </w:r>
    </w:p>
    <w:p>
      <w:pPr>
        <w:numPr>
          <w:ilvl w:val="0"/>
          <w:numId w:val="329"/>
        </w:numPr>
        <w:ind w:left="720" w:hanging="192"/>
        <w:jc w:val="left"/>
        <w:rPr>
          <w:rFonts w:eastAsia="Arial" w:cs="Arial"/>
          <w:sz w:val="20"/>
          <w:szCs w:val="20"/>
        </w:rPr>
      </w:pPr>
      <w:r>
        <w:rPr>
          <w:rFonts w:eastAsia="Arial" w:cs="Arial"/>
          <w:sz w:val="20"/>
          <w:szCs w:val="20"/>
        </w:rPr>
        <w:t xml:space="preserve">Coordinate with chief compliance officer of the hedge fund adviser; </w:t>
      </w:r>
    </w:p>
    <w:p>
      <w:pPr>
        <w:numPr>
          <w:ilvl w:val="0"/>
          <w:numId w:val="329"/>
        </w:numPr>
        <w:ind w:left="720" w:hanging="192"/>
        <w:jc w:val="left"/>
        <w:rPr>
          <w:rFonts w:eastAsia="Arial" w:cs="Arial"/>
          <w:sz w:val="20"/>
          <w:szCs w:val="20"/>
        </w:rPr>
      </w:pPr>
      <w:r>
        <w:rPr>
          <w:rFonts w:eastAsia="Arial" w:cs="Arial"/>
          <w:sz w:val="20"/>
          <w:szCs w:val="20"/>
        </w:rPr>
        <w:t>Periodically meet with, or call, the investment management, senior management and compliance personnel of the hedge fund adviser to discuss the relationship, including compliance issues;</w:t>
      </w:r>
    </w:p>
    <w:p>
      <w:pPr>
        <w:numPr>
          <w:ilvl w:val="0"/>
          <w:numId w:val="329"/>
        </w:numPr>
        <w:ind w:left="720" w:hanging="192"/>
        <w:jc w:val="left"/>
        <w:rPr>
          <w:rFonts w:eastAsia="Arial" w:cs="Arial"/>
          <w:sz w:val="20"/>
          <w:szCs w:val="20"/>
        </w:rPr>
      </w:pPr>
      <w:r>
        <w:rPr>
          <w:rFonts w:eastAsia="Arial" w:cs="Arial"/>
          <w:sz w:val="20"/>
          <w:szCs w:val="20"/>
        </w:rPr>
        <w:t>Contact the hedge fund adviser immediately if KCD detects any irregularities with respect to the hedge funds managed by the hedge fund adviser, and KCD will investigate and follow up on the irregularities until it concludes that they do not raise compliance issues;</w:t>
      </w:r>
    </w:p>
    <w:p>
      <w:pPr>
        <w:numPr>
          <w:ilvl w:val="0"/>
          <w:numId w:val="329"/>
        </w:numPr>
        <w:ind w:left="720" w:hanging="192"/>
        <w:jc w:val="left"/>
        <w:rPr>
          <w:rFonts w:eastAsia="Arial" w:cs="Arial"/>
          <w:sz w:val="20"/>
          <w:szCs w:val="20"/>
        </w:rPr>
      </w:pPr>
      <w:r>
        <w:rPr>
          <w:rFonts w:eastAsia="Arial" w:cs="Arial"/>
          <w:sz w:val="20"/>
          <w:szCs w:val="20"/>
        </w:rPr>
        <w:t>Require the hedge fund adviser to immediately notify KCD of any compliance violation involving or impacting clients of KCD and any material compliance violation, irrespective of whether it impacts KCD clients;</w:t>
      </w:r>
    </w:p>
    <w:p>
      <w:pPr>
        <w:numPr>
          <w:ilvl w:val="0"/>
          <w:numId w:val="329"/>
        </w:numPr>
        <w:ind w:left="720" w:hanging="192"/>
        <w:jc w:val="left"/>
        <w:rPr>
          <w:rFonts w:eastAsia="Arial" w:cs="Arial"/>
          <w:sz w:val="20"/>
          <w:szCs w:val="20"/>
        </w:rPr>
      </w:pPr>
      <w:r>
        <w:rPr>
          <w:rFonts w:eastAsia="Arial" w:cs="Arial"/>
          <w:sz w:val="20"/>
          <w:szCs w:val="20"/>
        </w:rPr>
        <w:t>Require the hedge fund adviser to inform KCD about any material changes to its business;</w:t>
      </w:r>
    </w:p>
    <w:p>
      <w:pPr>
        <w:numPr>
          <w:ilvl w:val="0"/>
          <w:numId w:val="329"/>
        </w:numPr>
        <w:ind w:left="720" w:hanging="192"/>
        <w:jc w:val="left"/>
        <w:rPr>
          <w:rFonts w:eastAsia="Arial" w:cs="Arial"/>
          <w:sz w:val="20"/>
          <w:szCs w:val="20"/>
        </w:rPr>
      </w:pPr>
      <w:r>
        <w:rPr>
          <w:rFonts w:eastAsia="Arial" w:cs="Arial"/>
          <w:sz w:val="20"/>
          <w:szCs w:val="20"/>
        </w:rPr>
        <w:t>Track and analyze performance of the hedge fund on a daily basis, which will necessitate implementing systems and coordinating with the hedge fund's adviser to ensure the timely reporting of the information so that KCD can measure, for example, the following:</w:t>
      </w:r>
    </w:p>
    <w:p>
      <w:pPr>
        <w:numPr>
          <w:ilvl w:val="1"/>
          <w:numId w:val="329"/>
        </w:numPr>
        <w:ind w:left="1440" w:hanging="220"/>
        <w:jc w:val="left"/>
        <w:rPr>
          <w:rFonts w:eastAsia="Arial" w:cs="Arial"/>
          <w:sz w:val="20"/>
          <w:szCs w:val="20"/>
        </w:rPr>
      </w:pPr>
      <w:r>
        <w:rPr>
          <w:rFonts w:eastAsia="Arial" w:cs="Arial"/>
          <w:sz w:val="20"/>
          <w:szCs w:val="20"/>
        </w:rPr>
        <w:t>Bias ratio;</w:t>
      </w:r>
    </w:p>
    <w:p>
      <w:pPr>
        <w:numPr>
          <w:ilvl w:val="1"/>
          <w:numId w:val="329"/>
        </w:numPr>
        <w:ind w:left="1440" w:hanging="220"/>
        <w:jc w:val="left"/>
        <w:rPr>
          <w:rFonts w:eastAsia="Arial" w:cs="Arial"/>
          <w:sz w:val="20"/>
          <w:szCs w:val="20"/>
        </w:rPr>
      </w:pPr>
      <w:r>
        <w:rPr>
          <w:rFonts w:eastAsia="Arial" w:cs="Arial"/>
          <w:sz w:val="20"/>
          <w:szCs w:val="20"/>
        </w:rPr>
        <w:t>Serial correlation; and</w:t>
      </w:r>
    </w:p>
    <w:p>
      <w:pPr>
        <w:numPr>
          <w:ilvl w:val="1"/>
          <w:numId w:val="329"/>
        </w:numPr>
        <w:ind w:left="1440" w:hanging="220"/>
        <w:jc w:val="left"/>
        <w:rPr>
          <w:rFonts w:eastAsia="Arial" w:cs="Arial"/>
          <w:sz w:val="20"/>
          <w:szCs w:val="20"/>
        </w:rPr>
      </w:pPr>
      <w:r>
        <w:rPr>
          <w:rFonts w:eastAsia="Arial" w:cs="Arial"/>
          <w:sz w:val="20"/>
          <w:szCs w:val="20"/>
        </w:rPr>
        <w:t>Skewness of the return distribution;</w:t>
      </w:r>
    </w:p>
    <w:p>
      <w:pPr>
        <w:numPr>
          <w:ilvl w:val="0"/>
          <w:numId w:val="329"/>
        </w:numPr>
        <w:ind w:left="720" w:hanging="192"/>
        <w:jc w:val="left"/>
        <w:rPr>
          <w:rFonts w:eastAsia="Arial" w:cs="Arial"/>
          <w:sz w:val="20"/>
          <w:szCs w:val="20"/>
        </w:rPr>
      </w:pPr>
      <w:r>
        <w:rPr>
          <w:rFonts w:eastAsia="Arial" w:cs="Arial"/>
          <w:sz w:val="20"/>
          <w:szCs w:val="20"/>
        </w:rPr>
        <w:t>Attempt to negotiate position-level transparency of the hedge fund's portfolio so that KCD can:</w:t>
      </w:r>
    </w:p>
    <w:p>
      <w:pPr>
        <w:numPr>
          <w:ilvl w:val="1"/>
          <w:numId w:val="329"/>
        </w:numPr>
        <w:ind w:left="1440" w:hanging="220"/>
        <w:jc w:val="left"/>
        <w:rPr>
          <w:rFonts w:eastAsia="Arial" w:cs="Arial"/>
          <w:sz w:val="20"/>
          <w:szCs w:val="20"/>
        </w:rPr>
      </w:pPr>
      <w:r>
        <w:rPr>
          <w:rFonts w:eastAsia="Arial" w:cs="Arial"/>
          <w:sz w:val="20"/>
          <w:szCs w:val="20"/>
        </w:rPr>
        <w:t>Ascertain its client's market sector exposures;</w:t>
      </w:r>
    </w:p>
    <w:p>
      <w:pPr>
        <w:numPr>
          <w:ilvl w:val="1"/>
          <w:numId w:val="329"/>
        </w:numPr>
        <w:ind w:left="1440" w:hanging="220"/>
        <w:jc w:val="left"/>
        <w:rPr>
          <w:rFonts w:eastAsia="Arial" w:cs="Arial"/>
          <w:sz w:val="20"/>
          <w:szCs w:val="20"/>
        </w:rPr>
      </w:pPr>
      <w:r>
        <w:rPr>
          <w:rFonts w:eastAsia="Arial" w:cs="Arial"/>
          <w:sz w:val="20"/>
          <w:szCs w:val="20"/>
        </w:rPr>
        <w:t>Identify position concentration across the client's entire portfolio; and</w:t>
      </w:r>
    </w:p>
    <w:p>
      <w:pPr>
        <w:numPr>
          <w:ilvl w:val="1"/>
          <w:numId w:val="329"/>
        </w:numPr>
        <w:ind w:left="1440" w:hanging="220"/>
        <w:jc w:val="left"/>
        <w:rPr>
          <w:rFonts w:eastAsia="Arial" w:cs="Arial"/>
          <w:sz w:val="20"/>
          <w:szCs w:val="20"/>
        </w:rPr>
      </w:pPr>
      <w:r>
        <w:rPr>
          <w:rFonts w:eastAsia="Arial" w:cs="Arial"/>
          <w:sz w:val="20"/>
          <w:szCs w:val="20"/>
        </w:rPr>
        <w:t>Identify individual positions that may present risks that are anomalous and inconsistent with the hedge fund adviser's stated investment strategy;</w:t>
      </w:r>
    </w:p>
    <w:p>
      <w:pPr>
        <w:numPr>
          <w:ilvl w:val="0"/>
          <w:numId w:val="329"/>
        </w:numPr>
        <w:ind w:left="720" w:hanging="192"/>
        <w:jc w:val="left"/>
        <w:rPr>
          <w:rFonts w:eastAsia="Arial" w:cs="Arial"/>
          <w:sz w:val="20"/>
          <w:szCs w:val="20"/>
        </w:rPr>
      </w:pPr>
      <w:r>
        <w:rPr>
          <w:rFonts w:eastAsia="Arial" w:cs="Arial"/>
          <w:sz w:val="20"/>
          <w:szCs w:val="20"/>
        </w:rPr>
        <w:t>Periodically evaluate the hedge fund's portfolio risk; and</w:t>
      </w:r>
    </w:p>
    <w:p>
      <w:pPr>
        <w:numPr>
          <w:ilvl w:val="0"/>
          <w:numId w:val="329"/>
        </w:numPr>
        <w:spacing w:after="200"/>
        <w:ind w:left="720" w:hanging="192"/>
        <w:jc w:val="left"/>
        <w:rPr>
          <w:rFonts w:eastAsia="Arial" w:cs="Arial"/>
          <w:sz w:val="20"/>
          <w:szCs w:val="20"/>
        </w:rPr>
      </w:pPr>
      <w:r>
        <w:rPr>
          <w:rFonts w:eastAsia="Arial" w:cs="Arial"/>
          <w:sz w:val="20"/>
          <w:szCs w:val="20"/>
        </w:rPr>
        <w:t>Review the value the hedge fund adviser is assigning to hedge fund portfolio positions, and where such valuation is inconsistent with market prices, inquire about the discrepancy, including the methodology used by the hedge fund adviser to value the security in question.</w:t>
      </w:r>
    </w:p>
    <w:p>
      <w:bookmarkStart w:id="347" w:name="Sec_Chp_061016102250093_061016102253153"/>
    </w:p>
    <w:p>
      <w:pPr>
        <w:pStyle w:val="Heading4"/>
      </w:pPr>
      <w:r>
        <w:t>5.3.15.3 Redemption Terms and Liquidity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review the redemption terms prior to investing in a hedge fund and after such investment shall monitor the liquidity of the hedge fund to ensure that it can meet redemption requests. In doing so, KCD shall:</w:t>
      </w:r>
    </w:p>
    <w:p>
      <w:pPr>
        <w:numPr>
          <w:ilvl w:val="0"/>
          <w:numId w:val="330"/>
        </w:numPr>
        <w:spacing w:before="200"/>
        <w:ind w:left="720" w:hanging="192"/>
        <w:jc w:val="left"/>
        <w:rPr>
          <w:rFonts w:eastAsia="Arial" w:cs="Arial"/>
          <w:sz w:val="20"/>
          <w:szCs w:val="20"/>
        </w:rPr>
      </w:pPr>
      <w:r>
        <w:rPr>
          <w:rFonts w:eastAsia="Arial" w:cs="Arial"/>
          <w:sz w:val="20"/>
          <w:szCs w:val="20"/>
        </w:rPr>
        <w:t>Assess the appropriateness of redemption terms;</w:t>
      </w:r>
    </w:p>
    <w:p>
      <w:pPr>
        <w:numPr>
          <w:ilvl w:val="0"/>
          <w:numId w:val="330"/>
        </w:numPr>
        <w:ind w:left="720" w:hanging="192"/>
        <w:jc w:val="left"/>
        <w:rPr>
          <w:rFonts w:eastAsia="Arial" w:cs="Arial"/>
          <w:sz w:val="20"/>
          <w:szCs w:val="20"/>
        </w:rPr>
      </w:pPr>
      <w:r>
        <w:rPr>
          <w:rFonts w:eastAsia="Arial" w:cs="Arial"/>
          <w:sz w:val="20"/>
          <w:szCs w:val="20"/>
        </w:rPr>
        <w:t>Examine the liquidity of the portfolio securities and other assets of the hedge funds, especially to see how the expected liquidity matches the redemption terms (</w:t>
      </w:r>
      <w:r>
        <w:rPr>
          <w:rFonts w:eastAsia="Arial" w:cs="Arial"/>
          <w:i/>
          <w:iCs/>
          <w:sz w:val="20"/>
          <w:szCs w:val="20"/>
        </w:rPr>
        <w:t>e.g.,</w:t>
      </w:r>
      <w:r>
        <w:rPr>
          <w:rFonts w:eastAsia="Arial" w:cs="Arial"/>
          <w:sz w:val="20"/>
          <w:szCs w:val="20"/>
        </w:rPr>
        <w:t xml:space="preserve"> a mis-match would occur if there was monthly redemption terms with short tender periods and the hedge fund would have highly illiquid assets);</w:t>
      </w:r>
    </w:p>
    <w:p>
      <w:pPr>
        <w:numPr>
          <w:ilvl w:val="0"/>
          <w:numId w:val="330"/>
        </w:numPr>
        <w:ind w:left="720" w:hanging="192"/>
        <w:jc w:val="left"/>
        <w:rPr>
          <w:rFonts w:eastAsia="Arial" w:cs="Arial"/>
          <w:sz w:val="20"/>
          <w:szCs w:val="20"/>
        </w:rPr>
      </w:pPr>
      <w:r>
        <w:rPr>
          <w:rFonts w:eastAsia="Arial" w:cs="Arial"/>
          <w:sz w:val="20"/>
          <w:szCs w:val="20"/>
        </w:rPr>
        <w:t>Inquire as to whether other hedge fund investors have more favorable redemption terms and, if so, the details about such terms; and</w:t>
      </w:r>
    </w:p>
    <w:p>
      <w:pPr>
        <w:numPr>
          <w:ilvl w:val="0"/>
          <w:numId w:val="330"/>
        </w:numPr>
        <w:spacing w:after="200"/>
        <w:ind w:left="720" w:hanging="192"/>
        <w:jc w:val="left"/>
        <w:rPr>
          <w:rFonts w:eastAsia="Arial" w:cs="Arial"/>
          <w:sz w:val="20"/>
          <w:szCs w:val="20"/>
        </w:rPr>
      </w:pPr>
      <w:r>
        <w:rPr>
          <w:rFonts w:eastAsia="Arial" w:cs="Arial"/>
          <w:sz w:val="20"/>
          <w:szCs w:val="20"/>
        </w:rPr>
        <w:t>Monitor the ongoing liquidity of the hedge fund's portfolio and the hedge fund adviser's ability to meet redemption requests of other investors.</w:t>
      </w:r>
    </w:p>
    <w:p>
      <w:bookmarkEnd w:id="347"/>
      <w:bookmarkStart w:id="348" w:name="Sec_Chp_061016102250093_061016102253154"/>
    </w:p>
    <w:p>
      <w:pPr>
        <w:pStyle w:val="Heading4"/>
      </w:pPr>
      <w:r>
        <w:t>5.3.15.4 Onsite Visits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when feasible shall make onsite visits to advisers of hedge funds that clients invest in and during such visit shall:</w:t>
      </w:r>
    </w:p>
    <w:p>
      <w:pPr>
        <w:numPr>
          <w:ilvl w:val="0"/>
          <w:numId w:val="331"/>
        </w:numPr>
        <w:spacing w:before="200"/>
        <w:ind w:left="720" w:hanging="192"/>
        <w:jc w:val="left"/>
        <w:rPr>
          <w:rFonts w:eastAsia="Arial" w:cs="Arial"/>
          <w:sz w:val="20"/>
          <w:szCs w:val="20"/>
        </w:rPr>
      </w:pPr>
      <w:r>
        <w:rPr>
          <w:rFonts w:eastAsia="Arial" w:cs="Arial"/>
          <w:sz w:val="20"/>
          <w:szCs w:val="20"/>
        </w:rPr>
        <w:t>Ask basic due diligence questions covering investment, risk and operational issues;</w:t>
      </w:r>
    </w:p>
    <w:p>
      <w:pPr>
        <w:numPr>
          <w:ilvl w:val="0"/>
          <w:numId w:val="331"/>
        </w:numPr>
        <w:ind w:left="720" w:hanging="192"/>
        <w:jc w:val="left"/>
        <w:rPr>
          <w:rFonts w:eastAsia="Arial" w:cs="Arial"/>
          <w:sz w:val="20"/>
          <w:szCs w:val="20"/>
        </w:rPr>
      </w:pPr>
      <w:r>
        <w:rPr>
          <w:rFonts w:eastAsia="Arial" w:cs="Arial"/>
          <w:sz w:val="20"/>
          <w:szCs w:val="20"/>
        </w:rPr>
        <w:t>Attempt to understand the culture of the hedge fund adviser;</w:t>
      </w:r>
    </w:p>
    <w:p>
      <w:pPr>
        <w:numPr>
          <w:ilvl w:val="0"/>
          <w:numId w:val="331"/>
        </w:numPr>
        <w:ind w:left="720" w:hanging="192"/>
        <w:jc w:val="left"/>
        <w:rPr>
          <w:rFonts w:eastAsia="Arial" w:cs="Arial"/>
          <w:sz w:val="20"/>
          <w:szCs w:val="20"/>
        </w:rPr>
      </w:pPr>
      <w:r>
        <w:rPr>
          <w:rFonts w:eastAsia="Arial" w:cs="Arial"/>
          <w:sz w:val="20"/>
          <w:szCs w:val="20"/>
        </w:rPr>
        <w:t>Look for control weaknesses;</w:t>
      </w:r>
    </w:p>
    <w:p>
      <w:pPr>
        <w:numPr>
          <w:ilvl w:val="0"/>
          <w:numId w:val="331"/>
        </w:numPr>
        <w:ind w:left="720" w:hanging="192"/>
        <w:jc w:val="left"/>
        <w:rPr>
          <w:rFonts w:eastAsia="Arial" w:cs="Arial"/>
          <w:sz w:val="20"/>
          <w:szCs w:val="20"/>
        </w:rPr>
      </w:pPr>
      <w:r>
        <w:rPr>
          <w:rFonts w:eastAsia="Arial" w:cs="Arial"/>
          <w:sz w:val="20"/>
          <w:szCs w:val="20"/>
        </w:rPr>
        <w:t>Request interviews with portfolio managers and other key personnel; and</w:t>
      </w:r>
    </w:p>
    <w:p>
      <w:pPr>
        <w:numPr>
          <w:ilvl w:val="0"/>
          <w:numId w:val="331"/>
        </w:numPr>
        <w:spacing w:after="200"/>
        <w:ind w:left="720" w:hanging="192"/>
        <w:jc w:val="left"/>
        <w:rPr>
          <w:rFonts w:eastAsia="Arial" w:cs="Arial"/>
          <w:sz w:val="20"/>
          <w:szCs w:val="20"/>
        </w:rPr>
      </w:pPr>
      <w:r>
        <w:rPr>
          <w:rFonts w:eastAsia="Arial" w:cs="Arial"/>
          <w:sz w:val="20"/>
          <w:szCs w:val="20"/>
        </w:rPr>
        <w:t>Review documents and other records.</w:t>
      </w:r>
    </w:p>
    <w:p>
      <w:bookmarkEnd w:id="348"/>
      <w:bookmarkStart w:id="349" w:name="Sec_Chp_061016102250093_061016102253155"/>
    </w:p>
    <w:p>
      <w:pPr>
        <w:pStyle w:val="Heading4"/>
      </w:pPr>
      <w:r>
        <w:t>5.3.15.5 Signals for Concern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look for certain indicators suggesting risk and other concerns with respect to the advisers of hedge funds that clients invest in, including:</w:t>
      </w:r>
    </w:p>
    <w:p>
      <w:pPr>
        <w:pStyle w:val="normal0"/>
        <w:spacing w:before="200" w:after="200"/>
        <w:rPr>
          <w:rFonts w:eastAsia="Arial" w:cs="Arial"/>
          <w:sz w:val="20"/>
          <w:szCs w:val="20"/>
        </w:rPr>
      </w:pPr>
      <w:r>
        <w:rPr>
          <w:rFonts w:eastAsia="Arial" w:cs="Arial"/>
          <w:b/>
          <w:bCs/>
          <w:sz w:val="20"/>
          <w:szCs w:val="20"/>
        </w:rPr>
        <w:t>Investments</w:t>
      </w:r>
    </w:p>
    <w:p>
      <w:pPr>
        <w:numPr>
          <w:ilvl w:val="0"/>
          <w:numId w:val="332"/>
        </w:numPr>
        <w:spacing w:before="200"/>
        <w:ind w:left="720" w:hanging="192"/>
        <w:jc w:val="left"/>
        <w:rPr>
          <w:rFonts w:eastAsia="Arial" w:cs="Arial"/>
          <w:sz w:val="20"/>
          <w:szCs w:val="20"/>
        </w:rPr>
      </w:pPr>
      <w:r>
        <w:rPr>
          <w:rFonts w:eastAsia="Arial" w:cs="Arial"/>
          <w:sz w:val="20"/>
          <w:szCs w:val="20"/>
        </w:rPr>
        <w:t>Advisers that are unwilling to provide requisite transparency regarding portfolio holdings to the adviser;</w:t>
      </w:r>
    </w:p>
    <w:p>
      <w:pPr>
        <w:numPr>
          <w:ilvl w:val="0"/>
          <w:numId w:val="332"/>
        </w:numPr>
        <w:ind w:left="720" w:hanging="192"/>
        <w:jc w:val="left"/>
        <w:rPr>
          <w:rFonts w:eastAsia="Arial" w:cs="Arial"/>
          <w:sz w:val="20"/>
          <w:szCs w:val="20"/>
        </w:rPr>
      </w:pPr>
      <w:r>
        <w:rPr>
          <w:rFonts w:eastAsia="Arial" w:cs="Arial"/>
          <w:sz w:val="20"/>
          <w:szCs w:val="20"/>
        </w:rPr>
        <w:t>Performance returns that do not correlate with known factors associated with the adviser's strategy, as described by the adviser;</w:t>
      </w:r>
    </w:p>
    <w:p>
      <w:pPr>
        <w:numPr>
          <w:ilvl w:val="0"/>
          <w:numId w:val="332"/>
        </w:numPr>
        <w:ind w:left="720" w:hanging="192"/>
        <w:jc w:val="left"/>
        <w:rPr>
          <w:rFonts w:eastAsia="Arial" w:cs="Arial"/>
          <w:sz w:val="20"/>
          <w:szCs w:val="20"/>
        </w:rPr>
      </w:pPr>
      <w:r>
        <w:rPr>
          <w:rFonts w:eastAsia="Arial" w:cs="Arial"/>
          <w:sz w:val="20"/>
          <w:szCs w:val="20"/>
        </w:rPr>
        <w:t>Lack of clear research and investment processes; and</w:t>
      </w:r>
    </w:p>
    <w:p>
      <w:pPr>
        <w:numPr>
          <w:ilvl w:val="0"/>
          <w:numId w:val="332"/>
        </w:numPr>
        <w:spacing w:after="200"/>
        <w:ind w:left="720" w:hanging="192"/>
        <w:jc w:val="left"/>
        <w:rPr>
          <w:rFonts w:eastAsia="Arial" w:cs="Arial"/>
          <w:sz w:val="20"/>
          <w:szCs w:val="20"/>
        </w:rPr>
      </w:pPr>
      <w:r>
        <w:rPr>
          <w:rFonts w:eastAsia="Arial" w:cs="Arial"/>
          <w:sz w:val="20"/>
          <w:szCs w:val="20"/>
        </w:rPr>
        <w:t>Lack of an adequate control environment and segregation of duties between investment activities and business unit controllers (</w:t>
      </w:r>
      <w:r>
        <w:rPr>
          <w:rFonts w:eastAsia="Arial" w:cs="Arial"/>
          <w:i/>
          <w:iCs/>
          <w:sz w:val="20"/>
          <w:szCs w:val="20"/>
        </w:rPr>
        <w:t>e.g.,</w:t>
      </w:r>
      <w:r>
        <w:rPr>
          <w:rFonts w:eastAsia="Arial" w:cs="Arial"/>
          <w:sz w:val="20"/>
          <w:szCs w:val="20"/>
        </w:rPr>
        <w:t xml:space="preserve"> managers dominating the valuation process). </w:t>
      </w:r>
    </w:p>
    <w:p>
      <w:pPr>
        <w:pStyle w:val="normal0"/>
        <w:spacing w:before="200" w:after="200"/>
        <w:rPr>
          <w:rFonts w:eastAsia="Arial" w:cs="Arial"/>
          <w:sz w:val="20"/>
          <w:szCs w:val="20"/>
        </w:rPr>
      </w:pPr>
      <w:r>
        <w:rPr>
          <w:rFonts w:eastAsia="Arial" w:cs="Arial"/>
          <w:b/>
          <w:bCs/>
          <w:sz w:val="20"/>
          <w:szCs w:val="20"/>
        </w:rPr>
        <w:t>Risk Management</w:t>
      </w:r>
    </w:p>
    <w:p>
      <w:pPr>
        <w:numPr>
          <w:ilvl w:val="0"/>
          <w:numId w:val="333"/>
        </w:numPr>
        <w:spacing w:before="200"/>
        <w:ind w:left="720" w:hanging="192"/>
        <w:jc w:val="left"/>
        <w:rPr>
          <w:rFonts w:eastAsia="Arial" w:cs="Arial"/>
          <w:sz w:val="20"/>
          <w:szCs w:val="20"/>
        </w:rPr>
      </w:pPr>
      <w:r>
        <w:rPr>
          <w:rFonts w:eastAsia="Arial" w:cs="Arial"/>
          <w:sz w:val="20"/>
          <w:szCs w:val="20"/>
        </w:rPr>
        <w:t>Portfolio holdings that show a high concentration in a single investment position, or a heavy concentration in a single sector, for a purportedly diversified investment strategy;</w:t>
      </w:r>
    </w:p>
    <w:p>
      <w:pPr>
        <w:numPr>
          <w:ilvl w:val="0"/>
          <w:numId w:val="333"/>
        </w:numPr>
        <w:ind w:left="720" w:hanging="192"/>
        <w:jc w:val="left"/>
        <w:rPr>
          <w:rFonts w:eastAsia="Arial" w:cs="Arial"/>
          <w:sz w:val="20"/>
          <w:szCs w:val="20"/>
        </w:rPr>
      </w:pPr>
      <w:r>
        <w:rPr>
          <w:rFonts w:eastAsia="Arial" w:cs="Arial"/>
          <w:sz w:val="20"/>
          <w:szCs w:val="20"/>
        </w:rPr>
        <w:t>Adviser personnel that appear to be insufficiently knowledgeable about a sophisticated strategy they are purportedly implementing;</w:t>
      </w:r>
    </w:p>
    <w:p>
      <w:pPr>
        <w:numPr>
          <w:ilvl w:val="0"/>
          <w:numId w:val="333"/>
        </w:numPr>
        <w:ind w:left="720" w:hanging="192"/>
        <w:jc w:val="left"/>
        <w:rPr>
          <w:rFonts w:eastAsia="Arial" w:cs="Arial"/>
          <w:sz w:val="20"/>
          <w:szCs w:val="20"/>
        </w:rPr>
      </w:pPr>
      <w:r>
        <w:rPr>
          <w:rFonts w:eastAsia="Arial" w:cs="Arial"/>
          <w:sz w:val="20"/>
          <w:szCs w:val="20"/>
        </w:rPr>
        <w:t>Adviser investment style that appears to have drifted over time; and</w:t>
      </w:r>
    </w:p>
    <w:p>
      <w:pPr>
        <w:numPr>
          <w:ilvl w:val="0"/>
          <w:numId w:val="333"/>
        </w:numPr>
        <w:spacing w:after="200"/>
        <w:ind w:left="720" w:hanging="192"/>
        <w:jc w:val="left"/>
        <w:rPr>
          <w:rFonts w:eastAsia="Arial" w:cs="Arial"/>
          <w:sz w:val="20"/>
          <w:szCs w:val="20"/>
        </w:rPr>
      </w:pPr>
      <w:r>
        <w:rPr>
          <w:rFonts w:eastAsia="Arial" w:cs="Arial"/>
          <w:sz w:val="20"/>
          <w:szCs w:val="20"/>
        </w:rPr>
        <w:t>Investments, as described by the adviser, that appear to be overly complex or opaque.</w:t>
      </w:r>
    </w:p>
    <w:p>
      <w:pPr>
        <w:pStyle w:val="normal0"/>
        <w:spacing w:before="200" w:after="200"/>
        <w:rPr>
          <w:rFonts w:eastAsia="Arial" w:cs="Arial"/>
          <w:sz w:val="20"/>
          <w:szCs w:val="20"/>
        </w:rPr>
      </w:pPr>
      <w:r>
        <w:rPr>
          <w:rFonts w:eastAsia="Arial" w:cs="Arial"/>
          <w:b/>
          <w:bCs/>
          <w:sz w:val="20"/>
          <w:szCs w:val="20"/>
        </w:rPr>
        <w:t>Operational</w:t>
      </w:r>
    </w:p>
    <w:p>
      <w:pPr>
        <w:numPr>
          <w:ilvl w:val="0"/>
          <w:numId w:val="334"/>
        </w:numPr>
        <w:spacing w:before="200"/>
        <w:ind w:left="720" w:hanging="192"/>
        <w:jc w:val="left"/>
        <w:rPr>
          <w:rFonts w:eastAsia="Arial" w:cs="Arial"/>
          <w:sz w:val="20"/>
          <w:szCs w:val="20"/>
        </w:rPr>
      </w:pPr>
      <w:r>
        <w:rPr>
          <w:rFonts w:eastAsia="Arial" w:cs="Arial"/>
          <w:sz w:val="20"/>
          <w:szCs w:val="20"/>
        </w:rPr>
        <w:t>Lack of a third-party administrator or an unknown/unqualified administrator;</w:t>
      </w:r>
    </w:p>
    <w:p>
      <w:pPr>
        <w:numPr>
          <w:ilvl w:val="0"/>
          <w:numId w:val="334"/>
        </w:numPr>
        <w:ind w:left="720" w:hanging="192"/>
        <w:jc w:val="left"/>
        <w:rPr>
          <w:rFonts w:eastAsia="Arial" w:cs="Arial"/>
          <w:sz w:val="20"/>
          <w:szCs w:val="20"/>
        </w:rPr>
      </w:pPr>
      <w:r>
        <w:rPr>
          <w:rFonts w:eastAsia="Arial" w:cs="Arial"/>
          <w:sz w:val="20"/>
          <w:szCs w:val="20"/>
        </w:rPr>
        <w:t>Use of an auditor that may not have significant experience auditing hedge funds or is an unknown auditor;</w:t>
      </w:r>
    </w:p>
    <w:p>
      <w:pPr>
        <w:numPr>
          <w:ilvl w:val="0"/>
          <w:numId w:val="334"/>
        </w:numPr>
        <w:ind w:left="720" w:hanging="192"/>
        <w:jc w:val="left"/>
        <w:rPr>
          <w:rFonts w:eastAsia="Arial" w:cs="Arial"/>
          <w:sz w:val="20"/>
          <w:szCs w:val="20"/>
        </w:rPr>
      </w:pPr>
      <w:r>
        <w:rPr>
          <w:rFonts w:eastAsia="Arial" w:cs="Arial"/>
          <w:sz w:val="20"/>
          <w:szCs w:val="20"/>
        </w:rPr>
        <w:t>Multiple changes in key service providers, such as auditors, prime brokers, or administrators;</w:t>
      </w:r>
    </w:p>
    <w:p>
      <w:pPr>
        <w:numPr>
          <w:ilvl w:val="0"/>
          <w:numId w:val="334"/>
        </w:numPr>
        <w:ind w:left="720" w:hanging="192"/>
        <w:jc w:val="left"/>
        <w:rPr>
          <w:rFonts w:eastAsia="Arial" w:cs="Arial"/>
          <w:sz w:val="20"/>
          <w:szCs w:val="20"/>
        </w:rPr>
      </w:pPr>
      <w:r>
        <w:rPr>
          <w:rFonts w:eastAsia="Arial" w:cs="Arial"/>
          <w:sz w:val="20"/>
          <w:szCs w:val="20"/>
        </w:rPr>
        <w:t>Concerns identified in audited financial statements such as qualified opinions, related party transactions, or valuation concerns;</w:t>
      </w:r>
    </w:p>
    <w:p>
      <w:pPr>
        <w:numPr>
          <w:ilvl w:val="0"/>
          <w:numId w:val="334"/>
        </w:numPr>
        <w:ind w:left="720" w:hanging="192"/>
        <w:jc w:val="left"/>
        <w:rPr>
          <w:rFonts w:eastAsia="Arial" w:cs="Arial"/>
          <w:sz w:val="20"/>
          <w:szCs w:val="20"/>
        </w:rPr>
      </w:pPr>
      <w:r>
        <w:rPr>
          <w:rFonts w:eastAsia="Arial" w:cs="Arial"/>
          <w:sz w:val="20"/>
          <w:szCs w:val="20"/>
        </w:rPr>
        <w:t>Background checks that revealed unfavorable regulatory history, bankruptcy filings, or serious legal issues of the adviser or key personnel;</w:t>
      </w:r>
    </w:p>
    <w:p>
      <w:pPr>
        <w:numPr>
          <w:ilvl w:val="0"/>
          <w:numId w:val="334"/>
        </w:numPr>
        <w:ind w:left="720" w:hanging="192"/>
        <w:jc w:val="left"/>
        <w:rPr>
          <w:rFonts w:eastAsia="Arial" w:cs="Arial"/>
          <w:sz w:val="20"/>
          <w:szCs w:val="20"/>
        </w:rPr>
      </w:pPr>
      <w:r>
        <w:rPr>
          <w:rFonts w:eastAsia="Arial" w:cs="Arial"/>
          <w:sz w:val="20"/>
          <w:szCs w:val="20"/>
        </w:rPr>
        <w:t>Identification of undisclosed potential conflicts of interests, such as compensation arrangements or business activities with affiliates;</w:t>
      </w:r>
    </w:p>
    <w:p>
      <w:pPr>
        <w:numPr>
          <w:ilvl w:val="0"/>
          <w:numId w:val="334"/>
        </w:numPr>
        <w:ind w:left="720" w:hanging="192"/>
        <w:jc w:val="left"/>
        <w:rPr>
          <w:rFonts w:eastAsia="Arial" w:cs="Arial"/>
          <w:sz w:val="20"/>
          <w:szCs w:val="20"/>
        </w:rPr>
      </w:pPr>
      <w:r>
        <w:rPr>
          <w:rFonts w:eastAsia="Arial" w:cs="Arial"/>
          <w:sz w:val="20"/>
          <w:szCs w:val="20"/>
        </w:rPr>
        <w:t>Insufficient operational infrastructure, including an inadequate compliance program; and</w:t>
      </w:r>
    </w:p>
    <w:p>
      <w:pPr>
        <w:numPr>
          <w:ilvl w:val="0"/>
          <w:numId w:val="334"/>
        </w:numPr>
        <w:spacing w:after="200"/>
        <w:ind w:left="720" w:hanging="192"/>
        <w:jc w:val="left"/>
        <w:rPr>
          <w:rFonts w:eastAsia="Arial" w:cs="Arial"/>
          <w:sz w:val="20"/>
          <w:szCs w:val="20"/>
        </w:rPr>
      </w:pPr>
      <w:r>
        <w:rPr>
          <w:rFonts w:eastAsia="Arial" w:cs="Arial"/>
          <w:sz w:val="20"/>
          <w:szCs w:val="20"/>
        </w:rPr>
        <w:t xml:space="preserve">Lack of a robust fair valuation process. </w:t>
      </w:r>
    </w:p>
    <w:p>
      <w:bookmarkEnd w:id="349"/>
    </w:p>
    <w:p>
      <w:pPr>
        <w:pStyle w:val="Heading3"/>
      </w:pPr>
      <w:bookmarkStart w:id="350" w:name="_Toc256000085"/>
      <w:r>
        <w:t>5.3.16 Due Diligence</w:t>
      </w:r>
      <w:bookmarkEnd w:id="350"/>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entering into a sub-advisory arrangement or investing client assets in any unaffiliated hedge fund, KCD will conduct the following areas of due diligence inquiry on the sub-adviser or hedge fund adviser candidates ("Adviser"). Due diligence will be tailored to the circumstances and objectives of the use of a particular sub-adviser or investment in a particular hedge fund. It is recognized that KCD may be unsuccessful in obtaining all of the requested information. With respect to any information not provided (</w:t>
      </w:r>
      <w:r>
        <w:rPr>
          <w:rFonts w:eastAsia="Arial" w:cs="Arial"/>
          <w:i/>
          <w:iCs/>
          <w:sz w:val="20"/>
          <w:szCs w:val="20"/>
        </w:rPr>
        <w:t>e.g.,</w:t>
      </w:r>
      <w:r>
        <w:rPr>
          <w:rFonts w:eastAsia="Arial" w:cs="Arial"/>
          <w:sz w:val="20"/>
          <w:szCs w:val="20"/>
        </w:rPr>
        <w:t xml:space="preserve"> letters from regulatory agencies), the Chief Compliance Officer will review the explanation for not providing the information and factor that into his or her analysis regarding the overall decision of whether KCD should do business with the Adviser.</w:t>
      </w:r>
    </w:p>
    <w:p/>
    <w:p>
      <w:pPr>
        <w:pStyle w:val="Heading4"/>
      </w:pPr>
      <w:r>
        <w:t>5.3.16.1 Documents</w:t>
      </w:r>
    </w:p>
    <w:p/>
    <w:p>
      <w:pPr>
        <w:rPr>
          <w:rFonts w:eastAsia="Arial" w:cs="Arial"/>
          <w:sz w:val="16"/>
          <w:szCs w:val="16"/>
        </w:rPr>
      </w:pPr>
      <w:r>
        <w:rPr>
          <w:rFonts w:eastAsia="Arial" w:cs="Arial"/>
          <w:sz w:val="16"/>
          <w:szCs w:val="16"/>
        </w:rPr>
        <w:t>[Investment Advisers Act of 1940 Rule 206(4)-7]</w:t>
      </w:r>
    </w:p>
    <w:p/>
    <w:p>
      <w:pPr>
        <w:pStyle w:val="normal0"/>
        <w:spacing w:after="200"/>
        <w:rPr>
          <w:rFonts w:eastAsia="Arial" w:cs="Arial"/>
          <w:sz w:val="20"/>
          <w:szCs w:val="20"/>
        </w:rPr>
      </w:pPr>
      <w:r>
        <w:rPr>
          <w:rFonts w:eastAsia="Arial" w:cs="Arial"/>
          <w:sz w:val="20"/>
          <w:szCs w:val="20"/>
        </w:rPr>
        <w:t xml:space="preserve">KCD will obtain and review: </w:t>
      </w:r>
    </w:p>
    <w:p>
      <w:pPr>
        <w:numPr>
          <w:ilvl w:val="0"/>
          <w:numId w:val="335"/>
        </w:numPr>
        <w:spacing w:before="200"/>
        <w:ind w:left="720" w:hanging="192"/>
        <w:jc w:val="left"/>
        <w:rPr>
          <w:rFonts w:eastAsia="Arial" w:cs="Arial"/>
          <w:sz w:val="20"/>
          <w:szCs w:val="20"/>
        </w:rPr>
      </w:pPr>
      <w:r>
        <w:rPr>
          <w:rFonts w:eastAsia="Arial" w:cs="Arial"/>
          <w:sz w:val="20"/>
          <w:szCs w:val="20"/>
        </w:rPr>
        <w:t>the Adviser's Form ADV (including all schedules);</w:t>
      </w:r>
    </w:p>
    <w:p>
      <w:pPr>
        <w:numPr>
          <w:ilvl w:val="0"/>
          <w:numId w:val="335"/>
        </w:numPr>
        <w:ind w:left="720" w:hanging="192"/>
        <w:jc w:val="left"/>
        <w:rPr>
          <w:rFonts w:eastAsia="Arial" w:cs="Arial"/>
          <w:sz w:val="20"/>
          <w:szCs w:val="20"/>
        </w:rPr>
      </w:pPr>
      <w:r>
        <w:rPr>
          <w:rFonts w:eastAsia="Arial" w:cs="Arial"/>
          <w:sz w:val="20"/>
          <w:szCs w:val="20"/>
        </w:rPr>
        <w:t>Form 13Ds, 13Fs and 13Gs;</w:t>
      </w:r>
    </w:p>
    <w:p>
      <w:pPr>
        <w:numPr>
          <w:ilvl w:val="0"/>
          <w:numId w:val="335"/>
        </w:numPr>
        <w:ind w:left="720" w:hanging="192"/>
        <w:jc w:val="left"/>
        <w:rPr>
          <w:rFonts w:eastAsia="Arial" w:cs="Arial"/>
          <w:sz w:val="20"/>
          <w:szCs w:val="20"/>
        </w:rPr>
      </w:pPr>
      <w:r>
        <w:rPr>
          <w:rFonts w:eastAsia="Arial" w:cs="Arial"/>
          <w:sz w:val="20"/>
          <w:szCs w:val="20"/>
        </w:rPr>
        <w:t>relevant sections in the Adviser's Compliance Manual (including its Code of Ethics and Insider Trading Procedures);</w:t>
      </w:r>
    </w:p>
    <w:p>
      <w:pPr>
        <w:numPr>
          <w:ilvl w:val="0"/>
          <w:numId w:val="335"/>
        </w:numPr>
        <w:ind w:left="720" w:hanging="192"/>
        <w:jc w:val="left"/>
        <w:rPr>
          <w:rFonts w:eastAsia="Arial" w:cs="Arial"/>
          <w:sz w:val="20"/>
          <w:szCs w:val="20"/>
        </w:rPr>
      </w:pPr>
      <w:r>
        <w:rPr>
          <w:rFonts w:eastAsia="Arial" w:cs="Arial"/>
          <w:sz w:val="20"/>
          <w:szCs w:val="20"/>
        </w:rPr>
        <w:t>copies of all letters and other correspondence from regulators received by the Adviser in the last ten years;</w:t>
      </w:r>
    </w:p>
    <w:p>
      <w:pPr>
        <w:numPr>
          <w:ilvl w:val="0"/>
          <w:numId w:val="335"/>
        </w:numPr>
        <w:ind w:left="720" w:hanging="192"/>
        <w:jc w:val="left"/>
        <w:rPr>
          <w:rFonts w:eastAsia="Arial" w:cs="Arial"/>
          <w:sz w:val="20"/>
          <w:szCs w:val="20"/>
        </w:rPr>
      </w:pPr>
      <w:r>
        <w:rPr>
          <w:rFonts w:eastAsia="Arial" w:cs="Arial"/>
          <w:sz w:val="20"/>
          <w:szCs w:val="20"/>
        </w:rPr>
        <w:t>list of principle service providers;</w:t>
      </w:r>
    </w:p>
    <w:p>
      <w:pPr>
        <w:numPr>
          <w:ilvl w:val="0"/>
          <w:numId w:val="335"/>
        </w:numPr>
        <w:ind w:left="720" w:hanging="192"/>
        <w:jc w:val="left"/>
        <w:rPr>
          <w:rFonts w:eastAsia="Arial" w:cs="Arial"/>
          <w:sz w:val="20"/>
          <w:szCs w:val="20"/>
        </w:rPr>
      </w:pPr>
      <w:r>
        <w:rPr>
          <w:rFonts w:eastAsia="Arial" w:cs="Arial"/>
          <w:sz w:val="20"/>
          <w:szCs w:val="20"/>
        </w:rPr>
        <w:t>SAS 70 reports;</w:t>
      </w:r>
    </w:p>
    <w:p>
      <w:pPr>
        <w:numPr>
          <w:ilvl w:val="0"/>
          <w:numId w:val="335"/>
        </w:numPr>
        <w:ind w:left="720" w:hanging="192"/>
        <w:jc w:val="left"/>
        <w:rPr>
          <w:rFonts w:eastAsia="Arial" w:cs="Arial"/>
          <w:sz w:val="20"/>
          <w:szCs w:val="20"/>
        </w:rPr>
      </w:pPr>
      <w:r>
        <w:rPr>
          <w:rFonts w:eastAsia="Arial" w:cs="Arial"/>
          <w:sz w:val="20"/>
          <w:szCs w:val="20"/>
        </w:rPr>
        <w:t>third-party reports on the Adviser; and</w:t>
      </w:r>
    </w:p>
    <w:p>
      <w:pPr>
        <w:numPr>
          <w:ilvl w:val="0"/>
          <w:numId w:val="335"/>
        </w:numPr>
        <w:spacing w:after="200"/>
        <w:ind w:left="720" w:hanging="192"/>
        <w:jc w:val="left"/>
        <w:rPr>
          <w:rFonts w:eastAsia="Arial" w:cs="Arial"/>
          <w:sz w:val="20"/>
          <w:szCs w:val="20"/>
        </w:rPr>
      </w:pPr>
      <w:r>
        <w:rPr>
          <w:rFonts w:eastAsia="Arial" w:cs="Arial"/>
          <w:sz w:val="20"/>
          <w:szCs w:val="20"/>
        </w:rPr>
        <w:t>Rule 206(4)-7 or other annual compliance reviews.</w:t>
      </w:r>
    </w:p>
    <w:p/>
    <w:p>
      <w:pPr>
        <w:pStyle w:val="Heading4"/>
      </w:pPr>
      <w:r>
        <w:t>5.3.16.2 Investment Management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obtain and review the Adviser's:</w:t>
      </w:r>
    </w:p>
    <w:p>
      <w:pPr>
        <w:numPr>
          <w:ilvl w:val="0"/>
          <w:numId w:val="336"/>
        </w:numPr>
        <w:spacing w:before="200"/>
        <w:ind w:left="720" w:hanging="192"/>
        <w:jc w:val="left"/>
        <w:rPr>
          <w:rFonts w:eastAsia="Arial" w:cs="Arial"/>
          <w:sz w:val="20"/>
          <w:szCs w:val="20"/>
        </w:rPr>
      </w:pPr>
      <w:r>
        <w:rPr>
          <w:rFonts w:eastAsia="Arial" w:cs="Arial"/>
          <w:sz w:val="20"/>
          <w:szCs w:val="20"/>
        </w:rPr>
        <w:t>investment philosophy, strategy and methodology. Special focus will be placed on fully understanding the strategy;</w:t>
      </w:r>
    </w:p>
    <w:p>
      <w:pPr>
        <w:numPr>
          <w:ilvl w:val="0"/>
          <w:numId w:val="336"/>
        </w:numPr>
        <w:ind w:left="720" w:hanging="192"/>
        <w:jc w:val="left"/>
        <w:rPr>
          <w:rFonts w:eastAsia="Arial" w:cs="Arial"/>
          <w:sz w:val="20"/>
          <w:szCs w:val="20"/>
        </w:rPr>
      </w:pPr>
      <w:r>
        <w:rPr>
          <w:rFonts w:eastAsia="Arial" w:cs="Arial"/>
          <w:sz w:val="20"/>
          <w:szCs w:val="20"/>
        </w:rPr>
        <w:t>information about the relevant portfolio managers and analysts, the chief compliance officer and senior management;</w:t>
      </w:r>
    </w:p>
    <w:p>
      <w:pPr>
        <w:numPr>
          <w:ilvl w:val="0"/>
          <w:numId w:val="336"/>
        </w:numPr>
        <w:ind w:left="720" w:hanging="192"/>
        <w:jc w:val="left"/>
        <w:rPr>
          <w:rFonts w:eastAsia="Arial" w:cs="Arial"/>
          <w:sz w:val="20"/>
          <w:szCs w:val="20"/>
        </w:rPr>
      </w:pPr>
      <w:r>
        <w:rPr>
          <w:rFonts w:eastAsia="Arial" w:cs="Arial"/>
          <w:sz w:val="20"/>
          <w:szCs w:val="20"/>
        </w:rPr>
        <w:t>broker-dealer selection criteria and ongoing monitoring practices, execution quality and soft dollar, directed brokerage and step-out practices;</w:t>
      </w:r>
    </w:p>
    <w:p>
      <w:pPr>
        <w:numPr>
          <w:ilvl w:val="0"/>
          <w:numId w:val="336"/>
        </w:numPr>
        <w:ind w:left="720" w:hanging="192"/>
        <w:jc w:val="left"/>
        <w:rPr>
          <w:rFonts w:eastAsia="Arial" w:cs="Arial"/>
          <w:sz w:val="20"/>
          <w:szCs w:val="20"/>
        </w:rPr>
      </w:pPr>
      <w:r>
        <w:rPr>
          <w:rFonts w:eastAsia="Arial" w:cs="Arial"/>
          <w:sz w:val="20"/>
          <w:szCs w:val="20"/>
        </w:rPr>
        <w:t xml:space="preserve">portfolio manager turnover; </w:t>
      </w:r>
    </w:p>
    <w:p>
      <w:pPr>
        <w:numPr>
          <w:ilvl w:val="0"/>
          <w:numId w:val="336"/>
        </w:numPr>
        <w:ind w:left="720" w:hanging="192"/>
        <w:jc w:val="left"/>
        <w:rPr>
          <w:rFonts w:eastAsia="Arial" w:cs="Arial"/>
          <w:sz w:val="20"/>
          <w:szCs w:val="20"/>
        </w:rPr>
      </w:pPr>
      <w:r>
        <w:rPr>
          <w:rFonts w:eastAsia="Arial" w:cs="Arial"/>
          <w:sz w:val="20"/>
          <w:szCs w:val="20"/>
        </w:rPr>
        <w:t xml:space="preserve">research sources; </w:t>
      </w:r>
    </w:p>
    <w:p>
      <w:pPr>
        <w:numPr>
          <w:ilvl w:val="0"/>
          <w:numId w:val="336"/>
        </w:numPr>
        <w:ind w:left="720" w:hanging="192"/>
        <w:jc w:val="left"/>
        <w:rPr>
          <w:rFonts w:eastAsia="Arial" w:cs="Arial"/>
          <w:sz w:val="20"/>
          <w:szCs w:val="20"/>
        </w:rPr>
      </w:pPr>
      <w:r>
        <w:rPr>
          <w:rFonts w:eastAsia="Arial" w:cs="Arial"/>
          <w:sz w:val="20"/>
          <w:szCs w:val="20"/>
        </w:rPr>
        <w:t>risk controls, including those related to the investment portfolio and counterparties;</w:t>
      </w:r>
    </w:p>
    <w:p>
      <w:pPr>
        <w:numPr>
          <w:ilvl w:val="0"/>
          <w:numId w:val="336"/>
        </w:numPr>
        <w:ind w:left="720" w:hanging="192"/>
        <w:jc w:val="left"/>
        <w:rPr>
          <w:rFonts w:eastAsia="Arial" w:cs="Arial"/>
          <w:sz w:val="20"/>
          <w:szCs w:val="20"/>
        </w:rPr>
      </w:pPr>
      <w:r>
        <w:rPr>
          <w:rFonts w:eastAsia="Arial" w:cs="Arial"/>
          <w:sz w:val="20"/>
          <w:szCs w:val="20"/>
        </w:rPr>
        <w:t>turnover rate of portfolios, average number of holdings, and kinds of securities selected;</w:t>
      </w:r>
    </w:p>
    <w:p>
      <w:pPr>
        <w:numPr>
          <w:ilvl w:val="0"/>
          <w:numId w:val="336"/>
        </w:numPr>
        <w:ind w:left="720" w:hanging="192"/>
        <w:jc w:val="left"/>
        <w:rPr>
          <w:rFonts w:eastAsia="Arial" w:cs="Arial"/>
          <w:sz w:val="20"/>
          <w:szCs w:val="20"/>
        </w:rPr>
      </w:pPr>
      <w:r>
        <w:rPr>
          <w:rFonts w:eastAsia="Arial" w:cs="Arial"/>
          <w:sz w:val="20"/>
          <w:szCs w:val="20"/>
        </w:rPr>
        <w:t>practice of allocating investment opportunities among clients and treatment of partial fills;</w:t>
      </w:r>
    </w:p>
    <w:p>
      <w:pPr>
        <w:numPr>
          <w:ilvl w:val="0"/>
          <w:numId w:val="336"/>
        </w:numPr>
        <w:ind w:left="720" w:hanging="192"/>
        <w:jc w:val="left"/>
        <w:rPr>
          <w:rFonts w:eastAsia="Arial" w:cs="Arial"/>
          <w:sz w:val="20"/>
          <w:szCs w:val="20"/>
        </w:rPr>
      </w:pPr>
      <w:r>
        <w:rPr>
          <w:rFonts w:eastAsia="Arial" w:cs="Arial"/>
          <w:sz w:val="20"/>
          <w:szCs w:val="20"/>
        </w:rPr>
        <w:t>hedging activity;</w:t>
      </w:r>
    </w:p>
    <w:p>
      <w:pPr>
        <w:numPr>
          <w:ilvl w:val="0"/>
          <w:numId w:val="336"/>
        </w:numPr>
        <w:ind w:left="720" w:hanging="192"/>
        <w:jc w:val="left"/>
        <w:rPr>
          <w:rFonts w:eastAsia="Arial" w:cs="Arial"/>
          <w:sz w:val="20"/>
          <w:szCs w:val="20"/>
        </w:rPr>
      </w:pPr>
      <w:r>
        <w:rPr>
          <w:rFonts w:eastAsia="Arial" w:cs="Arial"/>
          <w:sz w:val="20"/>
          <w:szCs w:val="20"/>
        </w:rPr>
        <w:t xml:space="preserve">use of derivatives and other complex securities; </w:t>
      </w:r>
    </w:p>
    <w:p>
      <w:pPr>
        <w:numPr>
          <w:ilvl w:val="0"/>
          <w:numId w:val="336"/>
        </w:numPr>
        <w:ind w:left="720" w:hanging="192"/>
        <w:jc w:val="left"/>
        <w:rPr>
          <w:rFonts w:eastAsia="Arial" w:cs="Arial"/>
          <w:sz w:val="20"/>
          <w:szCs w:val="20"/>
        </w:rPr>
      </w:pPr>
      <w:r>
        <w:rPr>
          <w:rFonts w:eastAsia="Arial" w:cs="Arial"/>
          <w:sz w:val="20"/>
          <w:szCs w:val="20"/>
        </w:rPr>
        <w:t>use of leverage;</w:t>
      </w:r>
    </w:p>
    <w:p>
      <w:pPr>
        <w:numPr>
          <w:ilvl w:val="0"/>
          <w:numId w:val="336"/>
        </w:numPr>
        <w:ind w:left="720" w:hanging="192"/>
        <w:jc w:val="left"/>
        <w:rPr>
          <w:rFonts w:eastAsia="Arial" w:cs="Arial"/>
          <w:sz w:val="20"/>
          <w:szCs w:val="20"/>
        </w:rPr>
      </w:pPr>
      <w:r>
        <w:rPr>
          <w:rFonts w:eastAsia="Arial" w:cs="Arial"/>
          <w:sz w:val="20"/>
          <w:szCs w:val="20"/>
        </w:rPr>
        <w:t>investment of client assets in foreign securities;</w:t>
      </w:r>
    </w:p>
    <w:p>
      <w:pPr>
        <w:numPr>
          <w:ilvl w:val="0"/>
          <w:numId w:val="336"/>
        </w:numPr>
        <w:ind w:left="720" w:hanging="192"/>
        <w:jc w:val="left"/>
        <w:rPr>
          <w:rFonts w:eastAsia="Arial" w:cs="Arial"/>
          <w:sz w:val="20"/>
          <w:szCs w:val="20"/>
        </w:rPr>
      </w:pPr>
      <w:r>
        <w:rPr>
          <w:rFonts w:eastAsia="Arial" w:cs="Arial"/>
          <w:sz w:val="20"/>
          <w:szCs w:val="20"/>
        </w:rPr>
        <w:t xml:space="preserve">use of foreign currencies, foreign brokers and custodians and exchanges; </w:t>
      </w:r>
    </w:p>
    <w:p>
      <w:pPr>
        <w:numPr>
          <w:ilvl w:val="0"/>
          <w:numId w:val="336"/>
        </w:numPr>
        <w:ind w:left="720" w:hanging="192"/>
        <w:jc w:val="left"/>
        <w:rPr>
          <w:rFonts w:eastAsia="Arial" w:cs="Arial"/>
          <w:sz w:val="20"/>
          <w:szCs w:val="20"/>
        </w:rPr>
      </w:pPr>
      <w:r>
        <w:rPr>
          <w:rFonts w:eastAsia="Arial" w:cs="Arial"/>
          <w:sz w:val="20"/>
          <w:szCs w:val="20"/>
        </w:rPr>
        <w:t>concentration policies, including limits on concentration in sectors, industries and companies, concentration exposure to markets and counterparties; and</w:t>
      </w:r>
    </w:p>
    <w:p>
      <w:pPr>
        <w:numPr>
          <w:ilvl w:val="0"/>
          <w:numId w:val="336"/>
        </w:numPr>
        <w:spacing w:after="200"/>
        <w:ind w:left="720" w:hanging="192"/>
        <w:jc w:val="left"/>
        <w:rPr>
          <w:rFonts w:eastAsia="Arial" w:cs="Arial"/>
          <w:sz w:val="20"/>
          <w:szCs w:val="20"/>
        </w:rPr>
      </w:pPr>
      <w:r>
        <w:rPr>
          <w:rFonts w:eastAsia="Arial" w:cs="Arial"/>
          <w:sz w:val="20"/>
          <w:szCs w:val="20"/>
        </w:rPr>
        <w:t>willingness to be transparent when discussing investment strategy with clients.</w:t>
      </w:r>
    </w:p>
    <w:p/>
    <w:p>
      <w:pPr>
        <w:pStyle w:val="Heading4"/>
      </w:pPr>
      <w:r>
        <w:t>5.3.16.3 Performance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obtain the Adviser's:</w:t>
      </w:r>
    </w:p>
    <w:p>
      <w:pPr>
        <w:numPr>
          <w:ilvl w:val="0"/>
          <w:numId w:val="337"/>
        </w:numPr>
        <w:spacing w:before="200"/>
        <w:ind w:left="720" w:hanging="192"/>
        <w:jc w:val="left"/>
        <w:rPr>
          <w:rFonts w:eastAsia="Arial" w:cs="Arial"/>
          <w:sz w:val="20"/>
          <w:szCs w:val="20"/>
        </w:rPr>
      </w:pPr>
      <w:r>
        <w:rPr>
          <w:rFonts w:eastAsia="Arial" w:cs="Arial"/>
          <w:sz w:val="20"/>
          <w:szCs w:val="20"/>
        </w:rPr>
        <w:t xml:space="preserve">performance history and compare it to peer managers; and </w:t>
      </w:r>
    </w:p>
    <w:p>
      <w:pPr>
        <w:numPr>
          <w:ilvl w:val="0"/>
          <w:numId w:val="337"/>
        </w:numPr>
        <w:spacing w:after="200"/>
        <w:ind w:left="720" w:hanging="192"/>
        <w:jc w:val="left"/>
        <w:rPr>
          <w:rFonts w:eastAsia="Arial" w:cs="Arial"/>
          <w:sz w:val="20"/>
          <w:szCs w:val="20"/>
        </w:rPr>
      </w:pPr>
      <w:r>
        <w:rPr>
          <w:rFonts w:eastAsia="Arial" w:cs="Arial"/>
          <w:sz w:val="20"/>
          <w:szCs w:val="20"/>
        </w:rPr>
        <w:t>GIPS certification (if any).</w:t>
      </w:r>
    </w:p>
    <w:p/>
    <w:p>
      <w:pPr>
        <w:pStyle w:val="Heading4"/>
      </w:pPr>
      <w:r>
        <w:t>5.3.16.4 Operations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the operations of the Adviser, KCD will obtain the Adviser's:</w:t>
      </w:r>
    </w:p>
    <w:p>
      <w:pPr>
        <w:numPr>
          <w:ilvl w:val="0"/>
          <w:numId w:val="338"/>
        </w:numPr>
        <w:spacing w:before="200"/>
        <w:ind w:left="720" w:hanging="192"/>
        <w:jc w:val="left"/>
        <w:rPr>
          <w:rFonts w:eastAsia="Arial" w:cs="Arial"/>
          <w:sz w:val="20"/>
          <w:szCs w:val="20"/>
        </w:rPr>
      </w:pPr>
      <w:r>
        <w:rPr>
          <w:rFonts w:eastAsia="Arial" w:cs="Arial"/>
          <w:sz w:val="20"/>
          <w:szCs w:val="20"/>
        </w:rPr>
        <w:t>organizational chart;</w:t>
      </w:r>
    </w:p>
    <w:p>
      <w:pPr>
        <w:numPr>
          <w:ilvl w:val="0"/>
          <w:numId w:val="338"/>
        </w:numPr>
        <w:ind w:left="720" w:hanging="192"/>
        <w:jc w:val="left"/>
        <w:rPr>
          <w:rFonts w:eastAsia="Arial" w:cs="Arial"/>
          <w:sz w:val="20"/>
          <w:szCs w:val="20"/>
        </w:rPr>
      </w:pPr>
      <w:r>
        <w:rPr>
          <w:rFonts w:eastAsia="Arial" w:cs="Arial"/>
          <w:sz w:val="20"/>
          <w:szCs w:val="20"/>
        </w:rPr>
        <w:t>management team and structure;</w:t>
      </w:r>
    </w:p>
    <w:p>
      <w:pPr>
        <w:numPr>
          <w:ilvl w:val="0"/>
          <w:numId w:val="338"/>
        </w:numPr>
        <w:ind w:left="720" w:hanging="192"/>
        <w:jc w:val="left"/>
        <w:rPr>
          <w:rFonts w:eastAsia="Arial" w:cs="Arial"/>
          <w:sz w:val="20"/>
          <w:szCs w:val="20"/>
        </w:rPr>
      </w:pPr>
      <w:r>
        <w:rPr>
          <w:rFonts w:eastAsia="Arial" w:cs="Arial"/>
          <w:sz w:val="20"/>
          <w:szCs w:val="20"/>
        </w:rPr>
        <w:t>assets under management, average account size, number of clients and similar information;</w:t>
      </w:r>
    </w:p>
    <w:p>
      <w:pPr>
        <w:numPr>
          <w:ilvl w:val="0"/>
          <w:numId w:val="338"/>
        </w:numPr>
        <w:ind w:left="720" w:hanging="192"/>
        <w:jc w:val="left"/>
        <w:rPr>
          <w:rFonts w:eastAsia="Arial" w:cs="Arial"/>
          <w:sz w:val="20"/>
          <w:szCs w:val="20"/>
        </w:rPr>
      </w:pPr>
      <w:r>
        <w:rPr>
          <w:rFonts w:eastAsia="Arial" w:cs="Arial"/>
          <w:sz w:val="20"/>
          <w:szCs w:val="20"/>
        </w:rPr>
        <w:t xml:space="preserve">history in advisory business, including the histories of the Adviser's principals and relevant portfolio managers; </w:t>
      </w:r>
    </w:p>
    <w:p>
      <w:pPr>
        <w:numPr>
          <w:ilvl w:val="0"/>
          <w:numId w:val="338"/>
        </w:numPr>
        <w:ind w:left="720" w:hanging="192"/>
        <w:jc w:val="left"/>
        <w:rPr>
          <w:rFonts w:eastAsia="Arial" w:cs="Arial"/>
          <w:sz w:val="20"/>
          <w:szCs w:val="20"/>
        </w:rPr>
      </w:pPr>
      <w:r>
        <w:rPr>
          <w:rFonts w:eastAsia="Arial" w:cs="Arial"/>
          <w:sz w:val="20"/>
          <w:szCs w:val="20"/>
        </w:rPr>
        <w:t>business continuity plans and ongoing test results;</w:t>
      </w:r>
    </w:p>
    <w:p>
      <w:pPr>
        <w:numPr>
          <w:ilvl w:val="0"/>
          <w:numId w:val="338"/>
        </w:numPr>
        <w:ind w:left="720" w:hanging="192"/>
        <w:jc w:val="left"/>
        <w:rPr>
          <w:rFonts w:eastAsia="Arial" w:cs="Arial"/>
          <w:sz w:val="20"/>
          <w:szCs w:val="20"/>
        </w:rPr>
      </w:pPr>
      <w:r>
        <w:rPr>
          <w:rFonts w:eastAsia="Arial" w:cs="Arial"/>
          <w:sz w:val="20"/>
          <w:szCs w:val="20"/>
        </w:rPr>
        <w:t>sample client reports, including the frequency the reports are sent to clients; and</w:t>
      </w:r>
    </w:p>
    <w:p>
      <w:pPr>
        <w:numPr>
          <w:ilvl w:val="0"/>
          <w:numId w:val="338"/>
        </w:numPr>
        <w:spacing w:after="200"/>
        <w:ind w:left="720" w:hanging="192"/>
        <w:jc w:val="left"/>
        <w:rPr>
          <w:rFonts w:eastAsia="Arial" w:cs="Arial"/>
          <w:sz w:val="20"/>
          <w:szCs w:val="20"/>
        </w:rPr>
      </w:pPr>
      <w:r>
        <w:rPr>
          <w:rFonts w:eastAsia="Arial" w:cs="Arial"/>
          <w:sz w:val="20"/>
          <w:szCs w:val="20"/>
        </w:rPr>
        <w:t>valuation procedures, including procedures governing fair valuation.</w:t>
      </w:r>
    </w:p>
    <w:p>
      <w:pPr>
        <w:pStyle w:val="normal0"/>
        <w:spacing w:before="200" w:after="200"/>
        <w:rPr>
          <w:rFonts w:eastAsia="Arial" w:cs="Arial"/>
          <w:sz w:val="20"/>
          <w:szCs w:val="20"/>
        </w:rPr>
      </w:pPr>
      <w:r>
        <w:rPr>
          <w:rFonts w:eastAsia="Arial" w:cs="Arial"/>
          <w:sz w:val="20"/>
          <w:szCs w:val="20"/>
        </w:rPr>
        <w:t xml:space="preserve">In addition, KCD will request information about the Adviser's: </w:t>
      </w:r>
    </w:p>
    <w:p>
      <w:pPr>
        <w:numPr>
          <w:ilvl w:val="0"/>
          <w:numId w:val="339"/>
        </w:numPr>
        <w:spacing w:before="200"/>
        <w:ind w:left="720" w:hanging="192"/>
        <w:jc w:val="left"/>
        <w:rPr>
          <w:rFonts w:eastAsia="Arial" w:cs="Arial"/>
          <w:sz w:val="20"/>
          <w:szCs w:val="20"/>
        </w:rPr>
      </w:pPr>
      <w:r>
        <w:rPr>
          <w:rFonts w:eastAsia="Arial" w:cs="Arial"/>
          <w:sz w:val="20"/>
          <w:szCs w:val="20"/>
        </w:rPr>
        <w:t>customer account, trade order, client reporting, performance calculation and reporting systems and databases;</w:t>
      </w:r>
    </w:p>
    <w:p>
      <w:pPr>
        <w:numPr>
          <w:ilvl w:val="0"/>
          <w:numId w:val="339"/>
        </w:numPr>
        <w:ind w:left="720" w:hanging="192"/>
        <w:jc w:val="left"/>
        <w:rPr>
          <w:rFonts w:eastAsia="Arial" w:cs="Arial"/>
          <w:sz w:val="20"/>
          <w:szCs w:val="20"/>
        </w:rPr>
      </w:pPr>
      <w:r>
        <w:rPr>
          <w:rFonts w:eastAsia="Arial" w:cs="Arial"/>
          <w:sz w:val="20"/>
          <w:szCs w:val="20"/>
        </w:rPr>
        <w:t>trade settlement procedures;</w:t>
      </w:r>
    </w:p>
    <w:p>
      <w:pPr>
        <w:numPr>
          <w:ilvl w:val="0"/>
          <w:numId w:val="339"/>
        </w:numPr>
        <w:ind w:left="720" w:hanging="192"/>
        <w:jc w:val="left"/>
        <w:rPr>
          <w:rFonts w:eastAsia="Arial" w:cs="Arial"/>
          <w:sz w:val="20"/>
          <w:szCs w:val="20"/>
        </w:rPr>
      </w:pPr>
      <w:r>
        <w:rPr>
          <w:rFonts w:eastAsia="Arial" w:cs="Arial"/>
          <w:sz w:val="20"/>
          <w:szCs w:val="20"/>
        </w:rPr>
        <w:t>tax reporting policies and procedures;</w:t>
      </w:r>
    </w:p>
    <w:p>
      <w:pPr>
        <w:numPr>
          <w:ilvl w:val="0"/>
          <w:numId w:val="339"/>
        </w:numPr>
        <w:ind w:left="720" w:hanging="192"/>
        <w:jc w:val="left"/>
        <w:rPr>
          <w:rFonts w:eastAsia="Arial" w:cs="Arial"/>
          <w:sz w:val="20"/>
          <w:szCs w:val="20"/>
        </w:rPr>
      </w:pPr>
      <w:r>
        <w:rPr>
          <w:rFonts w:eastAsia="Arial" w:cs="Arial"/>
          <w:sz w:val="20"/>
          <w:szCs w:val="20"/>
        </w:rPr>
        <w:t>information technology platforms; and</w:t>
      </w:r>
    </w:p>
    <w:p>
      <w:pPr>
        <w:numPr>
          <w:ilvl w:val="0"/>
          <w:numId w:val="339"/>
        </w:numPr>
        <w:spacing w:after="200"/>
        <w:ind w:left="720" w:hanging="192"/>
        <w:jc w:val="left"/>
        <w:rPr>
          <w:rFonts w:eastAsia="Arial" w:cs="Arial"/>
          <w:sz w:val="20"/>
          <w:szCs w:val="20"/>
        </w:rPr>
      </w:pPr>
      <w:r>
        <w:rPr>
          <w:rFonts w:eastAsia="Arial" w:cs="Arial"/>
          <w:sz w:val="20"/>
          <w:szCs w:val="20"/>
        </w:rPr>
        <w:t>order routing systems.</w:t>
      </w:r>
    </w:p>
    <w:p/>
    <w:p>
      <w:pPr>
        <w:pStyle w:val="Heading4"/>
      </w:pPr>
      <w:r>
        <w:t>5.3.16.5 Service Providers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obtain the name and information about the following service providers of the Adviser:</w:t>
      </w:r>
    </w:p>
    <w:p>
      <w:pPr>
        <w:numPr>
          <w:ilvl w:val="0"/>
          <w:numId w:val="340"/>
        </w:numPr>
        <w:spacing w:before="200"/>
        <w:ind w:left="720" w:hanging="192"/>
        <w:jc w:val="left"/>
        <w:rPr>
          <w:rFonts w:eastAsia="Arial" w:cs="Arial"/>
          <w:sz w:val="20"/>
          <w:szCs w:val="20"/>
        </w:rPr>
      </w:pPr>
      <w:r>
        <w:rPr>
          <w:rFonts w:eastAsia="Arial" w:cs="Arial"/>
          <w:sz w:val="20"/>
          <w:szCs w:val="20"/>
        </w:rPr>
        <w:t>D&amp;O/E&amp;O insurance carrier and fidelity bond issuer;</w:t>
      </w:r>
    </w:p>
    <w:p>
      <w:pPr>
        <w:numPr>
          <w:ilvl w:val="0"/>
          <w:numId w:val="340"/>
        </w:numPr>
        <w:ind w:left="720" w:hanging="192"/>
        <w:jc w:val="left"/>
        <w:rPr>
          <w:rFonts w:eastAsia="Arial" w:cs="Arial"/>
          <w:sz w:val="20"/>
          <w:szCs w:val="20"/>
        </w:rPr>
      </w:pPr>
      <w:r>
        <w:rPr>
          <w:rFonts w:eastAsia="Arial" w:cs="Arial"/>
          <w:sz w:val="20"/>
          <w:szCs w:val="20"/>
        </w:rPr>
        <w:t xml:space="preserve">custodian; </w:t>
      </w:r>
    </w:p>
    <w:p>
      <w:pPr>
        <w:numPr>
          <w:ilvl w:val="0"/>
          <w:numId w:val="340"/>
        </w:numPr>
        <w:ind w:left="720" w:hanging="192"/>
        <w:jc w:val="left"/>
        <w:rPr>
          <w:rFonts w:eastAsia="Arial" w:cs="Arial"/>
          <w:sz w:val="20"/>
          <w:szCs w:val="20"/>
        </w:rPr>
      </w:pPr>
      <w:r>
        <w:rPr>
          <w:rFonts w:eastAsia="Arial" w:cs="Arial"/>
          <w:sz w:val="20"/>
          <w:szCs w:val="20"/>
        </w:rPr>
        <w:t>administrator;</w:t>
      </w:r>
    </w:p>
    <w:p>
      <w:pPr>
        <w:numPr>
          <w:ilvl w:val="0"/>
          <w:numId w:val="340"/>
        </w:numPr>
        <w:ind w:left="720" w:hanging="192"/>
        <w:jc w:val="left"/>
        <w:rPr>
          <w:rFonts w:eastAsia="Arial" w:cs="Arial"/>
          <w:sz w:val="20"/>
          <w:szCs w:val="20"/>
        </w:rPr>
      </w:pPr>
      <w:r>
        <w:rPr>
          <w:rFonts w:eastAsia="Arial" w:cs="Arial"/>
          <w:sz w:val="20"/>
          <w:szCs w:val="20"/>
        </w:rPr>
        <w:t>accounting firm;</w:t>
      </w:r>
    </w:p>
    <w:p>
      <w:pPr>
        <w:numPr>
          <w:ilvl w:val="0"/>
          <w:numId w:val="340"/>
        </w:numPr>
        <w:ind w:left="720" w:hanging="192"/>
        <w:jc w:val="left"/>
        <w:rPr>
          <w:rFonts w:eastAsia="Arial" w:cs="Arial"/>
          <w:sz w:val="20"/>
          <w:szCs w:val="20"/>
        </w:rPr>
      </w:pPr>
      <w:r>
        <w:rPr>
          <w:rFonts w:eastAsia="Arial" w:cs="Arial"/>
          <w:sz w:val="20"/>
          <w:szCs w:val="20"/>
        </w:rPr>
        <w:t>portfolio accounting system vendor;</w:t>
      </w:r>
    </w:p>
    <w:p>
      <w:pPr>
        <w:numPr>
          <w:ilvl w:val="0"/>
          <w:numId w:val="340"/>
        </w:numPr>
        <w:ind w:left="720" w:hanging="192"/>
        <w:jc w:val="left"/>
        <w:rPr>
          <w:rFonts w:eastAsia="Arial" w:cs="Arial"/>
          <w:sz w:val="20"/>
          <w:szCs w:val="20"/>
        </w:rPr>
      </w:pPr>
      <w:r>
        <w:rPr>
          <w:rFonts w:eastAsia="Arial" w:cs="Arial"/>
          <w:sz w:val="20"/>
          <w:szCs w:val="20"/>
        </w:rPr>
        <w:t>pricing service and/or quotation service;</w:t>
      </w:r>
    </w:p>
    <w:p>
      <w:pPr>
        <w:numPr>
          <w:ilvl w:val="0"/>
          <w:numId w:val="340"/>
        </w:numPr>
        <w:ind w:left="720" w:hanging="192"/>
        <w:jc w:val="left"/>
        <w:rPr>
          <w:rFonts w:eastAsia="Arial" w:cs="Arial"/>
          <w:sz w:val="20"/>
          <w:szCs w:val="20"/>
        </w:rPr>
      </w:pPr>
      <w:r>
        <w:rPr>
          <w:rFonts w:eastAsia="Arial" w:cs="Arial"/>
          <w:sz w:val="20"/>
          <w:szCs w:val="20"/>
        </w:rPr>
        <w:t>law firm; and</w:t>
      </w:r>
    </w:p>
    <w:p>
      <w:pPr>
        <w:numPr>
          <w:ilvl w:val="0"/>
          <w:numId w:val="340"/>
        </w:numPr>
        <w:spacing w:after="200"/>
        <w:ind w:left="720" w:hanging="192"/>
        <w:jc w:val="left"/>
        <w:rPr>
          <w:rFonts w:eastAsia="Arial" w:cs="Arial"/>
          <w:sz w:val="20"/>
          <w:szCs w:val="20"/>
        </w:rPr>
      </w:pPr>
      <w:r>
        <w:rPr>
          <w:rFonts w:eastAsia="Arial" w:cs="Arial"/>
          <w:sz w:val="20"/>
          <w:szCs w:val="20"/>
        </w:rPr>
        <w:t>prime broker (if different from the custodian).</w:t>
      </w:r>
    </w:p>
    <w:p>
      <w:pPr>
        <w:pStyle w:val="normal0"/>
        <w:spacing w:before="200" w:after="200"/>
        <w:rPr>
          <w:rFonts w:eastAsia="Arial" w:cs="Arial"/>
          <w:sz w:val="20"/>
          <w:szCs w:val="20"/>
        </w:rPr>
      </w:pPr>
      <w:r>
        <w:rPr>
          <w:rFonts w:eastAsia="Arial" w:cs="Arial"/>
          <w:sz w:val="20"/>
          <w:szCs w:val="20"/>
        </w:rPr>
        <w:t>After obtaining such information, KCD periodically will:</w:t>
      </w:r>
    </w:p>
    <w:p>
      <w:pPr>
        <w:numPr>
          <w:ilvl w:val="0"/>
          <w:numId w:val="341"/>
        </w:numPr>
        <w:spacing w:before="200"/>
        <w:ind w:left="720" w:hanging="192"/>
        <w:jc w:val="left"/>
        <w:rPr>
          <w:rFonts w:eastAsia="Arial" w:cs="Arial"/>
          <w:sz w:val="20"/>
          <w:szCs w:val="20"/>
        </w:rPr>
      </w:pPr>
      <w:r>
        <w:rPr>
          <w:rFonts w:eastAsia="Arial" w:cs="Arial"/>
          <w:sz w:val="20"/>
          <w:szCs w:val="20"/>
        </w:rPr>
        <w:t>verify that the Adviser maintains such relationships and is in good standing with the service providers;</w:t>
      </w:r>
    </w:p>
    <w:p>
      <w:pPr>
        <w:numPr>
          <w:ilvl w:val="0"/>
          <w:numId w:val="341"/>
        </w:numPr>
        <w:ind w:left="720" w:hanging="192"/>
        <w:jc w:val="left"/>
        <w:rPr>
          <w:rFonts w:eastAsia="Arial" w:cs="Arial"/>
          <w:sz w:val="20"/>
          <w:szCs w:val="20"/>
        </w:rPr>
      </w:pPr>
      <w:r>
        <w:rPr>
          <w:rFonts w:eastAsia="Arial" w:cs="Arial"/>
          <w:sz w:val="20"/>
          <w:szCs w:val="20"/>
        </w:rPr>
        <w:t>with respect to the custodian, confirm that the assets of the applicable clients are maintained with the custodian; and</w:t>
      </w:r>
    </w:p>
    <w:p>
      <w:pPr>
        <w:numPr>
          <w:ilvl w:val="0"/>
          <w:numId w:val="341"/>
        </w:numPr>
        <w:spacing w:after="200"/>
        <w:ind w:left="720" w:hanging="192"/>
        <w:jc w:val="left"/>
        <w:rPr>
          <w:rFonts w:eastAsia="Arial" w:cs="Arial"/>
          <w:sz w:val="20"/>
          <w:szCs w:val="20"/>
        </w:rPr>
      </w:pPr>
      <w:r>
        <w:rPr>
          <w:rFonts w:eastAsia="Arial" w:cs="Arial"/>
          <w:sz w:val="20"/>
          <w:szCs w:val="20"/>
        </w:rPr>
        <w:t>with respect to the administrator of hedge fund clients, confirm the net asset value of the applicable hedge funds, the valuation methodologies used and the fair value hierarchy is established under FASB ASC 820 (Level 1, 2 and 3).</w:t>
      </w:r>
    </w:p>
    <w:p/>
    <w:p>
      <w:pPr>
        <w:pStyle w:val="Heading4"/>
      </w:pPr>
      <w:r>
        <w:t>5.3.16.6 Compliance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compliance, KCD will inquire about the Adviser's:</w:t>
      </w:r>
    </w:p>
    <w:p>
      <w:pPr>
        <w:numPr>
          <w:ilvl w:val="0"/>
          <w:numId w:val="342"/>
        </w:numPr>
        <w:spacing w:before="200"/>
        <w:ind w:left="720" w:hanging="192"/>
        <w:jc w:val="left"/>
        <w:rPr>
          <w:rFonts w:eastAsia="Arial" w:cs="Arial"/>
          <w:sz w:val="20"/>
          <w:szCs w:val="20"/>
        </w:rPr>
      </w:pPr>
      <w:r>
        <w:rPr>
          <w:rFonts w:eastAsia="Arial" w:cs="Arial"/>
          <w:sz w:val="20"/>
          <w:szCs w:val="20"/>
        </w:rPr>
        <w:t xml:space="preserve">testing of its compliance procedures, including the use of forensic testing and exception reports; </w:t>
      </w:r>
    </w:p>
    <w:p>
      <w:pPr>
        <w:numPr>
          <w:ilvl w:val="0"/>
          <w:numId w:val="342"/>
        </w:numPr>
        <w:ind w:left="720" w:hanging="192"/>
        <w:jc w:val="left"/>
        <w:rPr>
          <w:rFonts w:eastAsia="Arial" w:cs="Arial"/>
          <w:sz w:val="20"/>
          <w:szCs w:val="20"/>
        </w:rPr>
      </w:pPr>
      <w:r>
        <w:rPr>
          <w:rFonts w:eastAsia="Arial" w:cs="Arial"/>
          <w:sz w:val="20"/>
          <w:szCs w:val="20"/>
        </w:rPr>
        <w:t>recent disciplinary actions taken against employees (if any);</w:t>
      </w:r>
    </w:p>
    <w:p>
      <w:pPr>
        <w:numPr>
          <w:ilvl w:val="0"/>
          <w:numId w:val="342"/>
        </w:numPr>
        <w:ind w:left="720" w:hanging="192"/>
        <w:jc w:val="left"/>
        <w:rPr>
          <w:rFonts w:eastAsia="Arial" w:cs="Arial"/>
          <w:sz w:val="20"/>
          <w:szCs w:val="20"/>
        </w:rPr>
      </w:pPr>
      <w:r>
        <w:rPr>
          <w:rFonts w:eastAsia="Arial" w:cs="Arial"/>
          <w:sz w:val="20"/>
          <w:szCs w:val="20"/>
        </w:rPr>
        <w:t>supervisory structure; and</w:t>
      </w:r>
    </w:p>
    <w:p>
      <w:pPr>
        <w:numPr>
          <w:ilvl w:val="0"/>
          <w:numId w:val="342"/>
        </w:numPr>
        <w:spacing w:after="200"/>
        <w:ind w:left="720" w:hanging="192"/>
        <w:jc w:val="left"/>
        <w:rPr>
          <w:rFonts w:eastAsia="Arial" w:cs="Arial"/>
          <w:sz w:val="20"/>
          <w:szCs w:val="20"/>
        </w:rPr>
      </w:pPr>
      <w:r>
        <w:rPr>
          <w:rFonts w:eastAsia="Arial" w:cs="Arial"/>
          <w:sz w:val="20"/>
          <w:szCs w:val="20"/>
        </w:rPr>
        <w:t>trade error policy and recent significant trade errors.</w:t>
      </w:r>
    </w:p>
    <w:p/>
    <w:p>
      <w:pPr>
        <w:pStyle w:val="Heading4"/>
      </w:pPr>
      <w:r>
        <w:t>5.3.16.7 Financial Condition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attempt to ascertain the general financial condition of the Adviser. This information is often highly sensitive, so KCD may have difficulty in collecting all of the requested information. KCD will request the following information:</w:t>
      </w:r>
    </w:p>
    <w:p>
      <w:pPr>
        <w:numPr>
          <w:ilvl w:val="0"/>
          <w:numId w:val="343"/>
        </w:numPr>
        <w:spacing w:before="200"/>
        <w:ind w:left="720" w:hanging="192"/>
        <w:jc w:val="left"/>
        <w:rPr>
          <w:rFonts w:eastAsia="Arial" w:cs="Arial"/>
          <w:sz w:val="20"/>
          <w:szCs w:val="20"/>
        </w:rPr>
      </w:pPr>
      <w:r>
        <w:rPr>
          <w:rFonts w:eastAsia="Arial" w:cs="Arial"/>
          <w:sz w:val="20"/>
          <w:szCs w:val="20"/>
        </w:rPr>
        <w:t>management letters from auditors and responses thereto;</w:t>
      </w:r>
    </w:p>
    <w:p>
      <w:pPr>
        <w:numPr>
          <w:ilvl w:val="0"/>
          <w:numId w:val="343"/>
        </w:numPr>
        <w:ind w:left="720" w:hanging="192"/>
        <w:jc w:val="left"/>
        <w:rPr>
          <w:rFonts w:eastAsia="Arial" w:cs="Arial"/>
          <w:sz w:val="20"/>
          <w:szCs w:val="20"/>
        </w:rPr>
      </w:pPr>
      <w:r>
        <w:rPr>
          <w:rFonts w:eastAsia="Arial" w:cs="Arial"/>
          <w:sz w:val="20"/>
          <w:szCs w:val="20"/>
        </w:rPr>
        <w:t>agreements or information about agreements creating restrictions or liens (</w:t>
      </w:r>
      <w:r>
        <w:rPr>
          <w:rFonts w:eastAsia="Arial" w:cs="Arial"/>
          <w:i/>
          <w:iCs/>
          <w:sz w:val="20"/>
          <w:szCs w:val="20"/>
        </w:rPr>
        <w:t>e.g.,</w:t>
      </w:r>
      <w:r>
        <w:rPr>
          <w:rFonts w:eastAsia="Arial" w:cs="Arial"/>
          <w:sz w:val="20"/>
          <w:szCs w:val="20"/>
        </w:rPr>
        <w:t xml:space="preserve"> loan agreements);</w:t>
      </w:r>
    </w:p>
    <w:p>
      <w:pPr>
        <w:numPr>
          <w:ilvl w:val="0"/>
          <w:numId w:val="343"/>
        </w:numPr>
        <w:ind w:left="720" w:hanging="192"/>
        <w:jc w:val="left"/>
        <w:rPr>
          <w:rFonts w:eastAsia="Arial" w:cs="Arial"/>
          <w:sz w:val="20"/>
          <w:szCs w:val="20"/>
        </w:rPr>
      </w:pPr>
      <w:r>
        <w:rPr>
          <w:rFonts w:eastAsia="Arial" w:cs="Arial"/>
          <w:sz w:val="20"/>
          <w:szCs w:val="20"/>
        </w:rPr>
        <w:t>ownership and capital structure;</w:t>
      </w:r>
    </w:p>
    <w:p>
      <w:pPr>
        <w:numPr>
          <w:ilvl w:val="0"/>
          <w:numId w:val="343"/>
        </w:numPr>
        <w:ind w:left="720" w:hanging="192"/>
        <w:jc w:val="left"/>
        <w:rPr>
          <w:rFonts w:eastAsia="Arial" w:cs="Arial"/>
          <w:sz w:val="20"/>
          <w:szCs w:val="20"/>
        </w:rPr>
      </w:pPr>
      <w:r>
        <w:rPr>
          <w:rFonts w:eastAsia="Arial" w:cs="Arial"/>
          <w:sz w:val="20"/>
          <w:szCs w:val="20"/>
        </w:rPr>
        <w:t xml:space="preserve">how principals of the Adviser are compensated, including any special compensation arrangements; and </w:t>
      </w:r>
    </w:p>
    <w:p>
      <w:pPr>
        <w:numPr>
          <w:ilvl w:val="0"/>
          <w:numId w:val="343"/>
        </w:numPr>
        <w:spacing w:after="200"/>
        <w:ind w:left="720" w:hanging="192"/>
        <w:jc w:val="left"/>
        <w:rPr>
          <w:rFonts w:eastAsia="Arial" w:cs="Arial"/>
          <w:sz w:val="20"/>
          <w:szCs w:val="20"/>
        </w:rPr>
      </w:pPr>
      <w:r>
        <w:rPr>
          <w:rFonts w:eastAsia="Arial" w:cs="Arial"/>
          <w:sz w:val="20"/>
          <w:szCs w:val="20"/>
        </w:rPr>
        <w:t>the revenue streams to the Adviser and any revenue sharing arrangements with third parties.</w:t>
      </w:r>
    </w:p>
    <w:p/>
    <w:p>
      <w:pPr>
        <w:pStyle w:val="Heading4"/>
      </w:pPr>
      <w:r>
        <w:t>5.3.16.8 Conflicts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seek to ascertain the significant conflicts of interest existing for KCD by:</w:t>
      </w:r>
    </w:p>
    <w:p>
      <w:pPr>
        <w:numPr>
          <w:ilvl w:val="0"/>
          <w:numId w:val="344"/>
        </w:numPr>
        <w:spacing w:before="200"/>
        <w:ind w:left="720" w:hanging="192"/>
        <w:jc w:val="left"/>
        <w:rPr>
          <w:rFonts w:eastAsia="Arial" w:cs="Arial"/>
          <w:sz w:val="20"/>
          <w:szCs w:val="20"/>
        </w:rPr>
      </w:pPr>
      <w:r>
        <w:rPr>
          <w:rFonts w:eastAsia="Arial" w:cs="Arial"/>
          <w:sz w:val="20"/>
          <w:szCs w:val="20"/>
        </w:rPr>
        <w:t>creating and maintaining a list of conflicts of interest;</w:t>
      </w:r>
    </w:p>
    <w:p>
      <w:pPr>
        <w:numPr>
          <w:ilvl w:val="0"/>
          <w:numId w:val="344"/>
        </w:numPr>
        <w:ind w:left="720" w:hanging="192"/>
        <w:jc w:val="left"/>
        <w:rPr>
          <w:rFonts w:eastAsia="Arial" w:cs="Arial"/>
          <w:sz w:val="20"/>
          <w:szCs w:val="20"/>
        </w:rPr>
      </w:pPr>
      <w:r>
        <w:rPr>
          <w:rFonts w:eastAsia="Arial" w:cs="Arial"/>
          <w:sz w:val="20"/>
          <w:szCs w:val="20"/>
        </w:rPr>
        <w:t>reviewing the relationships with broker-dealers, custodians or other service providers for possible conflicts;</w:t>
      </w:r>
    </w:p>
    <w:p>
      <w:pPr>
        <w:numPr>
          <w:ilvl w:val="0"/>
          <w:numId w:val="344"/>
        </w:numPr>
        <w:ind w:left="720" w:hanging="192"/>
        <w:jc w:val="left"/>
        <w:rPr>
          <w:rFonts w:eastAsia="Arial" w:cs="Arial"/>
          <w:sz w:val="20"/>
          <w:szCs w:val="20"/>
        </w:rPr>
      </w:pPr>
      <w:r>
        <w:rPr>
          <w:rFonts w:eastAsia="Arial" w:cs="Arial"/>
          <w:sz w:val="20"/>
          <w:szCs w:val="20"/>
        </w:rPr>
        <w:t>creating and maintaining a list of client accounts that are related to the sub-adviser (including proprietary trading or investment accounts);</w:t>
      </w:r>
    </w:p>
    <w:p>
      <w:pPr>
        <w:numPr>
          <w:ilvl w:val="0"/>
          <w:numId w:val="344"/>
        </w:numPr>
        <w:ind w:left="720" w:hanging="192"/>
        <w:jc w:val="left"/>
        <w:rPr>
          <w:rFonts w:eastAsia="Arial" w:cs="Arial"/>
          <w:sz w:val="20"/>
          <w:szCs w:val="20"/>
        </w:rPr>
      </w:pPr>
      <w:r>
        <w:rPr>
          <w:rFonts w:eastAsia="Arial" w:cs="Arial"/>
          <w:sz w:val="20"/>
          <w:szCs w:val="20"/>
        </w:rPr>
        <w:t>reviewing portfolio manager compensation practices;</w:t>
      </w:r>
    </w:p>
    <w:p>
      <w:pPr>
        <w:numPr>
          <w:ilvl w:val="0"/>
          <w:numId w:val="344"/>
        </w:numPr>
        <w:ind w:left="720" w:hanging="192"/>
        <w:jc w:val="left"/>
        <w:rPr>
          <w:rFonts w:eastAsia="Arial" w:cs="Arial"/>
          <w:sz w:val="20"/>
          <w:szCs w:val="20"/>
        </w:rPr>
      </w:pPr>
      <w:r>
        <w:rPr>
          <w:rFonts w:eastAsia="Arial" w:cs="Arial"/>
          <w:sz w:val="20"/>
          <w:szCs w:val="20"/>
        </w:rPr>
        <w:t>monitoring arrangements where KCD receives compensation from third-party product and service providers in connection with client investments;</w:t>
      </w:r>
    </w:p>
    <w:p>
      <w:pPr>
        <w:numPr>
          <w:ilvl w:val="0"/>
          <w:numId w:val="344"/>
        </w:numPr>
        <w:ind w:left="720" w:hanging="192"/>
        <w:jc w:val="left"/>
        <w:rPr>
          <w:rFonts w:eastAsia="Arial" w:cs="Arial"/>
          <w:sz w:val="20"/>
          <w:szCs w:val="20"/>
        </w:rPr>
      </w:pPr>
      <w:r>
        <w:rPr>
          <w:rFonts w:eastAsia="Arial" w:cs="Arial"/>
          <w:sz w:val="20"/>
          <w:szCs w:val="20"/>
        </w:rPr>
        <w:t>monitoring performance-based fee arrangements with clients; and</w:t>
      </w:r>
    </w:p>
    <w:p>
      <w:pPr>
        <w:numPr>
          <w:ilvl w:val="0"/>
          <w:numId w:val="344"/>
        </w:numPr>
        <w:spacing w:after="200"/>
        <w:ind w:left="720" w:hanging="192"/>
        <w:jc w:val="left"/>
        <w:rPr>
          <w:rFonts w:eastAsia="Arial" w:cs="Arial"/>
          <w:sz w:val="20"/>
          <w:szCs w:val="20"/>
        </w:rPr>
      </w:pPr>
      <w:r>
        <w:rPr>
          <w:rFonts w:eastAsia="Arial" w:cs="Arial"/>
          <w:sz w:val="20"/>
          <w:szCs w:val="20"/>
        </w:rPr>
        <w:t>monitoring a list of affiliated service providers, including auditors and broker-dealers.</w:t>
      </w:r>
    </w:p>
    <w:p>
      <w:pPr>
        <w:pStyle w:val="normal0"/>
        <w:spacing w:before="200" w:after="200"/>
        <w:rPr>
          <w:rFonts w:eastAsia="Arial" w:cs="Arial"/>
          <w:sz w:val="20"/>
          <w:szCs w:val="20"/>
        </w:rPr>
      </w:pPr>
      <w:r>
        <w:rPr>
          <w:rFonts w:eastAsia="Arial" w:cs="Arial"/>
          <w:sz w:val="20"/>
          <w:szCs w:val="20"/>
        </w:rPr>
        <w:t>KCD will not recommend a security to a client or invest client assets in a security without disclosure to the client that it has a financial interest in the issuer of the security unless such transaction is approved by the Chief Compliance Officer. Such approval will not be granted unless:</w:t>
      </w:r>
    </w:p>
    <w:p>
      <w:pPr>
        <w:numPr>
          <w:ilvl w:val="0"/>
          <w:numId w:val="345"/>
        </w:numPr>
        <w:spacing w:before="200"/>
        <w:ind w:left="720" w:hanging="192"/>
        <w:jc w:val="left"/>
        <w:rPr>
          <w:rFonts w:eastAsia="Arial" w:cs="Arial"/>
          <w:sz w:val="20"/>
          <w:szCs w:val="20"/>
        </w:rPr>
      </w:pPr>
      <w:r>
        <w:rPr>
          <w:rFonts w:eastAsia="Arial" w:cs="Arial"/>
          <w:sz w:val="20"/>
          <w:szCs w:val="20"/>
        </w:rPr>
        <w:t>the transaction is fully disclosed to the client;</w:t>
      </w:r>
    </w:p>
    <w:p>
      <w:pPr>
        <w:numPr>
          <w:ilvl w:val="0"/>
          <w:numId w:val="345"/>
        </w:numPr>
        <w:ind w:left="720" w:hanging="192"/>
        <w:jc w:val="left"/>
        <w:rPr>
          <w:rFonts w:eastAsia="Arial" w:cs="Arial"/>
          <w:sz w:val="20"/>
          <w:szCs w:val="20"/>
        </w:rPr>
      </w:pPr>
      <w:r>
        <w:rPr>
          <w:rFonts w:eastAsia="Arial" w:cs="Arial"/>
          <w:sz w:val="20"/>
          <w:szCs w:val="20"/>
        </w:rPr>
        <w:t>the client approves the transaction in writing; and</w:t>
      </w:r>
    </w:p>
    <w:p>
      <w:pPr>
        <w:numPr>
          <w:ilvl w:val="0"/>
          <w:numId w:val="345"/>
        </w:numPr>
        <w:spacing w:after="200"/>
        <w:ind w:left="720" w:hanging="192"/>
        <w:jc w:val="left"/>
        <w:rPr>
          <w:rFonts w:eastAsia="Arial" w:cs="Arial"/>
          <w:sz w:val="20"/>
          <w:szCs w:val="20"/>
        </w:rPr>
      </w:pPr>
      <w:r>
        <w:rPr>
          <w:rFonts w:eastAsia="Arial" w:cs="Arial"/>
          <w:sz w:val="20"/>
          <w:szCs w:val="20"/>
        </w:rPr>
        <w:t>KCD, including the Chief Compliance Officer, finds the transaction is in the best interest of the client and in no way disadvantages the client.</w:t>
      </w:r>
    </w:p>
    <w:p/>
    <w:p>
      <w:pPr>
        <w:pStyle w:val="Heading4"/>
      </w:pPr>
      <w:r>
        <w:t>5.3.16.9 Marketing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marketing, KCD shall request:</w:t>
      </w:r>
    </w:p>
    <w:p>
      <w:pPr>
        <w:numPr>
          <w:ilvl w:val="0"/>
          <w:numId w:val="346"/>
        </w:numPr>
        <w:spacing w:before="200"/>
        <w:ind w:left="720" w:hanging="192"/>
        <w:jc w:val="left"/>
        <w:rPr>
          <w:rFonts w:eastAsia="Arial" w:cs="Arial"/>
          <w:sz w:val="20"/>
          <w:szCs w:val="20"/>
        </w:rPr>
      </w:pPr>
      <w:r>
        <w:rPr>
          <w:rFonts w:eastAsia="Arial" w:cs="Arial"/>
          <w:sz w:val="20"/>
          <w:szCs w:val="20"/>
        </w:rPr>
        <w:t>adviser marketing material samples;</w:t>
      </w:r>
    </w:p>
    <w:p>
      <w:pPr>
        <w:numPr>
          <w:ilvl w:val="0"/>
          <w:numId w:val="346"/>
        </w:numPr>
        <w:ind w:left="720" w:hanging="192"/>
        <w:jc w:val="left"/>
        <w:rPr>
          <w:rFonts w:eastAsia="Arial" w:cs="Arial"/>
          <w:sz w:val="20"/>
          <w:szCs w:val="20"/>
        </w:rPr>
      </w:pPr>
      <w:r>
        <w:rPr>
          <w:rFonts w:eastAsia="Arial" w:cs="Arial"/>
          <w:sz w:val="20"/>
          <w:szCs w:val="20"/>
        </w:rPr>
        <w:t>client communication samples; and</w:t>
      </w:r>
    </w:p>
    <w:p>
      <w:pPr>
        <w:numPr>
          <w:ilvl w:val="0"/>
          <w:numId w:val="346"/>
        </w:numPr>
        <w:spacing w:after="200"/>
        <w:ind w:left="720" w:hanging="192"/>
        <w:jc w:val="left"/>
        <w:rPr>
          <w:rFonts w:eastAsia="Arial" w:cs="Arial"/>
          <w:sz w:val="20"/>
          <w:szCs w:val="20"/>
        </w:rPr>
      </w:pPr>
      <w:r>
        <w:rPr>
          <w:rFonts w:eastAsia="Arial" w:cs="Arial"/>
          <w:sz w:val="20"/>
          <w:szCs w:val="20"/>
        </w:rPr>
        <w:t>information about the use of third-party solicitors, including descriptions of such arrangements.</w:t>
      </w:r>
    </w:p>
    <w:p/>
    <w:p>
      <w:pPr>
        <w:pStyle w:val="Heading4"/>
      </w:pPr>
      <w:r>
        <w:t>5.3.16.10 Disciplinary/Regulatory/Litigation Issues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request and review the following from the Adviser:</w:t>
      </w:r>
    </w:p>
    <w:p>
      <w:pPr>
        <w:numPr>
          <w:ilvl w:val="0"/>
          <w:numId w:val="347"/>
        </w:numPr>
        <w:spacing w:before="200"/>
        <w:ind w:left="720" w:hanging="192"/>
        <w:jc w:val="left"/>
        <w:rPr>
          <w:rFonts w:eastAsia="Arial" w:cs="Arial"/>
          <w:sz w:val="20"/>
          <w:szCs w:val="20"/>
        </w:rPr>
      </w:pPr>
      <w:r>
        <w:rPr>
          <w:rFonts w:eastAsia="Arial" w:cs="Arial"/>
          <w:sz w:val="20"/>
          <w:szCs w:val="20"/>
        </w:rPr>
        <w:t>regulatory examination letters;</w:t>
      </w:r>
    </w:p>
    <w:p>
      <w:pPr>
        <w:numPr>
          <w:ilvl w:val="0"/>
          <w:numId w:val="347"/>
        </w:numPr>
        <w:ind w:left="720" w:hanging="192"/>
        <w:jc w:val="left"/>
        <w:rPr>
          <w:rFonts w:eastAsia="Arial" w:cs="Arial"/>
          <w:sz w:val="20"/>
          <w:szCs w:val="20"/>
        </w:rPr>
      </w:pPr>
      <w:r>
        <w:rPr>
          <w:rFonts w:eastAsia="Arial" w:cs="Arial"/>
          <w:sz w:val="20"/>
          <w:szCs w:val="20"/>
        </w:rPr>
        <w:t>litigation;</w:t>
      </w:r>
    </w:p>
    <w:p>
      <w:pPr>
        <w:numPr>
          <w:ilvl w:val="0"/>
          <w:numId w:val="347"/>
        </w:numPr>
        <w:ind w:left="720" w:hanging="192"/>
        <w:jc w:val="left"/>
        <w:rPr>
          <w:rFonts w:eastAsia="Arial" w:cs="Arial"/>
          <w:sz w:val="20"/>
          <w:szCs w:val="20"/>
        </w:rPr>
      </w:pPr>
      <w:r>
        <w:rPr>
          <w:rFonts w:eastAsia="Arial" w:cs="Arial"/>
          <w:sz w:val="20"/>
          <w:szCs w:val="20"/>
        </w:rPr>
        <w:t>customer complaints; and</w:t>
      </w:r>
    </w:p>
    <w:p>
      <w:pPr>
        <w:numPr>
          <w:ilvl w:val="0"/>
          <w:numId w:val="347"/>
        </w:numPr>
        <w:spacing w:after="200"/>
        <w:ind w:left="720" w:hanging="192"/>
        <w:jc w:val="left"/>
        <w:rPr>
          <w:rFonts w:eastAsia="Arial" w:cs="Arial"/>
          <w:sz w:val="20"/>
          <w:szCs w:val="20"/>
        </w:rPr>
      </w:pPr>
      <w:r>
        <w:rPr>
          <w:rFonts w:eastAsia="Arial" w:cs="Arial"/>
          <w:sz w:val="20"/>
          <w:szCs w:val="20"/>
        </w:rPr>
        <w:t>knowledge of regulatory investigations and proceedings.</w:t>
      </w:r>
    </w:p>
    <w:p>
      <w:bookmarkStart w:id="351" w:name="Sec_Chp_061016102250093_0610161022513755"/>
    </w:p>
    <w:p>
      <w:pPr>
        <w:pStyle w:val="Heading4"/>
      </w:pPr>
      <w:r>
        <w:t>5.3.16.11 Due Diligence Process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generally conduct its due diligence investigation as follows:</w:t>
      </w:r>
    </w:p>
    <w:p>
      <w:pPr>
        <w:numPr>
          <w:ilvl w:val="0"/>
          <w:numId w:val="348"/>
        </w:numPr>
        <w:spacing w:before="200"/>
        <w:ind w:left="720" w:hanging="192"/>
        <w:jc w:val="left"/>
        <w:rPr>
          <w:rFonts w:eastAsia="Arial" w:cs="Arial"/>
          <w:sz w:val="20"/>
          <w:szCs w:val="20"/>
        </w:rPr>
      </w:pPr>
      <w:r>
        <w:rPr>
          <w:rFonts w:eastAsia="Arial" w:cs="Arial"/>
          <w:sz w:val="20"/>
          <w:szCs w:val="20"/>
        </w:rPr>
        <w:t xml:space="preserve">independently research the Adviser; </w:t>
      </w:r>
    </w:p>
    <w:p>
      <w:pPr>
        <w:numPr>
          <w:ilvl w:val="0"/>
          <w:numId w:val="348"/>
        </w:numPr>
        <w:ind w:left="720" w:hanging="192"/>
        <w:jc w:val="left"/>
        <w:rPr>
          <w:rFonts w:eastAsia="Arial" w:cs="Arial"/>
          <w:sz w:val="20"/>
          <w:szCs w:val="20"/>
        </w:rPr>
      </w:pPr>
      <w:r>
        <w:rPr>
          <w:rFonts w:eastAsia="Arial" w:cs="Arial"/>
          <w:sz w:val="20"/>
          <w:szCs w:val="20"/>
        </w:rPr>
        <w:t>request various documents from the Adviser;</w:t>
      </w:r>
    </w:p>
    <w:p>
      <w:pPr>
        <w:numPr>
          <w:ilvl w:val="0"/>
          <w:numId w:val="348"/>
        </w:numPr>
        <w:ind w:left="720" w:hanging="192"/>
        <w:jc w:val="left"/>
        <w:rPr>
          <w:rFonts w:eastAsia="Arial" w:cs="Arial"/>
          <w:sz w:val="20"/>
          <w:szCs w:val="20"/>
        </w:rPr>
      </w:pPr>
      <w:r>
        <w:rPr>
          <w:rFonts w:eastAsia="Arial" w:cs="Arial"/>
          <w:sz w:val="20"/>
          <w:szCs w:val="20"/>
        </w:rPr>
        <w:t xml:space="preserve">send a due diligence questionnaire to the Adviser; </w:t>
      </w:r>
    </w:p>
    <w:p>
      <w:pPr>
        <w:numPr>
          <w:ilvl w:val="0"/>
          <w:numId w:val="348"/>
        </w:numPr>
        <w:ind w:left="720" w:hanging="192"/>
        <w:jc w:val="left"/>
        <w:rPr>
          <w:rFonts w:eastAsia="Arial" w:cs="Arial"/>
          <w:sz w:val="20"/>
          <w:szCs w:val="20"/>
        </w:rPr>
      </w:pPr>
      <w:r>
        <w:rPr>
          <w:rFonts w:eastAsia="Arial" w:cs="Arial"/>
          <w:sz w:val="20"/>
          <w:szCs w:val="20"/>
        </w:rPr>
        <w:t>analyze the results of the completed questionnaire, with special attention to discrepancies with public or other available information about the Adviser;</w:t>
      </w:r>
    </w:p>
    <w:p>
      <w:pPr>
        <w:numPr>
          <w:ilvl w:val="0"/>
          <w:numId w:val="348"/>
        </w:numPr>
        <w:ind w:left="720" w:hanging="192"/>
        <w:jc w:val="left"/>
        <w:rPr>
          <w:rFonts w:eastAsia="Arial" w:cs="Arial"/>
          <w:sz w:val="20"/>
          <w:szCs w:val="20"/>
        </w:rPr>
      </w:pPr>
      <w:r>
        <w:rPr>
          <w:rFonts w:eastAsia="Arial" w:cs="Arial"/>
          <w:sz w:val="20"/>
          <w:szCs w:val="20"/>
        </w:rPr>
        <w:t>when feasible, visit the Adviser; and</w:t>
      </w:r>
    </w:p>
    <w:p>
      <w:pPr>
        <w:numPr>
          <w:ilvl w:val="0"/>
          <w:numId w:val="348"/>
        </w:numPr>
        <w:spacing w:after="200"/>
        <w:ind w:left="720" w:hanging="192"/>
        <w:jc w:val="left"/>
        <w:rPr>
          <w:rFonts w:eastAsia="Arial" w:cs="Arial"/>
          <w:sz w:val="20"/>
          <w:szCs w:val="20"/>
        </w:rPr>
      </w:pPr>
      <w:r>
        <w:rPr>
          <w:rFonts w:eastAsia="Arial" w:cs="Arial"/>
          <w:sz w:val="20"/>
          <w:szCs w:val="20"/>
        </w:rPr>
        <w:t>when necessary, follow-up questions to due diligence responses (sometimes called drill-down due diligence).</w:t>
      </w:r>
    </w:p>
    <w:p>
      <w:bookmarkEnd w:id="351"/>
      <w:bookmarkStart w:id="352" w:name="Sec_Chp_061016102250093_0610161025317"/>
    </w:p>
    <w:p>
      <w:pPr>
        <w:pStyle w:val="Heading3"/>
      </w:pPr>
      <w:bookmarkStart w:id="353" w:name="_Toc256000086"/>
      <w:r>
        <w:t>5.3.17 Counterparty Transactions</w:t>
      </w:r>
      <w:bookmarkEnd w:id="353"/>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may enter into transactions on behalf of clients that involve counterparties. Present in these transactions is "counterparty risk," which is the risk that a counterparty (the other party to the transaction) will fail to perform its contractual obligations under the contract governing the transaction. Counterparty risk is sometimes referred to as credit risk.</w:t>
      </w:r>
    </w:p>
    <w:p>
      <w:bookmarkEnd w:id="352"/>
      <w:bookmarkStart w:id="354" w:name="Sec_Chp_061016102250093_06101610253171"/>
    </w:p>
    <w:p>
      <w:pPr>
        <w:pStyle w:val="Heading4"/>
      </w:pPr>
      <w:r>
        <w:t>5.3.17.1 Counterparty Risk Transactions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takes the following steps to monitor and reduce risk of defaults by counterparties, broker-dealers, future commission merchants and clearing corporations involved in client trades. These procedures apply to all transactions involving a client and a counterparty that KCD believes may expose the client to counterparty credit risk. Such transactions include:</w:t>
      </w:r>
    </w:p>
    <w:p>
      <w:pPr>
        <w:numPr>
          <w:ilvl w:val="0"/>
          <w:numId w:val="349"/>
        </w:numPr>
        <w:spacing w:before="200"/>
        <w:ind w:left="720" w:hanging="192"/>
        <w:jc w:val="left"/>
        <w:rPr>
          <w:rFonts w:eastAsia="Arial" w:cs="Arial"/>
          <w:sz w:val="20"/>
          <w:szCs w:val="20"/>
        </w:rPr>
      </w:pPr>
      <w:r>
        <w:rPr>
          <w:rFonts w:eastAsia="Arial" w:cs="Arial"/>
          <w:sz w:val="20"/>
          <w:szCs w:val="20"/>
        </w:rPr>
        <w:t>Repurchase Agreements</w:t>
      </w:r>
    </w:p>
    <w:p>
      <w:pPr>
        <w:numPr>
          <w:ilvl w:val="0"/>
          <w:numId w:val="349"/>
        </w:numPr>
        <w:ind w:left="720" w:hanging="192"/>
        <w:jc w:val="left"/>
        <w:rPr>
          <w:rFonts w:eastAsia="Arial" w:cs="Arial"/>
          <w:sz w:val="20"/>
          <w:szCs w:val="20"/>
        </w:rPr>
      </w:pPr>
      <w:r>
        <w:rPr>
          <w:rFonts w:eastAsia="Arial" w:cs="Arial"/>
          <w:sz w:val="20"/>
          <w:szCs w:val="20"/>
        </w:rPr>
        <w:t>Securities Loans</w:t>
      </w:r>
    </w:p>
    <w:p>
      <w:pPr>
        <w:numPr>
          <w:ilvl w:val="0"/>
          <w:numId w:val="349"/>
        </w:numPr>
        <w:ind w:left="720" w:hanging="192"/>
        <w:jc w:val="left"/>
        <w:rPr>
          <w:rFonts w:eastAsia="Arial" w:cs="Arial"/>
          <w:sz w:val="20"/>
          <w:szCs w:val="20"/>
        </w:rPr>
      </w:pPr>
      <w:r>
        <w:rPr>
          <w:rFonts w:eastAsia="Arial" w:cs="Arial"/>
          <w:sz w:val="20"/>
          <w:szCs w:val="20"/>
        </w:rPr>
        <w:t>Currency Forwards</w:t>
      </w:r>
    </w:p>
    <w:p>
      <w:pPr>
        <w:numPr>
          <w:ilvl w:val="0"/>
          <w:numId w:val="349"/>
        </w:numPr>
        <w:ind w:left="720" w:hanging="192"/>
        <w:jc w:val="left"/>
        <w:rPr>
          <w:rFonts w:eastAsia="Arial" w:cs="Arial"/>
          <w:sz w:val="20"/>
          <w:szCs w:val="20"/>
        </w:rPr>
      </w:pPr>
      <w:r>
        <w:rPr>
          <w:rFonts w:eastAsia="Arial" w:cs="Arial"/>
          <w:sz w:val="20"/>
          <w:szCs w:val="20"/>
        </w:rPr>
        <w:t>Futures</w:t>
      </w:r>
    </w:p>
    <w:p>
      <w:pPr>
        <w:numPr>
          <w:ilvl w:val="0"/>
          <w:numId w:val="349"/>
        </w:numPr>
        <w:ind w:left="720" w:hanging="192"/>
        <w:jc w:val="left"/>
        <w:rPr>
          <w:rFonts w:eastAsia="Arial" w:cs="Arial"/>
          <w:sz w:val="20"/>
          <w:szCs w:val="20"/>
        </w:rPr>
      </w:pPr>
      <w:r>
        <w:rPr>
          <w:rFonts w:eastAsia="Arial" w:cs="Arial"/>
          <w:sz w:val="20"/>
          <w:szCs w:val="20"/>
        </w:rPr>
        <w:t>Options</w:t>
      </w:r>
    </w:p>
    <w:p>
      <w:pPr>
        <w:numPr>
          <w:ilvl w:val="0"/>
          <w:numId w:val="349"/>
        </w:numPr>
        <w:ind w:left="720" w:hanging="192"/>
        <w:jc w:val="left"/>
        <w:rPr>
          <w:rFonts w:eastAsia="Arial" w:cs="Arial"/>
          <w:sz w:val="20"/>
          <w:szCs w:val="20"/>
        </w:rPr>
      </w:pPr>
      <w:r>
        <w:rPr>
          <w:rFonts w:eastAsia="Arial" w:cs="Arial"/>
          <w:sz w:val="20"/>
          <w:szCs w:val="20"/>
        </w:rPr>
        <w:t>Interest Rate and Currency Transactions</w:t>
      </w:r>
    </w:p>
    <w:p>
      <w:pPr>
        <w:numPr>
          <w:ilvl w:val="0"/>
          <w:numId w:val="349"/>
        </w:numPr>
        <w:spacing w:after="200"/>
        <w:ind w:left="720" w:hanging="192"/>
        <w:jc w:val="left"/>
        <w:rPr>
          <w:rFonts w:eastAsia="Arial" w:cs="Arial"/>
          <w:sz w:val="20"/>
          <w:szCs w:val="20"/>
        </w:rPr>
      </w:pPr>
      <w:r>
        <w:rPr>
          <w:rFonts w:eastAsia="Arial" w:cs="Arial"/>
          <w:sz w:val="20"/>
          <w:szCs w:val="20"/>
        </w:rPr>
        <w:t>Swaps</w:t>
      </w:r>
    </w:p>
    <w:p>
      <w:bookmarkEnd w:id="354"/>
      <w:bookmarkStart w:id="355" w:name="Sec_Chp_061016102250093_06101610253172"/>
    </w:p>
    <w:p>
      <w:pPr>
        <w:pStyle w:val="Heading4"/>
      </w:pPr>
      <w:r>
        <w:t>5.3.17.2 Counterparty Risk Factors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approving transactions with a given counterparty, KCD will obtain and analyze the following information about the counterparty candidate:</w:t>
      </w:r>
    </w:p>
    <w:p>
      <w:pPr>
        <w:numPr>
          <w:ilvl w:val="0"/>
          <w:numId w:val="350"/>
        </w:numPr>
        <w:spacing w:before="200"/>
        <w:ind w:left="720" w:hanging="192"/>
        <w:jc w:val="left"/>
        <w:rPr>
          <w:rFonts w:eastAsia="Arial" w:cs="Arial"/>
          <w:sz w:val="20"/>
          <w:szCs w:val="20"/>
        </w:rPr>
      </w:pPr>
      <w:r>
        <w:rPr>
          <w:rFonts w:eastAsia="Arial" w:cs="Arial"/>
          <w:sz w:val="20"/>
          <w:szCs w:val="20"/>
        </w:rPr>
        <w:t>Obtain and review relevant information about potential counterparties such as: (i) financial statements; (ii) earning power; (iii) cash flow; (iv) capital adequacy; (v) financial leverage; (vi) ability to react to future events; and (vii) competitive position;</w:t>
      </w:r>
    </w:p>
    <w:p>
      <w:pPr>
        <w:numPr>
          <w:ilvl w:val="0"/>
          <w:numId w:val="350"/>
        </w:numPr>
        <w:ind w:left="720" w:hanging="192"/>
        <w:jc w:val="left"/>
        <w:rPr>
          <w:rFonts w:eastAsia="Arial" w:cs="Arial"/>
          <w:sz w:val="20"/>
          <w:szCs w:val="20"/>
        </w:rPr>
      </w:pPr>
      <w:r>
        <w:rPr>
          <w:rFonts w:eastAsia="Arial" w:cs="Arial"/>
          <w:sz w:val="20"/>
          <w:szCs w:val="20"/>
        </w:rPr>
        <w:t>Assess the creditworthiness of each counterparty and consider engaging in transactions only with counterparties that have, or whose parent companies have, a high credit rating (</w:t>
      </w:r>
      <w:r>
        <w:rPr>
          <w:rFonts w:eastAsia="Arial" w:cs="Arial"/>
          <w:i/>
          <w:iCs/>
          <w:sz w:val="20"/>
          <w:szCs w:val="20"/>
        </w:rPr>
        <w:t>e.g.,</w:t>
      </w:r>
      <w:r>
        <w:rPr>
          <w:rFonts w:eastAsia="Arial" w:cs="Arial"/>
          <w:sz w:val="20"/>
          <w:szCs w:val="20"/>
        </w:rPr>
        <w:t xml:space="preserve"> AAA by Standard &amp; Poor's);</w:t>
      </w:r>
    </w:p>
    <w:p>
      <w:pPr>
        <w:numPr>
          <w:ilvl w:val="0"/>
          <w:numId w:val="350"/>
        </w:numPr>
        <w:ind w:left="720" w:hanging="192"/>
        <w:jc w:val="left"/>
        <w:rPr>
          <w:rFonts w:eastAsia="Arial" w:cs="Arial"/>
          <w:sz w:val="20"/>
          <w:szCs w:val="20"/>
        </w:rPr>
      </w:pPr>
      <w:r>
        <w:rPr>
          <w:rFonts w:eastAsia="Arial" w:cs="Arial"/>
          <w:sz w:val="20"/>
          <w:szCs w:val="20"/>
        </w:rPr>
        <w:t>Review civil, criminal and administrative procedures history of the counterparty; and</w:t>
      </w:r>
    </w:p>
    <w:p>
      <w:pPr>
        <w:numPr>
          <w:ilvl w:val="0"/>
          <w:numId w:val="350"/>
        </w:numPr>
        <w:spacing w:after="200"/>
        <w:ind w:left="720" w:hanging="192"/>
        <w:jc w:val="left"/>
        <w:rPr>
          <w:rFonts w:eastAsia="Arial" w:cs="Arial"/>
          <w:sz w:val="20"/>
          <w:szCs w:val="20"/>
        </w:rPr>
      </w:pPr>
      <w:r>
        <w:rPr>
          <w:rFonts w:eastAsia="Arial" w:cs="Arial"/>
          <w:sz w:val="20"/>
          <w:szCs w:val="20"/>
        </w:rPr>
        <w:t>Assess the ability of the counterparty and any credit support party to meet their respective short-term debt obligations, including a "worst-case" scenario evaluation of the ability to repay debt in a timely fashion from cash sources or asset liquidation.</w:t>
      </w:r>
    </w:p>
    <w:p>
      <w:bookmarkEnd w:id="355"/>
      <w:bookmarkStart w:id="356" w:name="Sec_Chp_061016102250093_06101610253173"/>
    </w:p>
    <w:p>
      <w:pPr>
        <w:pStyle w:val="Heading4"/>
      </w:pPr>
      <w:r>
        <w:t>5.3.17.3 Use of Multiple Counterparties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As a means of mitigating risks, KCD will:</w:t>
      </w:r>
    </w:p>
    <w:p>
      <w:pPr>
        <w:numPr>
          <w:ilvl w:val="0"/>
          <w:numId w:val="351"/>
        </w:numPr>
        <w:spacing w:before="200"/>
        <w:ind w:left="720" w:hanging="192"/>
        <w:jc w:val="left"/>
        <w:rPr>
          <w:rFonts w:eastAsia="Arial" w:cs="Arial"/>
          <w:sz w:val="20"/>
          <w:szCs w:val="20"/>
        </w:rPr>
      </w:pPr>
      <w:r>
        <w:rPr>
          <w:rFonts w:eastAsia="Arial" w:cs="Arial"/>
          <w:sz w:val="20"/>
          <w:szCs w:val="20"/>
        </w:rPr>
        <w:t>Aggregate lending with other clients;</w:t>
      </w:r>
    </w:p>
    <w:p>
      <w:pPr>
        <w:numPr>
          <w:ilvl w:val="0"/>
          <w:numId w:val="351"/>
        </w:numPr>
        <w:ind w:left="720" w:hanging="192"/>
        <w:jc w:val="left"/>
        <w:rPr>
          <w:rFonts w:eastAsia="Arial" w:cs="Arial"/>
          <w:sz w:val="20"/>
          <w:szCs w:val="20"/>
        </w:rPr>
      </w:pPr>
      <w:r>
        <w:rPr>
          <w:rFonts w:eastAsia="Arial" w:cs="Arial"/>
          <w:sz w:val="20"/>
          <w:szCs w:val="20"/>
        </w:rPr>
        <w:t>Limit the exposure to individual counterparties to the appropriate level; and</w:t>
      </w:r>
    </w:p>
    <w:p>
      <w:pPr>
        <w:numPr>
          <w:ilvl w:val="0"/>
          <w:numId w:val="351"/>
        </w:numPr>
        <w:spacing w:after="200"/>
        <w:ind w:left="720" w:hanging="192"/>
        <w:jc w:val="left"/>
        <w:rPr>
          <w:rFonts w:eastAsia="Arial" w:cs="Arial"/>
          <w:sz w:val="20"/>
          <w:szCs w:val="20"/>
        </w:rPr>
      </w:pPr>
      <w:r>
        <w:rPr>
          <w:rFonts w:eastAsia="Arial" w:cs="Arial"/>
          <w:sz w:val="20"/>
          <w:szCs w:val="20"/>
        </w:rPr>
        <w:t>Use multiple counterparties when appropriate.</w:t>
      </w:r>
    </w:p>
    <w:p>
      <w:bookmarkEnd w:id="356"/>
      <w:bookmarkStart w:id="357" w:name="Sec_Chp_061016102250093_06101610253174"/>
    </w:p>
    <w:p>
      <w:pPr>
        <w:pStyle w:val="Heading4"/>
      </w:pPr>
      <w:r>
        <w:t>5.3.17.4 Contracts with Counterparties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transaction with a counterparty will be governed by a contract, which has been reviewed by KCD or outside counsel, that, at a minimum:</w:t>
      </w:r>
    </w:p>
    <w:p>
      <w:pPr>
        <w:numPr>
          <w:ilvl w:val="0"/>
          <w:numId w:val="352"/>
        </w:numPr>
        <w:spacing w:before="200"/>
        <w:ind w:left="720" w:hanging="192"/>
        <w:jc w:val="left"/>
        <w:rPr>
          <w:rFonts w:eastAsia="Arial" w:cs="Arial"/>
          <w:sz w:val="20"/>
          <w:szCs w:val="20"/>
        </w:rPr>
      </w:pPr>
      <w:r>
        <w:rPr>
          <w:rFonts w:eastAsia="Arial" w:cs="Arial"/>
          <w:sz w:val="20"/>
          <w:szCs w:val="20"/>
        </w:rPr>
        <w:t>Sets forth collateral requirements;</w:t>
      </w:r>
    </w:p>
    <w:p>
      <w:pPr>
        <w:numPr>
          <w:ilvl w:val="0"/>
          <w:numId w:val="352"/>
        </w:numPr>
        <w:ind w:left="720" w:hanging="192"/>
        <w:jc w:val="left"/>
        <w:rPr>
          <w:rFonts w:eastAsia="Arial" w:cs="Arial"/>
          <w:sz w:val="20"/>
          <w:szCs w:val="20"/>
        </w:rPr>
      </w:pPr>
      <w:r>
        <w:rPr>
          <w:rFonts w:eastAsia="Arial" w:cs="Arial"/>
          <w:sz w:val="20"/>
          <w:szCs w:val="20"/>
        </w:rPr>
        <w:t>Delineates the rights of the parties to close out positions; and</w:t>
      </w:r>
    </w:p>
    <w:p>
      <w:pPr>
        <w:numPr>
          <w:ilvl w:val="0"/>
          <w:numId w:val="352"/>
        </w:numPr>
        <w:spacing w:after="200"/>
        <w:ind w:left="720" w:hanging="192"/>
        <w:jc w:val="left"/>
        <w:rPr>
          <w:rFonts w:eastAsia="Arial" w:cs="Arial"/>
          <w:sz w:val="20"/>
          <w:szCs w:val="20"/>
        </w:rPr>
      </w:pPr>
      <w:r>
        <w:rPr>
          <w:rFonts w:eastAsia="Arial" w:cs="Arial"/>
          <w:sz w:val="20"/>
          <w:szCs w:val="20"/>
        </w:rPr>
        <w:t>Sets forth each party's rights under bankruptcy.</w:t>
      </w:r>
    </w:p>
    <w:p>
      <w:bookmarkEnd w:id="357"/>
      <w:bookmarkStart w:id="358" w:name="Sec_Chp_061016102250093_0610161025318"/>
    </w:p>
    <w:p>
      <w:pPr>
        <w:pStyle w:val="Heading3"/>
      </w:pPr>
      <w:bookmarkStart w:id="359" w:name="_Toc256000087"/>
      <w:r>
        <w:t>5.3.18 Co-Investments</w:t>
      </w:r>
      <w:bookmarkEnd w:id="359"/>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KCD or any of its affiliates, employees or other related persons and a client making a co-investment, the following will be satisfied:</w:t>
      </w:r>
    </w:p>
    <w:p>
      <w:pPr>
        <w:numPr>
          <w:ilvl w:val="0"/>
          <w:numId w:val="353"/>
        </w:numPr>
        <w:spacing w:before="200"/>
        <w:ind w:left="720" w:hanging="267"/>
        <w:jc w:val="left"/>
        <w:rPr>
          <w:rFonts w:eastAsia="Arial" w:cs="Arial"/>
          <w:sz w:val="20"/>
          <w:szCs w:val="20"/>
        </w:rPr>
      </w:pPr>
      <w:r>
        <w:rPr>
          <w:rFonts w:eastAsia="Arial" w:cs="Arial"/>
          <w:sz w:val="20"/>
          <w:szCs w:val="20"/>
        </w:rPr>
        <w:t>KCD will have disclosed in its Form ADV that it may make co-investments with clients;</w:t>
      </w:r>
    </w:p>
    <w:p>
      <w:pPr>
        <w:numPr>
          <w:ilvl w:val="0"/>
          <w:numId w:val="353"/>
        </w:numPr>
        <w:ind w:left="720" w:hanging="267"/>
        <w:jc w:val="left"/>
        <w:rPr>
          <w:rFonts w:eastAsia="Arial" w:cs="Arial"/>
          <w:sz w:val="20"/>
          <w:szCs w:val="20"/>
        </w:rPr>
      </w:pPr>
      <w:r>
        <w:rPr>
          <w:rFonts w:eastAsia="Arial" w:cs="Arial"/>
          <w:sz w:val="20"/>
          <w:szCs w:val="20"/>
        </w:rPr>
        <w:t>The following information about the proposed co-investment will be recorded and submitted to the Chief Compliance Officer :</w:t>
      </w:r>
    </w:p>
    <w:p>
      <w:pPr>
        <w:numPr>
          <w:ilvl w:val="1"/>
          <w:numId w:val="353"/>
        </w:numPr>
        <w:ind w:left="1440" w:hanging="220"/>
        <w:jc w:val="left"/>
        <w:rPr>
          <w:rFonts w:eastAsia="Arial" w:cs="Arial"/>
          <w:sz w:val="20"/>
          <w:szCs w:val="20"/>
        </w:rPr>
      </w:pPr>
      <w:r>
        <w:rPr>
          <w:rFonts w:eastAsia="Arial" w:cs="Arial"/>
          <w:sz w:val="20"/>
          <w:szCs w:val="20"/>
        </w:rPr>
        <w:t>Name of the investment;</w:t>
      </w:r>
    </w:p>
    <w:p>
      <w:pPr>
        <w:numPr>
          <w:ilvl w:val="1"/>
          <w:numId w:val="353"/>
        </w:numPr>
        <w:ind w:left="1440" w:hanging="220"/>
        <w:jc w:val="left"/>
        <w:rPr>
          <w:rFonts w:eastAsia="Arial" w:cs="Arial"/>
          <w:sz w:val="20"/>
          <w:szCs w:val="20"/>
        </w:rPr>
      </w:pPr>
      <w:r>
        <w:rPr>
          <w:rFonts w:eastAsia="Arial" w:cs="Arial"/>
          <w:sz w:val="20"/>
          <w:szCs w:val="20"/>
        </w:rPr>
        <w:t>Date of agreement to co-invest;</w:t>
      </w:r>
    </w:p>
    <w:p>
      <w:pPr>
        <w:numPr>
          <w:ilvl w:val="1"/>
          <w:numId w:val="353"/>
        </w:numPr>
        <w:ind w:left="1440" w:hanging="220"/>
        <w:jc w:val="left"/>
        <w:rPr>
          <w:rFonts w:eastAsia="Arial" w:cs="Arial"/>
          <w:sz w:val="20"/>
          <w:szCs w:val="20"/>
        </w:rPr>
      </w:pPr>
      <w:r>
        <w:rPr>
          <w:rFonts w:eastAsia="Arial" w:cs="Arial"/>
          <w:sz w:val="20"/>
          <w:szCs w:val="20"/>
        </w:rPr>
        <w:t>Co-investment amount contributed;</w:t>
      </w:r>
    </w:p>
    <w:p>
      <w:pPr>
        <w:numPr>
          <w:ilvl w:val="1"/>
          <w:numId w:val="353"/>
        </w:numPr>
        <w:ind w:left="1440" w:hanging="220"/>
        <w:jc w:val="left"/>
        <w:rPr>
          <w:rFonts w:eastAsia="Arial" w:cs="Arial"/>
          <w:sz w:val="20"/>
          <w:szCs w:val="20"/>
        </w:rPr>
      </w:pPr>
      <w:r>
        <w:rPr>
          <w:rFonts w:eastAsia="Arial" w:cs="Arial"/>
          <w:sz w:val="20"/>
          <w:szCs w:val="20"/>
        </w:rPr>
        <w:t>Name of participating clients; and</w:t>
      </w:r>
    </w:p>
    <w:p>
      <w:pPr>
        <w:numPr>
          <w:ilvl w:val="1"/>
          <w:numId w:val="353"/>
        </w:numPr>
        <w:ind w:left="1440" w:hanging="220"/>
        <w:jc w:val="left"/>
        <w:rPr>
          <w:rFonts w:eastAsia="Arial" w:cs="Arial"/>
          <w:sz w:val="20"/>
          <w:szCs w:val="20"/>
        </w:rPr>
      </w:pPr>
      <w:r>
        <w:rPr>
          <w:rFonts w:eastAsia="Arial" w:cs="Arial"/>
          <w:sz w:val="20"/>
          <w:szCs w:val="20"/>
        </w:rPr>
        <w:t>Names of other participating parties;</w:t>
      </w:r>
    </w:p>
    <w:p>
      <w:pPr>
        <w:numPr>
          <w:ilvl w:val="0"/>
          <w:numId w:val="353"/>
        </w:numPr>
        <w:ind w:left="720" w:hanging="267"/>
        <w:jc w:val="left"/>
        <w:rPr>
          <w:rFonts w:eastAsia="Arial" w:cs="Arial"/>
          <w:sz w:val="20"/>
          <w:szCs w:val="20"/>
        </w:rPr>
      </w:pPr>
      <w:r>
        <w:rPr>
          <w:rFonts w:eastAsia="Arial" w:cs="Arial"/>
          <w:sz w:val="20"/>
          <w:szCs w:val="20"/>
        </w:rPr>
        <w:t>The investment adviser representatives seeking to make such co-investment must receive prior written approval from the Chief Compliance Officer ; and</w:t>
      </w:r>
    </w:p>
    <w:p>
      <w:pPr>
        <w:numPr>
          <w:ilvl w:val="0"/>
          <w:numId w:val="353"/>
        </w:numPr>
        <w:spacing w:after="200"/>
        <w:ind w:left="720" w:hanging="267"/>
        <w:jc w:val="left"/>
        <w:rPr>
          <w:rFonts w:eastAsia="Arial" w:cs="Arial"/>
          <w:sz w:val="20"/>
          <w:szCs w:val="20"/>
        </w:rPr>
      </w:pPr>
      <w:r>
        <w:rPr>
          <w:rFonts w:eastAsia="Arial" w:cs="Arial"/>
          <w:sz w:val="20"/>
          <w:szCs w:val="20"/>
        </w:rPr>
        <w:t>The Chief Compliance Officer will approve the proposed co-investment only if it is fair and in the best interests of the participating clients, including the allocation of co-investment.</w:t>
      </w:r>
    </w:p>
    <w:p>
      <w:bookmarkEnd w:id="358"/>
    </w:p>
    <w:p>
      <w:pPr>
        <w:pStyle w:val="Heading3"/>
      </w:pPr>
      <w:bookmarkStart w:id="360" w:name="_Toc256000088"/>
      <w:r>
        <w:t>5.3.19 Crypto</w:t>
      </w:r>
      <w:bookmarkEnd w:id="360"/>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Crypto is a medium of exchange (which can take the form of currency) issued and/or transferred using distributed ledger or blockchain technology (also called distributed ledger technology) and includes virtual currencies, coins and tokens.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Crypto-currencies such as Bitcoin, Ethereum and Litecoin are digital or virtual currencies that use cryptography and other blockchain technology for security. The SEC and certain state securities agencies have issued warnings regarding whether crypto-currencies are suitable investments for investors, especially retirement plan investors.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Spot bitcoin exchange-traded trusts (Bitcoin ETFs), such as iShares Bitcoin Trust IBIT, Fidelity Wise Origin Bitcoin Trust FBTC, Bitwise Bitcoin ETF BITB, Valkyrie Bitcoin Fund BRRR and VanEck Bitcoin Trust HODL, are trusts that hold bitcoin directly and issue shares to investors who own a pro rata share of the trust. The shares trade on an exchange and generally trade at a price similar to the price of bitcoin.</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In 2026, the SEC-CFTC, pursuant to their "Harmonization Initiative," entered into a memorandum of understanding to delineate jurisdictions and collaborate on rulemaking. Their goal is to provide regulatory clarity, market certainty and promote innovation in the crypto space. Another of their goals is to push to transition capital markets transactions "onchain"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on the blockchain) over the next several years. Another goal is further to refine their views and seek Congress to determine what types of crypto are commodities or securities. Generally, most crypto are not believed to be securities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Bitcoin), although there remains uncertainty.</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Tokens representing interests in certain assets (through the tokenization process) also present issues as to whether they are securities. Tokens are designed to operate as a store of value and can be used as a currency. Congress with input from the Executive Branch and regulatory agencies are in the process of drafting the "Clarity Act," the purpose of which is to separate token-based transactions from investment contract securities.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Stablecoin is a type of crypto designed to have a stable value by being backed and pegged to a reserve asset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U.S. Treasuries, gold, </w:t>
            </w:r>
            <w:r>
              <w:rPr>
                <w:rFonts w:eastAsia="Arial" w:cs="Arial"/>
                <w:b w:val="0"/>
                <w:bCs w:val="0"/>
                <w:i/>
                <w:iCs/>
                <w:smallCaps w:val="0"/>
                <w:color w:val="000000"/>
                <w:sz w:val="20"/>
              </w:rPr>
              <w:t>etc.</w:t>
            </w:r>
            <w:r>
              <w:rPr>
                <w:rFonts w:eastAsia="Arial" w:cs="Arial"/>
                <w:b w:val="0"/>
                <w:bCs w:val="0"/>
                <w:i w:val="0"/>
                <w:iCs w:val="0"/>
                <w:smallCaps w:val="0"/>
                <w:color w:val="000000"/>
                <w:sz w:val="20"/>
              </w:rPr>
              <w:t xml:space="preserve">). Stablecoins are onchain. Certain guidance through legislation and enacted laws such as the Genius Act have provided some bright lines and guidance with how stablecoins are regulated. Under the Genius Act, "payment stablecoins," which are stablecoins generally intended for use as payment or settlement of transactions, are </w:t>
            </w:r>
            <w:r>
              <w:rPr>
                <w:rFonts w:eastAsia="Arial" w:cs="Arial"/>
                <w:b w:val="0"/>
                <w:bCs w:val="0"/>
                <w:i/>
                <w:iCs/>
                <w:smallCaps w:val="0"/>
                <w:color w:val="000000"/>
                <w:sz w:val="20"/>
              </w:rPr>
              <w:t>not</w:t>
            </w:r>
            <w:r>
              <w:rPr>
                <w:rFonts w:eastAsia="Arial" w:cs="Arial"/>
                <w:b w:val="0"/>
                <w:bCs w:val="0"/>
                <w:i w:val="0"/>
                <w:iCs w:val="0"/>
                <w:smallCaps w:val="0"/>
                <w:color w:val="000000"/>
                <w:sz w:val="20"/>
              </w:rPr>
              <w:t xml:space="preserve"> securities. It appears that payment stablecoin issuers likely will be subject to the supervisory authority of banking regulators. The CFTC and the SEC would maintain anti-fraud and anti-manipulation jurisdiction over transactions on any CFTC-registered digital commodities exchange or SEC-registered platform, respectively.</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For compliance purposes, it would be prudent for investment advisers to generally treat crypto, tokens and stablecoin as investments and be given the same scrutiny as investments in securities.</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Prior to investing client assets in any crypto (</w:t>
      </w:r>
      <w:r>
        <w:rPr>
          <w:rFonts w:eastAsia="Arial" w:cs="Arial"/>
          <w:i/>
          <w:iCs/>
          <w:sz w:val="20"/>
          <w:szCs w:val="20"/>
        </w:rPr>
        <w:t>i.e.,</w:t>
      </w:r>
      <w:r>
        <w:rPr>
          <w:rFonts w:eastAsia="Arial" w:cs="Arial"/>
          <w:sz w:val="20"/>
          <w:szCs w:val="20"/>
        </w:rPr>
        <w:t xml:space="preserve"> crypto currency (</w:t>
      </w:r>
      <w:r>
        <w:rPr>
          <w:rFonts w:eastAsia="Arial" w:cs="Arial"/>
          <w:i/>
          <w:iCs/>
          <w:sz w:val="20"/>
          <w:szCs w:val="20"/>
        </w:rPr>
        <w:t>e.g.,</w:t>
      </w:r>
      <w:r>
        <w:rPr>
          <w:rFonts w:eastAsia="Arial" w:cs="Arial"/>
          <w:sz w:val="20"/>
          <w:szCs w:val="20"/>
        </w:rPr>
        <w:t xml:space="preserve"> Bitcoin), crypto currencies, ETFs holding crypto, tokens and stablecoins (collectively, "crypto")), KCD will:</w:t>
      </w:r>
    </w:p>
    <w:p>
      <w:pPr>
        <w:numPr>
          <w:ilvl w:val="0"/>
          <w:numId w:val="354"/>
        </w:numPr>
        <w:spacing w:before="200"/>
        <w:ind w:left="720" w:hanging="192"/>
        <w:jc w:val="left"/>
        <w:rPr>
          <w:rFonts w:eastAsia="Arial" w:cs="Arial"/>
          <w:sz w:val="20"/>
          <w:szCs w:val="20"/>
        </w:rPr>
      </w:pPr>
      <w:r>
        <w:rPr>
          <w:rFonts w:eastAsia="Arial" w:cs="Arial"/>
          <w:sz w:val="20"/>
          <w:szCs w:val="20"/>
        </w:rPr>
        <w:t>Review relevant information regarding the crypto, including any information provided by third-party financial institutions regarding the merits of using the particular crypto for investment or other purposes;</w:t>
      </w:r>
    </w:p>
    <w:p>
      <w:pPr>
        <w:numPr>
          <w:ilvl w:val="0"/>
          <w:numId w:val="354"/>
        </w:numPr>
        <w:ind w:left="720" w:hanging="192"/>
        <w:jc w:val="left"/>
        <w:rPr>
          <w:rFonts w:eastAsia="Arial" w:cs="Arial"/>
          <w:sz w:val="20"/>
          <w:szCs w:val="20"/>
        </w:rPr>
      </w:pPr>
      <w:r>
        <w:rPr>
          <w:rFonts w:eastAsia="Arial" w:cs="Arial"/>
          <w:sz w:val="20"/>
          <w:szCs w:val="20"/>
        </w:rPr>
        <w:t>Only recommend crypto investments if KCD and Adviser Representative have the requisite background, experience, and expertise to consider and understand the particular attributes, risks, and uncertainties that the crypto present;</w:t>
      </w:r>
    </w:p>
    <w:p>
      <w:pPr>
        <w:numPr>
          <w:ilvl w:val="0"/>
          <w:numId w:val="354"/>
        </w:numPr>
        <w:ind w:left="720" w:hanging="192"/>
        <w:jc w:val="left"/>
        <w:rPr>
          <w:rFonts w:eastAsia="Arial" w:cs="Arial"/>
          <w:sz w:val="20"/>
          <w:szCs w:val="20"/>
        </w:rPr>
      </w:pPr>
      <w:r>
        <w:rPr>
          <w:rFonts w:eastAsia="Arial" w:cs="Arial"/>
          <w:sz w:val="20"/>
          <w:szCs w:val="20"/>
        </w:rPr>
        <w:t>Ensure that the amount of crypto in a client's overall portfolio: (i) is consistent with the individual client's financial circumstances, goals, and risk tolerance, (ii) is consistent with the investment strategy being employed for the client; and (iii) has a specific role in the client's portfolio (</w:t>
      </w:r>
      <w:r>
        <w:rPr>
          <w:rFonts w:eastAsia="Arial" w:cs="Arial"/>
          <w:i/>
          <w:iCs/>
          <w:sz w:val="20"/>
          <w:szCs w:val="20"/>
        </w:rPr>
        <w:t>e.g.,</w:t>
      </w:r>
      <w:r>
        <w:rPr>
          <w:rFonts w:eastAsia="Arial" w:cs="Arial"/>
          <w:sz w:val="20"/>
          <w:szCs w:val="20"/>
        </w:rPr>
        <w:t xml:space="preserve"> diversification);</w:t>
      </w:r>
    </w:p>
    <w:p>
      <w:pPr>
        <w:numPr>
          <w:ilvl w:val="0"/>
          <w:numId w:val="354"/>
        </w:numPr>
        <w:ind w:left="720" w:hanging="192"/>
        <w:jc w:val="left"/>
        <w:rPr>
          <w:rFonts w:eastAsia="Arial" w:cs="Arial"/>
          <w:sz w:val="20"/>
          <w:szCs w:val="20"/>
        </w:rPr>
      </w:pPr>
      <w:r>
        <w:rPr>
          <w:rFonts w:eastAsia="Arial" w:cs="Arial"/>
          <w:sz w:val="20"/>
          <w:szCs w:val="20"/>
        </w:rPr>
        <w:t>Verify that it can value the crypto including obtaining sufficient information to value the crypto pursuant to current accounting rules;</w:t>
      </w:r>
    </w:p>
    <w:p>
      <w:pPr>
        <w:numPr>
          <w:ilvl w:val="0"/>
          <w:numId w:val="354"/>
        </w:numPr>
        <w:ind w:left="720" w:hanging="192"/>
        <w:jc w:val="left"/>
        <w:rPr>
          <w:rFonts w:eastAsia="Arial" w:cs="Arial"/>
          <w:sz w:val="20"/>
          <w:szCs w:val="20"/>
        </w:rPr>
      </w:pPr>
      <w:r>
        <w:rPr>
          <w:rFonts w:eastAsia="Arial" w:cs="Arial"/>
          <w:sz w:val="20"/>
          <w:szCs w:val="20"/>
        </w:rPr>
        <w:t>Determine the liquidity of the crypto including how quickly the crypto can be converted to traditional cash;</w:t>
      </w:r>
    </w:p>
    <w:p>
      <w:pPr>
        <w:numPr>
          <w:ilvl w:val="0"/>
          <w:numId w:val="354"/>
        </w:numPr>
        <w:ind w:left="720" w:hanging="192"/>
        <w:jc w:val="left"/>
        <w:rPr>
          <w:rFonts w:eastAsia="Arial" w:cs="Arial"/>
          <w:sz w:val="20"/>
          <w:szCs w:val="20"/>
        </w:rPr>
      </w:pPr>
      <w:r>
        <w:rPr>
          <w:rFonts w:eastAsia="Arial" w:cs="Arial"/>
          <w:sz w:val="20"/>
          <w:szCs w:val="20"/>
        </w:rPr>
        <w:t>Ensure that the crypto can be properly and safely custodied and custodied in a manner that complies with the Advisers Acts and rules thereunder;</w:t>
      </w:r>
    </w:p>
    <w:p>
      <w:pPr>
        <w:numPr>
          <w:ilvl w:val="0"/>
          <w:numId w:val="354"/>
        </w:numPr>
        <w:ind w:left="720" w:hanging="192"/>
        <w:jc w:val="left"/>
        <w:rPr>
          <w:rFonts w:eastAsia="Arial" w:cs="Arial"/>
          <w:sz w:val="20"/>
          <w:szCs w:val="20"/>
        </w:rPr>
      </w:pPr>
      <w:r>
        <w:rPr>
          <w:rFonts w:eastAsia="Arial" w:cs="Arial"/>
          <w:sz w:val="20"/>
          <w:szCs w:val="20"/>
        </w:rPr>
        <w:t>Ascertain the volatility of the crypto, including whether it is at an acceptable level;</w:t>
      </w:r>
    </w:p>
    <w:p>
      <w:pPr>
        <w:numPr>
          <w:ilvl w:val="0"/>
          <w:numId w:val="354"/>
        </w:numPr>
        <w:ind w:left="720" w:hanging="192"/>
        <w:jc w:val="left"/>
        <w:rPr>
          <w:rFonts w:eastAsia="Arial" w:cs="Arial"/>
          <w:sz w:val="20"/>
          <w:szCs w:val="20"/>
        </w:rPr>
      </w:pPr>
      <w:r>
        <w:rPr>
          <w:rFonts w:eastAsia="Arial" w:cs="Arial"/>
          <w:sz w:val="20"/>
          <w:szCs w:val="20"/>
        </w:rPr>
        <w:t>Factor in the lack of regulation of crypto in determining whether it is too unregulated to be a suitable investment;</w:t>
      </w:r>
    </w:p>
    <w:p>
      <w:pPr>
        <w:numPr>
          <w:ilvl w:val="0"/>
          <w:numId w:val="354"/>
        </w:numPr>
        <w:ind w:left="720" w:hanging="192"/>
        <w:jc w:val="left"/>
        <w:rPr>
          <w:rFonts w:eastAsia="Arial" w:cs="Arial"/>
          <w:sz w:val="20"/>
          <w:szCs w:val="20"/>
        </w:rPr>
      </w:pPr>
      <w:r>
        <w:rPr>
          <w:rFonts w:eastAsia="Arial" w:cs="Arial"/>
          <w:sz w:val="20"/>
          <w:szCs w:val="20"/>
        </w:rPr>
        <w:t>Educate the client about crypto investing including its risks;</w:t>
      </w:r>
    </w:p>
    <w:p>
      <w:pPr>
        <w:numPr>
          <w:ilvl w:val="0"/>
          <w:numId w:val="354"/>
        </w:numPr>
        <w:ind w:left="720" w:hanging="192"/>
        <w:jc w:val="left"/>
        <w:rPr>
          <w:rFonts w:eastAsia="Arial" w:cs="Arial"/>
          <w:sz w:val="20"/>
          <w:szCs w:val="20"/>
        </w:rPr>
      </w:pPr>
      <w:r>
        <w:rPr>
          <w:rFonts w:eastAsia="Arial" w:cs="Arial"/>
          <w:sz w:val="20"/>
          <w:szCs w:val="20"/>
        </w:rPr>
        <w:t>Ensure that the crypto can be sufficiently disclosed, including its risks;</w:t>
      </w:r>
    </w:p>
    <w:p>
      <w:pPr>
        <w:numPr>
          <w:ilvl w:val="0"/>
          <w:numId w:val="354"/>
        </w:numPr>
        <w:ind w:left="720" w:hanging="192"/>
        <w:jc w:val="left"/>
        <w:rPr>
          <w:rFonts w:eastAsia="Arial" w:cs="Arial"/>
          <w:sz w:val="20"/>
          <w:szCs w:val="20"/>
        </w:rPr>
      </w:pPr>
      <w:r>
        <w:rPr>
          <w:rFonts w:eastAsia="Arial" w:cs="Arial"/>
          <w:sz w:val="20"/>
          <w:szCs w:val="20"/>
        </w:rPr>
        <w:t>Verify that the state where the client is located does not prohibit investments by advisory clients in crypto; and</w:t>
      </w:r>
    </w:p>
    <w:p>
      <w:pPr>
        <w:numPr>
          <w:ilvl w:val="0"/>
          <w:numId w:val="354"/>
        </w:numPr>
        <w:spacing w:after="200"/>
        <w:ind w:left="720" w:hanging="192"/>
        <w:jc w:val="left"/>
        <w:rPr>
          <w:rFonts w:eastAsia="Arial" w:cs="Arial"/>
          <w:sz w:val="20"/>
          <w:szCs w:val="20"/>
        </w:rPr>
      </w:pPr>
      <w:r>
        <w:rPr>
          <w:rFonts w:eastAsia="Arial" w:cs="Arial"/>
          <w:sz w:val="20"/>
          <w:szCs w:val="20"/>
        </w:rPr>
        <w:t>If the client account is a retirement account subject to ERISA, consult outside counsel to determine whether the type of crypto investment is permissible.</w:t>
      </w:r>
    </w:p>
    <w:p/>
    <w:p>
      <w:pPr>
        <w:pStyle w:val="Heading3"/>
      </w:pPr>
      <w:bookmarkStart w:id="361" w:name="_Toc256000089"/>
      <w:r>
        <w:t>5.3.20 ESG Investing</w:t>
      </w:r>
      <w:bookmarkEnd w:id="361"/>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ESG stands for Environmental, Social and Governance. Environmental criteria look at how a company performs as a steward of the natural environment. Social criteria examine how a company manages relationships with its employees, suppliers, customers and the communities where it operates. Governance deals with a company's leadership, executive pay and shareholders' rights.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has proposed to amend rules and forms under the Investment Advisers Act of 1940 to require registered investment advisers and certain advisers that are exempt from registration to provide additional information regarding their environmental, social, and governance (ESG) investment practices. The SEC stated that the proposed amendments to these forms and associated rules seek to facilitate enhanced disclosure of ESG issues to clients and shareholders. The SEC added that the proposed rules and form amendments are designed to create a consistent, comparable, and decision-useful regulatory framework for ESG advisory services to inform and protect clients while facilitating further innovation in this evolving area of the asset management industry. The SEC is proposing to require certain ESG reporting on Form ADV Part 1A, which are XML-structured forms on which advisers report census-type data.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On March 8, 2024, it was announced that the litigation over whether the SEC can require public companies to disclose their greenhouse gas emissions and other climate-related information to investors will be consolidated and reviewed by the Eighth Circuit Court of Appeals. As a result, the SEC voluntarily stayed its new ESG disclosure rules for public companies pending the outcome of this lawsuit. While the case did not directly involve proposed ESG investment adviser regulations, the ESG litigation related to corporate issuers is likely to delay indefinitely the SEC's attempt to amend rules and forms under the Advisers Act to require advisers to provide additional information regarding their ESG investment practices.</w:t>
            </w:r>
          </w:p>
        </w:tc>
      </w:tr>
    </w:tbl>
    <w:p>
      <w:pPr>
        <w:pStyle w:val="normal0"/>
        <w:spacing w:before="200" w:after="200"/>
        <w:rPr>
          <w:rFonts w:eastAsia="Arial" w:cs="Arial"/>
          <w:sz w:val="20"/>
          <w:szCs w:val="20"/>
        </w:rPr>
      </w:pPr>
      <w:r>
        <w:rPr>
          <w:rFonts w:eastAsia="Arial" w:cs="Arial"/>
          <w:sz w:val="20"/>
          <w:szCs w:val="20"/>
        </w:rPr>
        <w:br/>
      </w:r>
      <w:r>
        <w:rPr>
          <w:rFonts w:eastAsia="Arial" w:cs="Arial"/>
          <w:sz w:val="20"/>
          <w:szCs w:val="20"/>
        </w:rPr>
        <w:t>If KCD invests non-ERISA client assets in accordance with an ESG mandate or holds out that it engages in ESG investing, it will establish ESG policies and ensure any investment recommendations and related activities for accounts with ESG mandates are made consistent with such policies. It shall make sure that:</w:t>
      </w:r>
    </w:p>
    <w:p>
      <w:pPr>
        <w:numPr>
          <w:ilvl w:val="0"/>
          <w:numId w:val="355"/>
        </w:numPr>
        <w:spacing w:before="200"/>
        <w:ind w:left="720" w:hanging="192"/>
        <w:jc w:val="left"/>
        <w:rPr>
          <w:rFonts w:eastAsia="Arial" w:cs="Arial"/>
          <w:sz w:val="20"/>
          <w:szCs w:val="20"/>
        </w:rPr>
      </w:pPr>
      <w:r>
        <w:rPr>
          <w:rFonts w:eastAsia="Arial" w:cs="Arial"/>
          <w:sz w:val="20"/>
          <w:szCs w:val="20"/>
        </w:rPr>
        <w:t>Its ESG policies are consistent with KCD's proxy voting guidelines;</w:t>
      </w:r>
    </w:p>
    <w:p>
      <w:pPr>
        <w:numPr>
          <w:ilvl w:val="0"/>
          <w:numId w:val="355"/>
        </w:numPr>
        <w:ind w:left="720" w:hanging="192"/>
        <w:jc w:val="left"/>
        <w:rPr>
          <w:rFonts w:eastAsia="Arial" w:cs="Arial"/>
          <w:sz w:val="20"/>
          <w:szCs w:val="20"/>
        </w:rPr>
      </w:pPr>
      <w:r>
        <w:rPr>
          <w:rFonts w:eastAsia="Arial" w:cs="Arial"/>
          <w:sz w:val="20"/>
          <w:szCs w:val="20"/>
        </w:rPr>
        <w:t>The investment strategies it uses for ESG accounts are consistent with its ESG policies;</w:t>
      </w:r>
    </w:p>
    <w:p>
      <w:pPr>
        <w:numPr>
          <w:ilvl w:val="0"/>
          <w:numId w:val="355"/>
        </w:numPr>
        <w:ind w:left="720" w:hanging="192"/>
        <w:jc w:val="left"/>
        <w:rPr>
          <w:rFonts w:eastAsia="Arial" w:cs="Arial"/>
          <w:sz w:val="20"/>
          <w:szCs w:val="20"/>
        </w:rPr>
      </w:pPr>
      <w:r>
        <w:rPr>
          <w:rFonts w:eastAsia="Arial" w:cs="Arial"/>
          <w:sz w:val="20"/>
          <w:szCs w:val="20"/>
        </w:rPr>
        <w:t>ESG-related claims and commitments included in marketing materials, financial reporting, verbal and written employee public statements, Form ADV disclosures and advisory contracts are consistent with its ESG policies;</w:t>
      </w:r>
    </w:p>
    <w:p>
      <w:pPr>
        <w:numPr>
          <w:ilvl w:val="0"/>
          <w:numId w:val="355"/>
        </w:numPr>
        <w:ind w:left="720" w:hanging="192"/>
        <w:jc w:val="left"/>
        <w:rPr>
          <w:rFonts w:eastAsia="Arial" w:cs="Arial"/>
          <w:sz w:val="20"/>
          <w:szCs w:val="20"/>
        </w:rPr>
      </w:pPr>
      <w:r>
        <w:rPr>
          <w:rFonts w:eastAsia="Arial" w:cs="Arial"/>
          <w:sz w:val="20"/>
          <w:szCs w:val="20"/>
        </w:rPr>
        <w:t>ESG-risk disclosure is used where necessary including Part 2A of KCD's Form ADV;</w:t>
      </w:r>
    </w:p>
    <w:p>
      <w:pPr>
        <w:numPr>
          <w:ilvl w:val="0"/>
          <w:numId w:val="355"/>
        </w:numPr>
        <w:ind w:left="720" w:hanging="192"/>
        <w:jc w:val="left"/>
        <w:rPr>
          <w:rFonts w:eastAsia="Arial" w:cs="Arial"/>
          <w:sz w:val="20"/>
          <w:szCs w:val="20"/>
        </w:rPr>
      </w:pPr>
      <w:r>
        <w:rPr>
          <w:rFonts w:eastAsia="Arial" w:cs="Arial"/>
          <w:sz w:val="20"/>
          <w:szCs w:val="20"/>
        </w:rPr>
        <w:t>Employees are appropriately trained regarding KCD's ESG policies; and</w:t>
      </w:r>
    </w:p>
    <w:p>
      <w:pPr>
        <w:numPr>
          <w:ilvl w:val="0"/>
          <w:numId w:val="355"/>
        </w:numPr>
        <w:spacing w:after="200"/>
        <w:ind w:left="720" w:hanging="192"/>
        <w:jc w:val="left"/>
        <w:rPr>
          <w:rFonts w:eastAsia="Arial" w:cs="Arial"/>
          <w:sz w:val="20"/>
          <w:szCs w:val="20"/>
        </w:rPr>
      </w:pPr>
      <w:r>
        <w:rPr>
          <w:rFonts w:eastAsia="Arial" w:cs="Arial"/>
          <w:sz w:val="20"/>
          <w:szCs w:val="20"/>
        </w:rPr>
        <w:t>ESG compliance failures are identified and promptly addressed.</w:t>
      </w:r>
    </w:p>
    <w:p>
      <w:pPr>
        <w:pStyle w:val="normal0"/>
        <w:spacing w:before="200" w:after="200"/>
        <w:rPr>
          <w:rFonts w:eastAsia="Arial" w:cs="Arial"/>
          <w:sz w:val="20"/>
          <w:szCs w:val="20"/>
        </w:rPr>
      </w:pPr>
      <w:r>
        <w:rPr>
          <w:rFonts w:eastAsia="Arial" w:cs="Arial"/>
          <w:sz w:val="20"/>
          <w:szCs w:val="20"/>
        </w:rPr>
        <w:t>With regard to the consideration of an investment or investment course of action taken by KCD with respect to an employee benefit plan pursuant to KCD's fiduciary's investment duties as they relate to ESG, KCD will comply with the conditions of the Department of Labor's safe harbor set forth in its Rule 404a-1.</w:t>
      </w:r>
    </w:p>
    <w:p>
      <w:pPr>
        <w:pStyle w:val="normal0"/>
        <w:spacing w:before="200" w:after="200"/>
        <w:rPr>
          <w:rFonts w:eastAsia="Arial" w:cs="Arial"/>
          <w:sz w:val="20"/>
          <w:szCs w:val="20"/>
        </w:rPr>
      </w:pPr>
      <w:r>
        <w:rPr>
          <w:rFonts w:eastAsia="Arial" w:cs="Arial"/>
          <w:sz w:val="20"/>
          <w:szCs w:val="20"/>
        </w:rPr>
        <w:t>When complying with the Rule, KCD will have the flexibility to determine that an ESG-focused investment is or is not prudent:</w:t>
      </w:r>
    </w:p>
    <w:p>
      <w:pPr>
        <w:numPr>
          <w:ilvl w:val="0"/>
          <w:numId w:val="356"/>
        </w:numPr>
        <w:spacing w:before="200"/>
        <w:ind w:left="720" w:hanging="192"/>
        <w:jc w:val="left"/>
        <w:rPr>
          <w:rFonts w:eastAsia="Arial" w:cs="Arial"/>
          <w:sz w:val="20"/>
          <w:szCs w:val="20"/>
        </w:rPr>
      </w:pPr>
      <w:r>
        <w:rPr>
          <w:rFonts w:eastAsia="Arial" w:cs="Arial"/>
          <w:sz w:val="20"/>
          <w:szCs w:val="20"/>
        </w:rPr>
        <w:t>KCD may prudently conclude that competing investments, or competing investment courses of action, equally serve the financial interests of the plan over the appropriate time horizon, KCD as a fiduciary is not prohibited from selecting the investment, or investment course of action, based on collateral benefits other than investment returns. KCD may not, however, accept expected reduced returns or greater risks to secure such additional benefits; and</w:t>
      </w:r>
    </w:p>
    <w:p>
      <w:pPr>
        <w:numPr>
          <w:ilvl w:val="0"/>
          <w:numId w:val="356"/>
        </w:numPr>
        <w:spacing w:after="200"/>
        <w:ind w:left="720" w:hanging="192"/>
        <w:jc w:val="left"/>
        <w:rPr>
          <w:rFonts w:eastAsia="Arial" w:cs="Arial"/>
          <w:sz w:val="20"/>
          <w:szCs w:val="20"/>
        </w:rPr>
      </w:pPr>
      <w:r>
        <w:rPr>
          <w:rFonts w:eastAsia="Arial" w:cs="Arial"/>
          <w:sz w:val="20"/>
          <w:szCs w:val="20"/>
        </w:rPr>
        <w:t>KCD may not subordinate the interests of the participants and beneficiaries in their retirement income or financial benefits under the plan to other objectives, and may not sacrifice investment return or take on additional investment risk to promote benefits or goals unrelated to interests of the participants and beneficiaries in their retirement income or financial benefits under the plan.</w:t>
      </w:r>
    </w:p>
    <w:p/>
    <w:p>
      <w:pPr>
        <w:pStyle w:val="Heading3"/>
      </w:pPr>
      <w:bookmarkStart w:id="362" w:name="_Toc256000090"/>
      <w:r>
        <w:t>5.3.21 Quantitative Investing and Use of Models</w:t>
      </w:r>
      <w:bookmarkEnd w:id="362"/>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use quantitative models only if:</w:t>
      </w:r>
    </w:p>
    <w:p>
      <w:pPr>
        <w:numPr>
          <w:ilvl w:val="0"/>
          <w:numId w:val="357"/>
        </w:numPr>
        <w:spacing w:before="200"/>
        <w:ind w:left="720" w:hanging="192"/>
        <w:jc w:val="left"/>
        <w:rPr>
          <w:rFonts w:eastAsia="Arial" w:cs="Arial"/>
          <w:sz w:val="20"/>
          <w:szCs w:val="20"/>
        </w:rPr>
      </w:pPr>
      <w:r>
        <w:rPr>
          <w:rFonts w:eastAsia="Arial" w:cs="Arial"/>
          <w:sz w:val="20"/>
          <w:szCs w:val="20"/>
        </w:rPr>
        <w:t>KCD and its portfolio managers and other key Firm personnel have the proper expertise and background to create, maintain and invest in accordance with such models;</w:t>
      </w:r>
    </w:p>
    <w:p>
      <w:pPr>
        <w:numPr>
          <w:ilvl w:val="0"/>
          <w:numId w:val="357"/>
        </w:numPr>
        <w:ind w:left="720" w:hanging="192"/>
        <w:jc w:val="left"/>
        <w:rPr>
          <w:rFonts w:eastAsia="Arial" w:cs="Arial"/>
          <w:sz w:val="20"/>
          <w:szCs w:val="20"/>
        </w:rPr>
      </w:pPr>
      <w:r>
        <w:rPr>
          <w:rFonts w:eastAsia="Arial" w:cs="Arial"/>
          <w:sz w:val="20"/>
          <w:szCs w:val="20"/>
        </w:rPr>
        <w:t>controls are in place and maintained to ensure that only the appropriate Firm personnel have access to the source code, including the ability to modify and disseminate it; and</w:t>
      </w:r>
    </w:p>
    <w:p>
      <w:pPr>
        <w:numPr>
          <w:ilvl w:val="0"/>
          <w:numId w:val="357"/>
        </w:numPr>
        <w:spacing w:after="200"/>
        <w:ind w:left="720" w:hanging="192"/>
        <w:jc w:val="left"/>
        <w:rPr>
          <w:rFonts w:eastAsia="Arial" w:cs="Arial"/>
          <w:sz w:val="20"/>
          <w:szCs w:val="20"/>
        </w:rPr>
      </w:pPr>
      <w:r>
        <w:rPr>
          <w:rFonts w:eastAsia="Arial" w:cs="Arial"/>
          <w:sz w:val="20"/>
          <w:szCs w:val="20"/>
        </w:rPr>
        <w:t>KCD will ensure that its portfolio managers of the investment products based on the quantitative models only have discretion to depart from model-directed trades if such excepted trades are well-defined, monitored and documented.</w:t>
      </w:r>
    </w:p>
    <w:p>
      <w:pPr>
        <w:pStyle w:val="normal0"/>
        <w:spacing w:before="200" w:after="200"/>
        <w:rPr>
          <w:rFonts w:eastAsia="Arial" w:cs="Arial"/>
          <w:sz w:val="20"/>
          <w:szCs w:val="20"/>
        </w:rPr>
      </w:pPr>
      <w:r>
        <w:rPr>
          <w:rFonts w:eastAsia="Arial" w:cs="Arial"/>
          <w:sz w:val="20"/>
          <w:szCs w:val="20"/>
        </w:rPr>
        <w:t>To the extent KCD invests client assets in accordance with proprietary quantitative models it will follow procedures designed to ensure:</w:t>
      </w:r>
    </w:p>
    <w:p>
      <w:pPr>
        <w:numPr>
          <w:ilvl w:val="0"/>
          <w:numId w:val="358"/>
        </w:numPr>
        <w:spacing w:before="200"/>
        <w:ind w:left="720" w:hanging="192"/>
        <w:jc w:val="left"/>
        <w:rPr>
          <w:rFonts w:eastAsia="Arial" w:cs="Arial"/>
          <w:sz w:val="20"/>
          <w:szCs w:val="20"/>
        </w:rPr>
      </w:pPr>
      <w:r>
        <w:rPr>
          <w:rFonts w:eastAsia="Arial" w:cs="Arial"/>
          <w:sz w:val="20"/>
          <w:szCs w:val="20"/>
        </w:rPr>
        <w:t>quantitative models are periodically tested to monitor that they are working as intended, including that they contain no material errors;</w:t>
      </w:r>
    </w:p>
    <w:p>
      <w:pPr>
        <w:numPr>
          <w:ilvl w:val="0"/>
          <w:numId w:val="358"/>
        </w:numPr>
        <w:ind w:left="720" w:hanging="192"/>
        <w:jc w:val="left"/>
        <w:rPr>
          <w:rFonts w:eastAsia="Arial" w:cs="Arial"/>
          <w:sz w:val="20"/>
          <w:szCs w:val="20"/>
        </w:rPr>
      </w:pPr>
      <w:r>
        <w:rPr>
          <w:rFonts w:eastAsia="Arial" w:cs="Arial"/>
          <w:sz w:val="20"/>
          <w:szCs w:val="20"/>
        </w:rPr>
        <w:t>changes in models are monitored and only changed in the best interests of clients;</w:t>
      </w:r>
    </w:p>
    <w:p>
      <w:pPr>
        <w:numPr>
          <w:ilvl w:val="0"/>
          <w:numId w:val="358"/>
        </w:numPr>
        <w:ind w:left="720" w:hanging="192"/>
        <w:jc w:val="left"/>
        <w:rPr>
          <w:rFonts w:eastAsia="Arial" w:cs="Arial"/>
          <w:sz w:val="20"/>
          <w:szCs w:val="20"/>
        </w:rPr>
      </w:pPr>
      <w:r>
        <w:rPr>
          <w:rFonts w:eastAsia="Arial" w:cs="Arial"/>
          <w:sz w:val="20"/>
          <w:szCs w:val="20"/>
        </w:rPr>
        <w:t>source codes for the model are controlled and protected;</w:t>
      </w:r>
    </w:p>
    <w:p>
      <w:pPr>
        <w:numPr>
          <w:ilvl w:val="0"/>
          <w:numId w:val="358"/>
        </w:numPr>
        <w:ind w:left="720" w:hanging="192"/>
        <w:jc w:val="left"/>
        <w:rPr>
          <w:rFonts w:eastAsia="Arial" w:cs="Arial"/>
          <w:sz w:val="20"/>
          <w:szCs w:val="20"/>
        </w:rPr>
      </w:pPr>
      <w:r>
        <w:rPr>
          <w:rFonts w:eastAsia="Arial" w:cs="Arial"/>
          <w:sz w:val="20"/>
          <w:szCs w:val="20"/>
        </w:rPr>
        <w:t>disclose: (1) the objective of the model; (2) how the model works including key inputs; (3) any and all recognized risks associated with using the quantitative models; and (4) the frequency of the model rebalancing;</w:t>
      </w:r>
    </w:p>
    <w:p>
      <w:pPr>
        <w:numPr>
          <w:ilvl w:val="0"/>
          <w:numId w:val="358"/>
        </w:numPr>
        <w:ind w:left="720" w:hanging="192"/>
        <w:jc w:val="left"/>
        <w:rPr>
          <w:rFonts w:eastAsia="Arial" w:cs="Arial"/>
          <w:sz w:val="20"/>
          <w:szCs w:val="20"/>
        </w:rPr>
      </w:pPr>
      <w:r>
        <w:rPr>
          <w:rFonts w:eastAsia="Arial" w:cs="Arial"/>
          <w:sz w:val="20"/>
          <w:szCs w:val="20"/>
        </w:rPr>
        <w:t>market and hold itself out as a quantitative investment adviser of a particular investment product only to the extent the quantitative model results actually and in fact are the sole source of the trades implementing the quantitative strategies and not actively managed strategies;</w:t>
      </w:r>
    </w:p>
    <w:p>
      <w:pPr>
        <w:numPr>
          <w:ilvl w:val="0"/>
          <w:numId w:val="358"/>
        </w:numPr>
        <w:ind w:left="720" w:hanging="192"/>
        <w:jc w:val="left"/>
        <w:rPr>
          <w:rFonts w:eastAsia="Arial" w:cs="Arial"/>
          <w:sz w:val="20"/>
          <w:szCs w:val="20"/>
        </w:rPr>
      </w:pPr>
      <w:r>
        <w:rPr>
          <w:rFonts w:eastAsia="Arial" w:cs="Arial"/>
          <w:sz w:val="20"/>
          <w:szCs w:val="20"/>
        </w:rPr>
        <w:t>ensure that the portfolio managers and other key Firm personnel involved with the quantitative models and their supervisors have the proper expertise and background to create such models; and</w:t>
      </w:r>
    </w:p>
    <w:p>
      <w:pPr>
        <w:numPr>
          <w:ilvl w:val="0"/>
          <w:numId w:val="358"/>
        </w:numPr>
        <w:spacing w:after="200"/>
        <w:ind w:left="720" w:hanging="192"/>
        <w:jc w:val="left"/>
        <w:rPr>
          <w:rFonts w:eastAsia="Arial" w:cs="Arial"/>
          <w:sz w:val="20"/>
          <w:szCs w:val="20"/>
        </w:rPr>
      </w:pPr>
      <w:r>
        <w:rPr>
          <w:rFonts w:eastAsia="Arial" w:cs="Arial"/>
          <w:sz w:val="20"/>
          <w:szCs w:val="20"/>
        </w:rPr>
        <w:t>employ reasonable controls regarding the testing, approval, and documentation of any changes to its quantitative models.</w:t>
      </w:r>
    </w:p>
    <w:p/>
    <w:p>
      <w:pPr>
        <w:pStyle w:val="Heading4"/>
      </w:pPr>
      <w:r>
        <w:t>5.3.21.1 Testing Models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To the extent KCD invests client assets in accordance with proprietary quantitative models, it will:</w:t>
      </w:r>
    </w:p>
    <w:p>
      <w:pPr>
        <w:numPr>
          <w:ilvl w:val="0"/>
          <w:numId w:val="359"/>
        </w:numPr>
        <w:spacing w:before="200"/>
        <w:ind w:left="720" w:hanging="192"/>
        <w:jc w:val="left"/>
        <w:rPr>
          <w:rFonts w:eastAsia="Arial" w:cs="Arial"/>
          <w:sz w:val="20"/>
          <w:szCs w:val="20"/>
        </w:rPr>
      </w:pPr>
      <w:r>
        <w:rPr>
          <w:rFonts w:eastAsia="Arial" w:cs="Arial"/>
          <w:sz w:val="20"/>
          <w:szCs w:val="20"/>
        </w:rPr>
        <w:t>test and otherwise monitor quantitative models to ensure they are working as intended, including that they contain no material errors;</w:t>
      </w:r>
    </w:p>
    <w:p>
      <w:pPr>
        <w:numPr>
          <w:ilvl w:val="0"/>
          <w:numId w:val="359"/>
        </w:numPr>
        <w:ind w:left="720" w:hanging="192"/>
        <w:jc w:val="left"/>
        <w:rPr>
          <w:rFonts w:eastAsia="Arial" w:cs="Arial"/>
          <w:sz w:val="20"/>
          <w:szCs w:val="20"/>
        </w:rPr>
      </w:pPr>
      <w:r>
        <w:rPr>
          <w:rFonts w:eastAsia="Arial" w:cs="Arial"/>
          <w:sz w:val="20"/>
          <w:szCs w:val="20"/>
        </w:rPr>
        <w:t>employ reasonable controls regarding the testing, approval, and documentation of any changes to its quantitative models;</w:t>
      </w:r>
    </w:p>
    <w:p>
      <w:pPr>
        <w:numPr>
          <w:ilvl w:val="0"/>
          <w:numId w:val="359"/>
        </w:numPr>
        <w:ind w:left="720" w:hanging="192"/>
        <w:jc w:val="left"/>
        <w:rPr>
          <w:rFonts w:eastAsia="Arial" w:cs="Arial"/>
          <w:sz w:val="20"/>
          <w:szCs w:val="20"/>
        </w:rPr>
      </w:pPr>
      <w:r>
        <w:rPr>
          <w:rFonts w:eastAsia="Arial" w:cs="Arial"/>
          <w:sz w:val="20"/>
          <w:szCs w:val="20"/>
        </w:rPr>
        <w:t>subject new models and changes to existing models to approval by the Chief Compliance Officer and other relevant persons chosen by the Chief Compliance Officer for review; and</w:t>
      </w:r>
    </w:p>
    <w:p>
      <w:pPr>
        <w:numPr>
          <w:ilvl w:val="0"/>
          <w:numId w:val="359"/>
        </w:numPr>
        <w:spacing w:after="200"/>
        <w:ind w:left="720" w:hanging="192"/>
        <w:jc w:val="left"/>
        <w:rPr>
          <w:rFonts w:eastAsia="Arial" w:cs="Arial"/>
          <w:sz w:val="20"/>
          <w:szCs w:val="20"/>
        </w:rPr>
      </w:pPr>
      <w:r>
        <w:rPr>
          <w:rFonts w:eastAsia="Arial" w:cs="Arial"/>
          <w:sz w:val="20"/>
          <w:szCs w:val="20"/>
        </w:rPr>
        <w:t>ensure that the portfolio managers of the investment products based on the quantitative models only have discretion to depart from model-directed trades if such excepted trades are well-defined, monitored and documented.</w:t>
      </w:r>
    </w:p>
    <w:p>
      <w:bookmarkStart w:id="363" w:name="Sec_Chp_061016102250093_0610161025318532"/>
    </w:p>
    <w:p>
      <w:pPr>
        <w:pStyle w:val="Heading4"/>
      </w:pPr>
      <w:r>
        <w:t>5.3.21.2 New Models and Changes in Models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To the extent KCD invests client assets in accordance with proprietary quantitative models, it will follow the procedures below with respect to proposed new models and change in models prior to the models and changes going live:</w:t>
      </w:r>
    </w:p>
    <w:p>
      <w:pPr>
        <w:numPr>
          <w:ilvl w:val="0"/>
          <w:numId w:val="360"/>
        </w:numPr>
        <w:spacing w:before="200"/>
        <w:ind w:left="720" w:hanging="192"/>
        <w:jc w:val="left"/>
        <w:rPr>
          <w:rFonts w:eastAsia="Arial" w:cs="Arial"/>
          <w:sz w:val="20"/>
          <w:szCs w:val="20"/>
        </w:rPr>
      </w:pPr>
      <w:r>
        <w:rPr>
          <w:rFonts w:eastAsia="Arial" w:cs="Arial"/>
          <w:sz w:val="20"/>
          <w:szCs w:val="20"/>
        </w:rPr>
        <w:t>Investment personnel proposing new models and changes to existing models (called modelers) will disclose such models and changes to KCD's Chief Compliance Officer and Chief Investment Officer;</w:t>
      </w:r>
    </w:p>
    <w:p>
      <w:pPr>
        <w:numPr>
          <w:ilvl w:val="0"/>
          <w:numId w:val="360"/>
        </w:numPr>
        <w:ind w:left="720" w:hanging="192"/>
        <w:jc w:val="left"/>
        <w:rPr>
          <w:rFonts w:eastAsia="Arial" w:cs="Arial"/>
          <w:sz w:val="20"/>
          <w:szCs w:val="20"/>
        </w:rPr>
      </w:pPr>
      <w:r>
        <w:rPr>
          <w:rFonts w:eastAsia="Arial" w:cs="Arial"/>
          <w:sz w:val="20"/>
          <w:szCs w:val="20"/>
        </w:rPr>
        <w:t>New models and changes to existing models will be permitted only if approved and vetted by the Chief Compliance Officer, Chief Investment Officer and other relevant persons chosen by the Chief Compliance Officer for review;</w:t>
      </w:r>
    </w:p>
    <w:p>
      <w:pPr>
        <w:numPr>
          <w:ilvl w:val="0"/>
          <w:numId w:val="360"/>
        </w:numPr>
        <w:ind w:left="720" w:hanging="192"/>
        <w:jc w:val="left"/>
        <w:rPr>
          <w:rFonts w:eastAsia="Arial" w:cs="Arial"/>
          <w:sz w:val="20"/>
          <w:szCs w:val="20"/>
        </w:rPr>
      </w:pPr>
      <w:r>
        <w:rPr>
          <w:rFonts w:eastAsia="Arial" w:cs="Arial"/>
          <w:sz w:val="20"/>
          <w:szCs w:val="20"/>
        </w:rPr>
        <w:t>Modelers shall draft and submit a document detailing the model's objective and provide information about the model's analytics and key metrics and such document shall summarize key attributes, including the proposed model's correlation to existing models;</w:t>
      </w:r>
    </w:p>
    <w:p>
      <w:pPr>
        <w:numPr>
          <w:ilvl w:val="0"/>
          <w:numId w:val="360"/>
        </w:numPr>
        <w:ind w:left="720" w:hanging="192"/>
        <w:jc w:val="left"/>
        <w:rPr>
          <w:rFonts w:eastAsia="Arial" w:cs="Arial"/>
          <w:sz w:val="20"/>
          <w:szCs w:val="20"/>
        </w:rPr>
      </w:pPr>
      <w:r>
        <w:rPr>
          <w:rFonts w:eastAsia="Arial" w:cs="Arial"/>
          <w:sz w:val="20"/>
          <w:szCs w:val="20"/>
        </w:rPr>
        <w:t>New models and models after modified will be backtested to ensure they are working as intended and such backtesting shall be documented;</w:t>
      </w:r>
    </w:p>
    <w:p>
      <w:pPr>
        <w:numPr>
          <w:ilvl w:val="0"/>
          <w:numId w:val="360"/>
        </w:numPr>
        <w:ind w:left="720" w:hanging="192"/>
        <w:jc w:val="left"/>
        <w:rPr>
          <w:rFonts w:eastAsia="Arial" w:cs="Arial"/>
          <w:sz w:val="20"/>
          <w:szCs w:val="20"/>
        </w:rPr>
      </w:pPr>
      <w:r>
        <w:rPr>
          <w:rFonts w:eastAsia="Arial" w:cs="Arial"/>
          <w:sz w:val="20"/>
          <w:szCs w:val="20"/>
        </w:rPr>
        <w:t>Once approved, members of KCD's portfolio management teams will evaluate the new or modified model and determine whether and how to incorporate it into KCD's investment strategies;</w:t>
      </w:r>
    </w:p>
    <w:p>
      <w:pPr>
        <w:numPr>
          <w:ilvl w:val="0"/>
          <w:numId w:val="360"/>
        </w:numPr>
        <w:ind w:left="720" w:hanging="192"/>
        <w:jc w:val="left"/>
        <w:rPr>
          <w:rFonts w:eastAsia="Arial" w:cs="Arial"/>
          <w:sz w:val="20"/>
          <w:szCs w:val="20"/>
        </w:rPr>
      </w:pPr>
      <w:r>
        <w:rPr>
          <w:rFonts w:eastAsia="Arial" w:cs="Arial"/>
          <w:sz w:val="20"/>
          <w:szCs w:val="20"/>
        </w:rPr>
        <w:t>Only employees approved by the Chief Compliance Officer or Chief Investment Officer will have access to models to, among other things, read and write access to a firm database that store models including their parameters;</w:t>
      </w:r>
    </w:p>
    <w:p>
      <w:pPr>
        <w:numPr>
          <w:ilvl w:val="0"/>
          <w:numId w:val="360"/>
        </w:numPr>
        <w:ind w:left="720" w:hanging="192"/>
        <w:jc w:val="left"/>
        <w:rPr>
          <w:rFonts w:eastAsia="Arial" w:cs="Arial"/>
          <w:sz w:val="20"/>
          <w:szCs w:val="20"/>
        </w:rPr>
      </w:pPr>
      <w:r>
        <w:rPr>
          <w:rFonts w:eastAsia="Arial" w:cs="Arial"/>
          <w:sz w:val="20"/>
          <w:szCs w:val="20"/>
        </w:rPr>
        <w:t>Read and write codes will be in place to prevent unauthorized changes to models;</w:t>
      </w:r>
    </w:p>
    <w:p>
      <w:pPr>
        <w:numPr>
          <w:ilvl w:val="0"/>
          <w:numId w:val="360"/>
        </w:numPr>
        <w:ind w:left="720" w:hanging="192"/>
        <w:jc w:val="left"/>
        <w:rPr>
          <w:rFonts w:eastAsia="Arial" w:cs="Arial"/>
          <w:sz w:val="20"/>
          <w:szCs w:val="20"/>
        </w:rPr>
      </w:pPr>
      <w:r>
        <w:rPr>
          <w:rFonts w:eastAsia="Arial" w:cs="Arial"/>
          <w:sz w:val="20"/>
          <w:szCs w:val="20"/>
        </w:rPr>
        <w:t>Source codes for the models will be reviewed to ensure their accuracy and appropriateness;</w:t>
      </w:r>
    </w:p>
    <w:p>
      <w:pPr>
        <w:numPr>
          <w:ilvl w:val="0"/>
          <w:numId w:val="360"/>
        </w:numPr>
        <w:ind w:left="720" w:hanging="192"/>
        <w:jc w:val="left"/>
        <w:rPr>
          <w:rFonts w:eastAsia="Arial" w:cs="Arial"/>
          <w:sz w:val="20"/>
          <w:szCs w:val="20"/>
        </w:rPr>
      </w:pPr>
      <w:r>
        <w:rPr>
          <w:rFonts w:eastAsia="Arial" w:cs="Arial"/>
          <w:sz w:val="20"/>
          <w:szCs w:val="20"/>
        </w:rPr>
        <w:t>Personnel in charge of marketing and Firm disclosure will make sure KCD's Form ADV, website and market materials reflect the new or changed models;</w:t>
      </w:r>
    </w:p>
    <w:p>
      <w:pPr>
        <w:numPr>
          <w:ilvl w:val="0"/>
          <w:numId w:val="360"/>
        </w:numPr>
        <w:ind w:left="720" w:hanging="192"/>
        <w:jc w:val="left"/>
        <w:rPr>
          <w:rFonts w:eastAsia="Arial" w:cs="Arial"/>
          <w:sz w:val="20"/>
          <w:szCs w:val="20"/>
        </w:rPr>
      </w:pPr>
      <w:r>
        <w:rPr>
          <w:rFonts w:eastAsia="Arial" w:cs="Arial"/>
          <w:sz w:val="20"/>
          <w:szCs w:val="20"/>
        </w:rPr>
        <w:t>A materiality standard will be applied to changes in models (</w:t>
      </w:r>
      <w:r>
        <w:rPr>
          <w:rFonts w:eastAsia="Arial" w:cs="Arial"/>
          <w:i/>
          <w:iCs/>
          <w:sz w:val="20"/>
          <w:szCs w:val="20"/>
        </w:rPr>
        <w:t>e.g.,</w:t>
      </w:r>
      <w:r>
        <w:rPr>
          <w:rFonts w:eastAsia="Arial" w:cs="Arial"/>
          <w:sz w:val="20"/>
          <w:szCs w:val="20"/>
        </w:rPr>
        <w:t xml:space="preserve"> correlation test between the current model and the modified model); and</w:t>
      </w:r>
    </w:p>
    <w:p>
      <w:pPr>
        <w:numPr>
          <w:ilvl w:val="0"/>
          <w:numId w:val="360"/>
        </w:numPr>
        <w:spacing w:after="200"/>
        <w:ind w:left="720" w:hanging="192"/>
        <w:jc w:val="left"/>
        <w:rPr>
          <w:rFonts w:eastAsia="Arial" w:cs="Arial"/>
          <w:sz w:val="20"/>
          <w:szCs w:val="20"/>
        </w:rPr>
      </w:pPr>
      <w:r>
        <w:rPr>
          <w:rFonts w:eastAsia="Arial" w:cs="Arial"/>
          <w:sz w:val="20"/>
          <w:szCs w:val="20"/>
        </w:rPr>
        <w:t>Portfolio managers of the investment products or client accounts based on the quantitative models will only have discretion to depart from model-directed trades if such excepted trades are well-defined, monitored and documented.</w:t>
      </w:r>
    </w:p>
    <w:p>
      <w:bookmarkEnd w:id="363"/>
      <w:bookmarkStart w:id="364" w:name="Sec_Chp_061016102250093_238422"/>
    </w:p>
    <w:p>
      <w:pPr>
        <w:pStyle w:val="Heading3"/>
      </w:pPr>
      <w:bookmarkStart w:id="365" w:name="_Toc256000091"/>
      <w:r>
        <w:t>5.3.22 Artificial Intelligence</w:t>
      </w:r>
      <w:bookmarkEnd w:id="365"/>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Artificial intelligence (AI) is generally used to mean the capability of a machine to imitate intelligent human behavior, and machine learning is a subfield of artificial intelligence that gives computers the ability to learn without explicitly being programmed. AI is available through access to web-based computerized systems and software programs, which can perform tasks of investment analysis, research and data interpretation. An example of a firm's use of AI is an auto-encoder model to predict stock. AI can also provide a firm with predictive analytics. Examples of AI are ChatGPT or Co-Pilot.</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SEC's Division of Examinations has stated:</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"With respect to AI, the Division will focus on recent advancements in AI and will review for accuracy registrant representations regarding their AI capabilities or AI. The Division will assess whether firms have implemented adequate policies and procedures to monitor and/or supervise their use of AI technologies, including for tasks related to fraud prevention and detection, back-office operations, anti-money laundering (AML), and trading functions, as applicable. Reviews will also consider firm integration of regulatory technology to automate internal processes and optimize efficiencies."</w:t>
            </w:r>
          </w:p>
        </w:tc>
      </w:tr>
    </w:tbl>
    <w:p>
      <w:pPr>
        <w:pStyle w:val="normal0"/>
        <w:spacing w:before="200" w:after="200"/>
        <w:rPr>
          <w:rFonts w:eastAsia="Arial" w:cs="Arial"/>
          <w:sz w:val="20"/>
          <w:szCs w:val="20"/>
        </w:rPr>
      </w:pPr>
      <w:r>
        <w:rPr>
          <w:rFonts w:eastAsia="Arial" w:cs="Arial"/>
          <w:sz w:val="20"/>
          <w:szCs w:val="20"/>
        </w:rPr>
        <w:t>When conducting AI-related reviews, Firm assessments will include whether:</w:t>
      </w:r>
    </w:p>
    <w:p>
      <w:pPr>
        <w:numPr>
          <w:ilvl w:val="0"/>
          <w:numId w:val="361"/>
        </w:numPr>
        <w:spacing w:before="200"/>
        <w:ind w:left="720" w:hanging="267"/>
        <w:jc w:val="left"/>
        <w:rPr>
          <w:rFonts w:eastAsia="Arial" w:cs="Arial"/>
          <w:sz w:val="20"/>
          <w:szCs w:val="20"/>
        </w:rPr>
      </w:pPr>
      <w:r>
        <w:rPr>
          <w:rFonts w:eastAsia="Arial" w:cs="Arial"/>
          <w:sz w:val="20"/>
          <w:szCs w:val="20"/>
        </w:rPr>
        <w:t>representations about KCD's use of AI are fair and accurate;</w:t>
      </w:r>
    </w:p>
    <w:p>
      <w:pPr>
        <w:numPr>
          <w:ilvl w:val="0"/>
          <w:numId w:val="361"/>
        </w:numPr>
        <w:ind w:left="720" w:hanging="267"/>
        <w:jc w:val="left"/>
        <w:rPr>
          <w:rFonts w:eastAsia="Arial" w:cs="Arial"/>
          <w:sz w:val="20"/>
          <w:szCs w:val="20"/>
        </w:rPr>
      </w:pPr>
      <w:r>
        <w:rPr>
          <w:rFonts w:eastAsia="Arial" w:cs="Arial"/>
          <w:sz w:val="20"/>
          <w:szCs w:val="20"/>
        </w:rPr>
        <w:t>operations and controls regarding AI, that KCD has in place, are consistent with disclosures made to clients;</w:t>
      </w:r>
    </w:p>
    <w:p>
      <w:pPr>
        <w:numPr>
          <w:ilvl w:val="0"/>
          <w:numId w:val="361"/>
        </w:numPr>
        <w:ind w:left="720" w:hanging="267"/>
        <w:jc w:val="left"/>
        <w:rPr>
          <w:rFonts w:eastAsia="Arial" w:cs="Arial"/>
          <w:sz w:val="20"/>
          <w:szCs w:val="20"/>
        </w:rPr>
      </w:pPr>
      <w:r>
        <w:rPr>
          <w:rFonts w:eastAsia="Arial" w:cs="Arial"/>
          <w:sz w:val="20"/>
          <w:szCs w:val="20"/>
        </w:rPr>
        <w:t>any and all algorithms used by KCD lead to advice or recommendations that are consistent with each client's investment profile or stated strategies; and</w:t>
      </w:r>
    </w:p>
    <w:p>
      <w:pPr>
        <w:numPr>
          <w:ilvl w:val="0"/>
          <w:numId w:val="361"/>
        </w:numPr>
        <w:spacing w:after="200"/>
        <w:ind w:left="720" w:hanging="267"/>
        <w:jc w:val="left"/>
        <w:rPr>
          <w:rFonts w:eastAsia="Arial" w:cs="Arial"/>
          <w:sz w:val="20"/>
          <w:szCs w:val="20"/>
        </w:rPr>
      </w:pPr>
      <w:r>
        <w:rPr>
          <w:rFonts w:eastAsia="Arial" w:cs="Arial"/>
          <w:sz w:val="20"/>
          <w:szCs w:val="20"/>
        </w:rPr>
        <w:t>controls are in place and operating in a manner that confirm that advice or recommendations resulting from AI including automated tools are consistent with regulatory obligations to clients, including older clients.</w:t>
      </w:r>
    </w:p>
    <w:p>
      <w:pPr>
        <w:pStyle w:val="normal0"/>
        <w:spacing w:before="200" w:after="200"/>
        <w:rPr>
          <w:rFonts w:eastAsia="Arial" w:cs="Arial"/>
          <w:sz w:val="20"/>
          <w:szCs w:val="20"/>
        </w:rPr>
      </w:pPr>
      <w:r>
        <w:rPr>
          <w:rFonts w:eastAsia="Arial" w:cs="Arial"/>
          <w:sz w:val="20"/>
          <w:szCs w:val="20"/>
        </w:rPr>
        <w:t>From time to time, KCD will evaluate its use of artificial intelligence (AI), including what the SEC has classified as "covered technology," to better serve its clients. Covered technology includes an advisory firm's use of analytical, technological or computational functions, algorithms, models, correlation matrices, or similar methods or processes that optimize for, predict, guide, forecast or direct investment-related behaviors or outcomes of a client.</w:t>
      </w:r>
    </w:p>
    <w:p>
      <w:pPr>
        <w:pStyle w:val="normal0"/>
        <w:spacing w:before="200" w:after="200"/>
        <w:rPr>
          <w:rFonts w:eastAsia="Arial" w:cs="Arial"/>
          <w:sz w:val="20"/>
          <w:szCs w:val="20"/>
        </w:rPr>
      </w:pPr>
      <w:r>
        <w:rPr>
          <w:rFonts w:eastAsia="Arial" w:cs="Arial"/>
          <w:sz w:val="20"/>
          <w:szCs w:val="20"/>
        </w:rPr>
        <w:t>If KCD uses AI to provide its products and services to advisory clients, KCD will:</w:t>
      </w:r>
    </w:p>
    <w:p>
      <w:pPr>
        <w:numPr>
          <w:ilvl w:val="0"/>
          <w:numId w:val="362"/>
        </w:numPr>
        <w:spacing w:before="200"/>
        <w:ind w:left="720" w:hanging="192"/>
        <w:jc w:val="left"/>
        <w:rPr>
          <w:rFonts w:eastAsia="Arial" w:cs="Arial"/>
          <w:sz w:val="20"/>
          <w:szCs w:val="20"/>
        </w:rPr>
      </w:pPr>
      <w:r>
        <w:rPr>
          <w:rFonts w:eastAsia="Arial" w:cs="Arial"/>
          <w:sz w:val="20"/>
          <w:szCs w:val="20"/>
        </w:rPr>
        <w:t>evaluate the use (or reasonably foreseeable potential use) of the particular AI technology including the applicable programming language and the source code of the technology, document how the AI technology works, and review the data considered by the AI technology;</w:t>
      </w:r>
    </w:p>
    <w:p>
      <w:pPr>
        <w:numPr>
          <w:ilvl w:val="0"/>
          <w:numId w:val="362"/>
        </w:numPr>
        <w:ind w:left="720" w:hanging="192"/>
        <w:jc w:val="left"/>
        <w:rPr>
          <w:rFonts w:eastAsia="Arial" w:cs="Arial"/>
          <w:sz w:val="20"/>
          <w:szCs w:val="20"/>
        </w:rPr>
      </w:pPr>
      <w:r>
        <w:rPr>
          <w:rFonts w:eastAsia="Arial" w:cs="Arial"/>
          <w:sz w:val="20"/>
          <w:szCs w:val="20"/>
        </w:rPr>
        <w:t>review the material features of the particular AI to be used in any client interaction and any conflicts of interest associated with that use;</w:t>
      </w:r>
    </w:p>
    <w:p>
      <w:pPr>
        <w:numPr>
          <w:ilvl w:val="0"/>
          <w:numId w:val="362"/>
        </w:numPr>
        <w:ind w:left="720" w:hanging="192"/>
        <w:jc w:val="left"/>
        <w:rPr>
          <w:rFonts w:eastAsia="Arial" w:cs="Arial"/>
          <w:sz w:val="20"/>
          <w:szCs w:val="20"/>
        </w:rPr>
      </w:pPr>
      <w:r>
        <w:rPr>
          <w:rFonts w:eastAsia="Arial" w:cs="Arial"/>
          <w:sz w:val="20"/>
          <w:szCs w:val="20"/>
        </w:rPr>
        <w:t>ensure that any models, investment advice or recommendations derived from AI are not based on hallucinations or inaccurate information;</w:t>
      </w:r>
    </w:p>
    <w:p>
      <w:pPr>
        <w:numPr>
          <w:ilvl w:val="0"/>
          <w:numId w:val="362"/>
        </w:numPr>
        <w:ind w:left="720" w:hanging="192"/>
        <w:jc w:val="left"/>
        <w:rPr>
          <w:rFonts w:eastAsia="Arial" w:cs="Arial"/>
          <w:sz w:val="20"/>
          <w:szCs w:val="20"/>
        </w:rPr>
      </w:pPr>
      <w:r>
        <w:rPr>
          <w:rFonts w:eastAsia="Arial" w:cs="Arial"/>
          <w:sz w:val="20"/>
          <w:szCs w:val="20"/>
        </w:rPr>
        <w:t>ensure that the use of the particular AI does not result in KCD's interests being placed ahead of the interests of the client;</w:t>
      </w:r>
    </w:p>
    <w:p>
      <w:pPr>
        <w:numPr>
          <w:ilvl w:val="0"/>
          <w:numId w:val="362"/>
        </w:numPr>
        <w:ind w:left="720" w:hanging="192"/>
        <w:jc w:val="left"/>
        <w:rPr>
          <w:rFonts w:eastAsia="Arial" w:cs="Arial"/>
          <w:sz w:val="20"/>
          <w:szCs w:val="20"/>
        </w:rPr>
      </w:pPr>
      <w:r>
        <w:rPr>
          <w:rFonts w:eastAsia="Arial" w:cs="Arial"/>
          <w:sz w:val="20"/>
          <w:szCs w:val="20"/>
        </w:rPr>
        <w:t>draft a description of the AI tools it uses including the processes it employs to evaluate the use of particular AI technologies and how KCD addresses any conflicts of interest raised by using AI;</w:t>
      </w:r>
    </w:p>
    <w:p>
      <w:pPr>
        <w:numPr>
          <w:ilvl w:val="0"/>
          <w:numId w:val="362"/>
        </w:numPr>
        <w:ind w:left="720" w:hanging="192"/>
        <w:jc w:val="left"/>
        <w:rPr>
          <w:rFonts w:eastAsia="Arial" w:cs="Arial"/>
          <w:sz w:val="20"/>
          <w:szCs w:val="20"/>
        </w:rPr>
      </w:pPr>
      <w:r>
        <w:rPr>
          <w:rFonts w:eastAsia="Arial" w:cs="Arial"/>
          <w:sz w:val="20"/>
          <w:szCs w:val="20"/>
        </w:rPr>
        <w:t xml:space="preserve">conclude that KCD is not engaging in "AI washing" </w:t>
      </w:r>
      <w:r>
        <w:rPr>
          <w:rFonts w:eastAsia="Arial" w:cs="Arial"/>
          <w:i/>
          <w:iCs/>
          <w:sz w:val="20"/>
          <w:szCs w:val="20"/>
        </w:rPr>
        <w:t xml:space="preserve">i.e., </w:t>
      </w:r>
      <w:r>
        <w:rPr>
          <w:rFonts w:eastAsia="Arial" w:cs="Arial"/>
          <w:sz w:val="20"/>
          <w:szCs w:val="20"/>
        </w:rPr>
        <w:t>KCD will not market that it uses AI unless AI is a meaningful part of its advisory services (such as AI derived investment models) and, if so, KCD must ensure that any marketing material describing the role of AI in its services (</w:t>
      </w:r>
      <w:r>
        <w:rPr>
          <w:rFonts w:eastAsia="Arial" w:cs="Arial"/>
          <w:i/>
          <w:iCs/>
          <w:sz w:val="20"/>
          <w:szCs w:val="20"/>
        </w:rPr>
        <w:t>e.g.,</w:t>
      </w:r>
      <w:r>
        <w:rPr>
          <w:rFonts w:eastAsia="Arial" w:cs="Arial"/>
          <w:sz w:val="20"/>
          <w:szCs w:val="20"/>
        </w:rPr>
        <w:t xml:space="preserve"> "AI-driven investment advice") is accurate and not misleading;</w:t>
      </w:r>
    </w:p>
    <w:p>
      <w:pPr>
        <w:numPr>
          <w:ilvl w:val="0"/>
          <w:numId w:val="362"/>
        </w:numPr>
        <w:ind w:left="720" w:hanging="192"/>
        <w:jc w:val="left"/>
        <w:rPr>
          <w:rFonts w:eastAsia="Arial" w:cs="Arial"/>
          <w:sz w:val="20"/>
          <w:szCs w:val="20"/>
        </w:rPr>
      </w:pPr>
      <w:r>
        <w:rPr>
          <w:rFonts w:eastAsia="Arial" w:cs="Arial"/>
          <w:sz w:val="20"/>
          <w:szCs w:val="20"/>
        </w:rPr>
        <w:t>supervise any Adviser Representative and other Firm employee who uses AI and require at least one Adviser Representative to review the results of AI recommendations or AI influence on recommendations prior to disseminating such recommendations to clients;</w:t>
      </w:r>
    </w:p>
    <w:p>
      <w:pPr>
        <w:numPr>
          <w:ilvl w:val="0"/>
          <w:numId w:val="362"/>
        </w:numPr>
        <w:ind w:left="720" w:hanging="192"/>
        <w:jc w:val="left"/>
        <w:rPr>
          <w:rFonts w:eastAsia="Arial" w:cs="Arial"/>
          <w:sz w:val="20"/>
          <w:szCs w:val="20"/>
        </w:rPr>
      </w:pPr>
      <w:r>
        <w:rPr>
          <w:rFonts w:eastAsia="Arial" w:cs="Arial"/>
          <w:sz w:val="20"/>
          <w:szCs w:val="20"/>
        </w:rPr>
        <w:t>inventory how KCD uses AI to manage client investment portfolios and make investment decisions for clients, if applicable;</w:t>
      </w:r>
    </w:p>
    <w:p>
      <w:pPr>
        <w:numPr>
          <w:ilvl w:val="0"/>
          <w:numId w:val="362"/>
        </w:numPr>
        <w:ind w:left="720" w:hanging="192"/>
        <w:jc w:val="left"/>
        <w:rPr>
          <w:rFonts w:eastAsia="Arial" w:cs="Arial"/>
          <w:sz w:val="20"/>
          <w:szCs w:val="20"/>
        </w:rPr>
      </w:pPr>
      <w:r>
        <w:rPr>
          <w:rFonts w:eastAsia="Arial" w:cs="Arial"/>
          <w:sz w:val="20"/>
          <w:szCs w:val="20"/>
        </w:rPr>
        <w:t>inventory the source and quality of the data and how that data is used in the AI process;</w:t>
      </w:r>
    </w:p>
    <w:p>
      <w:pPr>
        <w:numPr>
          <w:ilvl w:val="0"/>
          <w:numId w:val="362"/>
        </w:numPr>
        <w:ind w:left="720" w:hanging="192"/>
        <w:jc w:val="left"/>
        <w:rPr>
          <w:rFonts w:eastAsia="Arial" w:cs="Arial"/>
          <w:sz w:val="20"/>
          <w:szCs w:val="20"/>
        </w:rPr>
      </w:pPr>
      <w:r>
        <w:rPr>
          <w:rFonts w:eastAsia="Arial" w:cs="Arial"/>
          <w:sz w:val="20"/>
          <w:szCs w:val="20"/>
        </w:rPr>
        <w:t>ensure that any investment advice or research provided to KCD clients through AI, including algorithms, lead to advice or recommendations consistent with the client's investment profiles and stated investment strategies and produces accurate and reliable advice and research and KCD shall verify the accuracy of any data used in the AI process and conduct appropriate due diligence on the providers of such data;</w:t>
      </w:r>
    </w:p>
    <w:p>
      <w:pPr>
        <w:numPr>
          <w:ilvl w:val="0"/>
          <w:numId w:val="362"/>
        </w:numPr>
        <w:ind w:left="720" w:hanging="192"/>
        <w:jc w:val="left"/>
        <w:rPr>
          <w:rFonts w:eastAsia="Arial" w:cs="Arial"/>
          <w:sz w:val="20"/>
          <w:szCs w:val="20"/>
        </w:rPr>
      </w:pPr>
      <w:r>
        <w:rPr>
          <w:rFonts w:eastAsia="Arial" w:cs="Arial"/>
          <w:sz w:val="20"/>
          <w:szCs w:val="20"/>
        </w:rPr>
        <w:t>ensure that KCD has implemented controls to confirm that advice or recommendations resulting from AI are consistent with regulatory obligations to investors, including retail and older clients;</w:t>
      </w:r>
    </w:p>
    <w:p>
      <w:pPr>
        <w:numPr>
          <w:ilvl w:val="0"/>
          <w:numId w:val="362"/>
        </w:numPr>
        <w:ind w:left="720" w:hanging="192"/>
        <w:jc w:val="left"/>
        <w:rPr>
          <w:rFonts w:eastAsia="Arial" w:cs="Arial"/>
          <w:sz w:val="20"/>
          <w:szCs w:val="20"/>
        </w:rPr>
      </w:pPr>
      <w:r>
        <w:rPr>
          <w:rFonts w:eastAsia="Arial" w:cs="Arial"/>
          <w:sz w:val="20"/>
          <w:szCs w:val="20"/>
        </w:rPr>
        <w:t>ensure that any client information used or generated in the AI process is secure and is not generally available on the cloud or accessible by the organization or firm that provided the AI and complies with KCD's cybersecurity and data protection measures;</w:t>
      </w:r>
    </w:p>
    <w:p>
      <w:pPr>
        <w:numPr>
          <w:ilvl w:val="0"/>
          <w:numId w:val="362"/>
        </w:numPr>
        <w:ind w:left="720" w:hanging="192"/>
        <w:jc w:val="left"/>
        <w:rPr>
          <w:rFonts w:eastAsia="Arial" w:cs="Arial"/>
          <w:sz w:val="20"/>
          <w:szCs w:val="20"/>
        </w:rPr>
      </w:pPr>
      <w:r>
        <w:rPr>
          <w:rFonts w:eastAsia="Arial" w:cs="Arial"/>
          <w:sz w:val="20"/>
          <w:szCs w:val="20"/>
        </w:rPr>
        <w:t>perform necessary tasks related to the use of AI to detect and prevent fraud and to protect back-office operations and trading functions;</w:t>
      </w:r>
    </w:p>
    <w:p>
      <w:pPr>
        <w:numPr>
          <w:ilvl w:val="0"/>
          <w:numId w:val="362"/>
        </w:numPr>
        <w:ind w:left="720" w:hanging="192"/>
        <w:jc w:val="left"/>
        <w:rPr>
          <w:rFonts w:eastAsia="Arial" w:cs="Arial"/>
          <w:sz w:val="20"/>
          <w:szCs w:val="20"/>
        </w:rPr>
      </w:pPr>
      <w:r>
        <w:rPr>
          <w:rFonts w:eastAsia="Arial" w:cs="Arial"/>
          <w:sz w:val="20"/>
          <w:szCs w:val="20"/>
        </w:rPr>
        <w:t>track how AI is used with respect to marketing KCD's advisory services and document the use of AI in such marketing;</w:t>
      </w:r>
    </w:p>
    <w:p>
      <w:pPr>
        <w:numPr>
          <w:ilvl w:val="0"/>
          <w:numId w:val="362"/>
        </w:numPr>
        <w:ind w:left="720" w:hanging="192"/>
        <w:jc w:val="left"/>
        <w:rPr>
          <w:rFonts w:eastAsia="Arial" w:cs="Arial"/>
          <w:sz w:val="20"/>
          <w:szCs w:val="20"/>
        </w:rPr>
      </w:pPr>
      <w:r>
        <w:rPr>
          <w:rFonts w:eastAsia="Arial" w:cs="Arial"/>
          <w:sz w:val="20"/>
          <w:szCs w:val="20"/>
        </w:rPr>
        <w:t>fully disclose the use of AI to clients in KCD's brochure, website and other communications to clients that it uses and how it uses AI to manage client accounts;</w:t>
      </w:r>
    </w:p>
    <w:p>
      <w:pPr>
        <w:numPr>
          <w:ilvl w:val="0"/>
          <w:numId w:val="362"/>
        </w:numPr>
        <w:ind w:left="720" w:hanging="192"/>
        <w:jc w:val="left"/>
        <w:rPr>
          <w:rFonts w:eastAsia="Arial" w:cs="Arial"/>
          <w:sz w:val="20"/>
          <w:szCs w:val="20"/>
        </w:rPr>
      </w:pPr>
      <w:r>
        <w:rPr>
          <w:rFonts w:eastAsia="Arial" w:cs="Arial"/>
          <w:sz w:val="20"/>
          <w:szCs w:val="20"/>
        </w:rPr>
        <w:t>ensure that all advertisements mentioning KCD's use of AI are fair and accurate representations of such use including the quality, value, and usability of AI and does not misrepresent the reliability, manner of performance, safety, or condition of the AI. For example, KCD will not advertise any claims or representations that its use of AI is fully automated (when its functions are performed in whole or in part by humans), as well as make untested and unverified claims that its AI performs functions with equal accuracy to a human, is more capable than a human at performing a given function, is superior to non-AI products, is free from bias, is not susceptible to malicious use by a bad actor, or is compliant with state and federal law;</w:t>
      </w:r>
    </w:p>
    <w:p>
      <w:pPr>
        <w:numPr>
          <w:ilvl w:val="0"/>
          <w:numId w:val="362"/>
        </w:numPr>
        <w:ind w:left="720" w:hanging="192"/>
        <w:jc w:val="left"/>
        <w:rPr>
          <w:rFonts w:eastAsia="Arial" w:cs="Arial"/>
          <w:sz w:val="20"/>
          <w:szCs w:val="20"/>
        </w:rPr>
      </w:pPr>
      <w:r>
        <w:rPr>
          <w:rFonts w:eastAsia="Arial" w:cs="Arial"/>
          <w:sz w:val="20"/>
          <w:szCs w:val="20"/>
        </w:rPr>
        <w:t>monitor employees to ensure none are misrepresenting audio or video content of a client for the purpose of deceiving another to engage in a business transaction or supply personal information as if to a trusted business partner (as in the case of deepfakes, voice cloning, or chatbots used to engage in fraud);</w:t>
      </w:r>
    </w:p>
    <w:p>
      <w:pPr>
        <w:numPr>
          <w:ilvl w:val="0"/>
          <w:numId w:val="362"/>
        </w:numPr>
        <w:ind w:left="720" w:hanging="192"/>
        <w:jc w:val="left"/>
        <w:rPr>
          <w:rFonts w:eastAsia="Arial" w:cs="Arial"/>
          <w:sz w:val="20"/>
          <w:szCs w:val="20"/>
        </w:rPr>
      </w:pPr>
      <w:r>
        <w:rPr>
          <w:rFonts w:eastAsia="Arial" w:cs="Arial"/>
          <w:sz w:val="20"/>
          <w:szCs w:val="20"/>
        </w:rPr>
        <w:t>implement risk management procedures and systems designed to mitigate or prevent issues that could arise from using AI; and</w:t>
      </w:r>
    </w:p>
    <w:p>
      <w:pPr>
        <w:numPr>
          <w:ilvl w:val="0"/>
          <w:numId w:val="362"/>
        </w:numPr>
        <w:spacing w:after="200"/>
        <w:ind w:left="720" w:hanging="192"/>
        <w:jc w:val="left"/>
        <w:rPr>
          <w:rFonts w:eastAsia="Arial" w:cs="Arial"/>
          <w:sz w:val="20"/>
          <w:szCs w:val="20"/>
        </w:rPr>
      </w:pPr>
      <w:r>
        <w:rPr>
          <w:rFonts w:eastAsia="Arial" w:cs="Arial"/>
          <w:sz w:val="20"/>
          <w:szCs w:val="20"/>
        </w:rPr>
        <w:t>adequately train employees in the use of AI to provide services to clients.</w:t>
      </w:r>
    </w:p>
    <w:p>
      <w:pPr>
        <w:pStyle w:val="normal0"/>
        <w:spacing w:before="200" w:after="200"/>
        <w:rPr>
          <w:rFonts w:eastAsia="Arial" w:cs="Arial"/>
          <w:sz w:val="20"/>
          <w:szCs w:val="20"/>
        </w:rPr>
      </w:pPr>
      <w:r>
        <w:rPr>
          <w:rFonts w:eastAsia="Arial" w:cs="Arial"/>
          <w:sz w:val="20"/>
          <w:szCs w:val="20"/>
        </w:rPr>
        <w:t>KCD may only utilize AI to provide advisory services to clients under the following conditions:</w:t>
      </w:r>
    </w:p>
    <w:p>
      <w:pPr>
        <w:numPr>
          <w:ilvl w:val="0"/>
          <w:numId w:val="363"/>
        </w:numPr>
        <w:spacing w:before="200"/>
        <w:ind w:left="720" w:hanging="267"/>
        <w:jc w:val="left"/>
        <w:rPr>
          <w:rFonts w:eastAsia="Arial" w:cs="Arial"/>
          <w:sz w:val="20"/>
          <w:szCs w:val="20"/>
        </w:rPr>
      </w:pPr>
      <w:r>
        <w:rPr>
          <w:rFonts w:eastAsia="Arial" w:cs="Arial"/>
          <w:sz w:val="20"/>
          <w:szCs w:val="20"/>
        </w:rPr>
        <w:t>No employee may use AI tools including ChatGPT or Co-Pilot without the express authorization of the Chief Compliance Officer;</w:t>
      </w:r>
    </w:p>
    <w:p>
      <w:pPr>
        <w:numPr>
          <w:ilvl w:val="0"/>
          <w:numId w:val="363"/>
        </w:numPr>
        <w:ind w:left="720" w:hanging="267"/>
        <w:jc w:val="left"/>
        <w:rPr>
          <w:rFonts w:eastAsia="Arial" w:cs="Arial"/>
          <w:sz w:val="20"/>
          <w:szCs w:val="20"/>
        </w:rPr>
      </w:pPr>
      <w:r>
        <w:rPr>
          <w:rFonts w:eastAsia="Arial" w:cs="Arial"/>
          <w:sz w:val="20"/>
          <w:szCs w:val="20"/>
        </w:rPr>
        <w:t>Employees shall comply with KCD's data protection procedures designed to safeguard client information;</w:t>
      </w:r>
    </w:p>
    <w:p>
      <w:pPr>
        <w:numPr>
          <w:ilvl w:val="0"/>
          <w:numId w:val="363"/>
        </w:numPr>
        <w:ind w:left="720" w:hanging="267"/>
        <w:jc w:val="left"/>
        <w:rPr>
          <w:rFonts w:eastAsia="Arial" w:cs="Arial"/>
          <w:sz w:val="20"/>
          <w:szCs w:val="20"/>
        </w:rPr>
      </w:pPr>
      <w:r>
        <w:rPr>
          <w:rFonts w:eastAsia="Arial" w:cs="Arial"/>
          <w:sz w:val="20"/>
          <w:szCs w:val="20"/>
        </w:rPr>
        <w:t>The Chief Compliance Officer and Chief Information Officer shall oversee the production of documents and data produced through the use of AI as well as the distribution of such documents and data, and investment advice based on such documents and data;</w:t>
      </w:r>
    </w:p>
    <w:p>
      <w:pPr>
        <w:numPr>
          <w:ilvl w:val="0"/>
          <w:numId w:val="363"/>
        </w:numPr>
        <w:ind w:left="720" w:hanging="267"/>
        <w:jc w:val="left"/>
        <w:rPr>
          <w:rFonts w:eastAsia="Arial" w:cs="Arial"/>
          <w:sz w:val="20"/>
          <w:szCs w:val="20"/>
        </w:rPr>
      </w:pPr>
      <w:r>
        <w:rPr>
          <w:rFonts w:eastAsia="Arial" w:cs="Arial"/>
          <w:sz w:val="20"/>
          <w:szCs w:val="20"/>
        </w:rPr>
        <w:t>KCD will maintain records of its use of AI-generated documents and data and investment advice based on such information;</w:t>
      </w:r>
    </w:p>
    <w:p>
      <w:pPr>
        <w:numPr>
          <w:ilvl w:val="0"/>
          <w:numId w:val="363"/>
        </w:numPr>
        <w:ind w:left="720" w:hanging="267"/>
        <w:jc w:val="left"/>
        <w:rPr>
          <w:rFonts w:eastAsia="Arial" w:cs="Arial"/>
          <w:sz w:val="20"/>
          <w:szCs w:val="20"/>
        </w:rPr>
      </w:pPr>
      <w:r>
        <w:rPr>
          <w:rFonts w:eastAsia="Arial" w:cs="Arial"/>
          <w:sz w:val="20"/>
          <w:szCs w:val="20"/>
        </w:rPr>
        <w:t>Periodically, KCD will train employees on the appropriate and inappropriate use of AI; and</w:t>
      </w:r>
    </w:p>
    <w:p>
      <w:pPr>
        <w:numPr>
          <w:ilvl w:val="0"/>
          <w:numId w:val="363"/>
        </w:numPr>
        <w:spacing w:after="200"/>
        <w:ind w:left="720" w:hanging="267"/>
        <w:jc w:val="left"/>
        <w:rPr>
          <w:rFonts w:eastAsia="Arial" w:cs="Arial"/>
          <w:sz w:val="20"/>
          <w:szCs w:val="20"/>
        </w:rPr>
      </w:pPr>
      <w:r>
        <w:rPr>
          <w:rFonts w:eastAsia="Arial" w:cs="Arial"/>
          <w:sz w:val="20"/>
          <w:szCs w:val="20"/>
        </w:rPr>
        <w:t>When appropriate, KCD will disclose to clients KCD's use of AI to generate research or investment advice, including, where appropriate, KCD's Form ADV Part 2A, KCD's website and legends on Firm research reports or other communications.</w:t>
      </w:r>
    </w:p>
    <w:p>
      <w:bookmarkEnd w:id="364"/>
      <w:bookmarkStart w:id="366" w:name="Sec_Chp_061016102250093_061016102251437"/>
    </w:p>
    <w:p>
      <w:pPr>
        <w:pStyle w:val="Heading2"/>
      </w:pPr>
      <w:bookmarkStart w:id="367" w:name="_Toc256000092"/>
      <w:r>
        <w:t>5.4 Form ADV Disclosure and Other Disclosure</w:t>
      </w:r>
      <w:bookmarkEnd w:id="367"/>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Generally, conflicts of interest can be addressed by disclosure and/or client consent. If an Adviser Representative on behalf of KCD enters into a transaction or arrangement that raises a potential conflict of interest, the Adviser Representative will make a full and frank disclosure of such conflict. Adviser Representative will inform the Chief Compliance Officer about this conflict, and the Chief Compliance Officer will make sure that such disclosure is in the firm's Brochure (Part 2A), and, depending on the nature of the conflict, will consider making such disclosure in a separate written document sent to the client. In addition, it also may be prudent for KCD to obtain written client consent for certain conflicts of interest. </w:t>
      </w:r>
    </w:p>
    <w:p>
      <w:pPr>
        <w:pStyle w:val="normal0"/>
        <w:spacing w:before="200" w:after="200"/>
        <w:rPr>
          <w:rFonts w:eastAsia="Arial" w:cs="Arial"/>
          <w:sz w:val="20"/>
          <w:szCs w:val="20"/>
        </w:rPr>
      </w:pPr>
      <w:r>
        <w:rPr>
          <w:rFonts w:eastAsia="Arial" w:cs="Arial"/>
          <w:sz w:val="20"/>
          <w:szCs w:val="20"/>
        </w:rPr>
        <w:t>KCD does not vote proxies on behalf of its clients.</w:t>
      </w:r>
    </w:p>
    <w:p>
      <w:pPr>
        <w:pStyle w:val="normal0"/>
        <w:spacing w:before="200" w:after="200"/>
        <w:rPr>
          <w:rFonts w:eastAsia="Arial" w:cs="Arial"/>
          <w:sz w:val="20"/>
          <w:szCs w:val="20"/>
        </w:rPr>
      </w:pPr>
      <w:r>
        <w:rPr>
          <w:rFonts w:eastAsia="Arial" w:cs="Arial"/>
          <w:sz w:val="20"/>
          <w:szCs w:val="20"/>
        </w:rPr>
        <w:t xml:space="preserve">KCD shall make such disclosure in the following manner: </w:t>
      </w:r>
    </w:p>
    <w:p>
      <w:pPr>
        <w:numPr>
          <w:ilvl w:val="0"/>
          <w:numId w:val="364"/>
        </w:numPr>
        <w:spacing w:before="200"/>
        <w:ind w:left="720" w:hanging="267"/>
        <w:jc w:val="left"/>
        <w:rPr>
          <w:rFonts w:eastAsia="Arial" w:cs="Arial"/>
          <w:sz w:val="20"/>
          <w:szCs w:val="20"/>
        </w:rPr>
      </w:pPr>
      <w:r>
        <w:rPr>
          <w:rFonts w:eastAsia="Arial" w:cs="Arial"/>
          <w:sz w:val="20"/>
          <w:szCs w:val="20"/>
        </w:rPr>
        <w:t xml:space="preserve">send the disclosure to the clients together with a periodic account statement; </w:t>
      </w:r>
    </w:p>
    <w:p>
      <w:pPr>
        <w:numPr>
          <w:ilvl w:val="0"/>
          <w:numId w:val="364"/>
        </w:numPr>
        <w:ind w:left="720" w:hanging="267"/>
        <w:jc w:val="left"/>
        <w:rPr>
          <w:rFonts w:eastAsia="Arial" w:cs="Arial"/>
          <w:sz w:val="20"/>
          <w:szCs w:val="20"/>
        </w:rPr>
      </w:pPr>
      <w:r>
        <w:rPr>
          <w:rFonts w:eastAsia="Arial" w:cs="Arial"/>
          <w:sz w:val="20"/>
          <w:szCs w:val="20"/>
        </w:rPr>
        <w:t xml:space="preserve">send the disclosure to the clients by mail, or </w:t>
      </w:r>
    </w:p>
    <w:p>
      <w:pPr>
        <w:numPr>
          <w:ilvl w:val="0"/>
          <w:numId w:val="364"/>
        </w:numPr>
        <w:spacing w:after="200"/>
        <w:ind w:left="720" w:hanging="267"/>
        <w:jc w:val="left"/>
        <w:rPr>
          <w:rFonts w:eastAsia="Arial" w:cs="Arial"/>
          <w:sz w:val="20"/>
          <w:szCs w:val="20"/>
        </w:rPr>
      </w:pPr>
      <w:r>
        <w:rPr>
          <w:rFonts w:eastAsia="Arial" w:cs="Arial"/>
          <w:sz w:val="20"/>
          <w:szCs w:val="20"/>
        </w:rPr>
        <w:t xml:space="preserve">include the disclosure in the firm's Brochure (Part 2A) (if this option is selected, KCD must deliver (not merely offer) the revised Brochure to existing clients within 180 days after publication, and should accompany the delivery with a letter identifying the new disclosure). </w:t>
      </w:r>
    </w:p>
    <w:p>
      <w:pPr>
        <w:pStyle w:val="normal0"/>
        <w:spacing w:before="200" w:after="200"/>
        <w:rPr>
          <w:rFonts w:eastAsia="Arial" w:cs="Arial"/>
          <w:sz w:val="20"/>
          <w:szCs w:val="20"/>
        </w:rPr>
      </w:pPr>
      <w:r>
        <w:rPr>
          <w:rFonts w:eastAsia="Arial" w:cs="Arial"/>
          <w:sz w:val="20"/>
          <w:szCs w:val="20"/>
        </w:rPr>
        <w:t>KCD shall disclose (report) in Item 5 of Part 1A of its Form ADV whether:</w:t>
      </w:r>
    </w:p>
    <w:p>
      <w:pPr>
        <w:numPr>
          <w:ilvl w:val="0"/>
          <w:numId w:val="365"/>
        </w:numPr>
        <w:spacing w:before="200"/>
        <w:ind w:left="720" w:hanging="192"/>
        <w:jc w:val="left"/>
        <w:rPr>
          <w:rFonts w:eastAsia="Arial" w:cs="Arial"/>
          <w:sz w:val="20"/>
          <w:szCs w:val="20"/>
        </w:rPr>
      </w:pPr>
      <w:r>
        <w:rPr>
          <w:rFonts w:eastAsia="Arial" w:cs="Arial"/>
          <w:sz w:val="20"/>
          <w:szCs w:val="20"/>
        </w:rPr>
        <w:t>it engages in borrowing transactions on behalf of any separately managed account clients it advises; and</w:t>
      </w:r>
    </w:p>
    <w:p>
      <w:pPr>
        <w:numPr>
          <w:ilvl w:val="0"/>
          <w:numId w:val="365"/>
        </w:numPr>
        <w:spacing w:after="200"/>
        <w:ind w:left="720" w:hanging="192"/>
        <w:jc w:val="left"/>
        <w:rPr>
          <w:rFonts w:eastAsia="Arial" w:cs="Arial"/>
          <w:sz w:val="20"/>
          <w:szCs w:val="20"/>
        </w:rPr>
      </w:pPr>
      <w:r>
        <w:rPr>
          <w:rFonts w:eastAsia="Arial" w:cs="Arial"/>
          <w:sz w:val="20"/>
          <w:szCs w:val="20"/>
        </w:rPr>
        <w:t>it engages in derivative transactions on behalf of any separately managed account clients it advises.</w:t>
      </w:r>
    </w:p>
    <w:p>
      <w:bookmarkEnd w:id="366"/>
      <w:bookmarkStart w:id="368" w:name="Sec_Chp_061016102250093_061016102251453"/>
    </w:p>
    <w:p>
      <w:pPr>
        <w:pStyle w:val="Heading2"/>
      </w:pPr>
      <w:bookmarkStart w:id="369" w:name="_Toc256000093"/>
      <w:r>
        <w:t>5.5 Books and Records</w:t>
      </w:r>
      <w:bookmarkEnd w:id="369"/>
    </w:p>
    <w:p/>
    <w:p>
      <w:pPr>
        <w:rPr>
          <w:rFonts w:eastAsia="Arial" w:cs="Arial"/>
          <w:sz w:val="16"/>
          <w:szCs w:val="16"/>
        </w:rPr>
      </w:pPr>
      <w:r>
        <w:rPr>
          <w:rFonts w:eastAsia="Arial" w:cs="Arial"/>
          <w:sz w:val="16"/>
          <w:szCs w:val="16"/>
        </w:rPr>
        <w:t>[Investment Advisers Act of 1940 Rule 204-2(a)(9) and 204-2(a)(10)]</w:t>
      </w:r>
    </w:p>
    <w:p/>
    <w:p>
      <w:pPr>
        <w:pStyle w:val="normal0"/>
        <w:spacing w:after="200"/>
        <w:rPr>
          <w:rFonts w:eastAsia="Arial" w:cs="Arial"/>
          <w:sz w:val="20"/>
          <w:szCs w:val="20"/>
        </w:rPr>
      </w:pPr>
      <w:r>
        <w:rPr>
          <w:rFonts w:eastAsia="Arial" w:cs="Arial"/>
          <w:sz w:val="20"/>
          <w:szCs w:val="20"/>
        </w:rPr>
        <w:t>KCD shall maintain in its Investment Management books and records the following research-related records:</w:t>
      </w:r>
    </w:p>
    <w:p>
      <w:pPr>
        <w:numPr>
          <w:ilvl w:val="0"/>
          <w:numId w:val="366"/>
        </w:numPr>
        <w:spacing w:before="200"/>
        <w:ind w:left="720" w:hanging="192"/>
        <w:jc w:val="left"/>
        <w:rPr>
          <w:rFonts w:eastAsia="Arial" w:cs="Arial"/>
          <w:sz w:val="20"/>
          <w:szCs w:val="20"/>
        </w:rPr>
      </w:pPr>
      <w:r>
        <w:rPr>
          <w:rFonts w:eastAsia="Arial" w:cs="Arial"/>
          <w:sz w:val="20"/>
          <w:szCs w:val="20"/>
        </w:rPr>
        <w:t xml:space="preserve">Originals of all written communications received and copies of all written communications sent by KCD relating to (i) any recommendation made or proposed to be made and any advice given or proposed to be given, (ii) any receipt, disbursement or delivery of funds or securities, and (iii) the placing or execution of any order to purchase or sell any security; </w:t>
      </w:r>
    </w:p>
    <w:p>
      <w:pPr>
        <w:numPr>
          <w:ilvl w:val="0"/>
          <w:numId w:val="366"/>
        </w:numPr>
        <w:ind w:left="720" w:hanging="192"/>
        <w:jc w:val="left"/>
        <w:rPr>
          <w:rFonts w:eastAsia="Arial" w:cs="Arial"/>
          <w:sz w:val="20"/>
          <w:szCs w:val="20"/>
        </w:rPr>
      </w:pPr>
      <w:r>
        <w:rPr>
          <w:rFonts w:eastAsia="Arial" w:cs="Arial"/>
          <w:sz w:val="20"/>
          <w:szCs w:val="20"/>
        </w:rPr>
        <w:t xml:space="preserve">All materials received from outside sources that relate to recommendations or investment advice given, or proposed to be given, to clients, including all research reports and other materials received from whatever source if they are used in the process of providing advice. Materials should be maintained by Adviser Representatives irrespective of whether they result in a decision to buy, sell, or hold a particular security; and </w:t>
      </w:r>
    </w:p>
    <w:p>
      <w:pPr>
        <w:numPr>
          <w:ilvl w:val="0"/>
          <w:numId w:val="366"/>
        </w:numPr>
        <w:spacing w:after="200"/>
        <w:ind w:left="720" w:hanging="192"/>
        <w:jc w:val="left"/>
        <w:rPr>
          <w:rFonts w:eastAsia="Arial" w:cs="Arial"/>
          <w:sz w:val="20"/>
          <w:szCs w:val="20"/>
        </w:rPr>
      </w:pPr>
      <w:r>
        <w:rPr>
          <w:rFonts w:eastAsia="Arial" w:cs="Arial"/>
          <w:sz w:val="20"/>
          <w:szCs w:val="20"/>
        </w:rPr>
        <w:t>Documentation reflecting the background and financial information on the client.</w:t>
      </w:r>
    </w:p>
    <w:p>
      <w:pPr>
        <w:pStyle w:val="normal0"/>
        <w:spacing w:before="200" w:after="200"/>
        <w:rPr>
          <w:rFonts w:eastAsia="Arial" w:cs="Arial"/>
          <w:sz w:val="20"/>
          <w:szCs w:val="20"/>
        </w:rPr>
      </w:pPr>
      <w:r>
        <w:rPr>
          <w:rFonts w:eastAsia="Arial" w:cs="Arial"/>
          <w:sz w:val="20"/>
          <w:szCs w:val="20"/>
        </w:rPr>
        <w:t xml:space="preserve">The following types of research materials, however, are not required to be maintained by Adviser Representatives: </w:t>
      </w:r>
    </w:p>
    <w:p>
      <w:pPr>
        <w:numPr>
          <w:ilvl w:val="0"/>
          <w:numId w:val="367"/>
        </w:numPr>
        <w:spacing w:before="200"/>
        <w:ind w:left="720" w:hanging="192"/>
        <w:jc w:val="left"/>
        <w:rPr>
          <w:rFonts w:eastAsia="Arial" w:cs="Arial"/>
          <w:sz w:val="20"/>
          <w:szCs w:val="20"/>
        </w:rPr>
      </w:pPr>
      <w:r>
        <w:rPr>
          <w:rFonts w:eastAsia="Arial" w:cs="Arial"/>
          <w:sz w:val="20"/>
          <w:szCs w:val="20"/>
        </w:rPr>
        <w:t xml:space="preserve">Materials not solicited by KCD or the Adviser Representative that are of general public distribution; </w:t>
      </w:r>
    </w:p>
    <w:p>
      <w:pPr>
        <w:numPr>
          <w:ilvl w:val="0"/>
          <w:numId w:val="367"/>
        </w:numPr>
        <w:ind w:left="720" w:hanging="192"/>
        <w:jc w:val="left"/>
        <w:rPr>
          <w:rFonts w:eastAsia="Arial" w:cs="Arial"/>
          <w:sz w:val="20"/>
          <w:szCs w:val="20"/>
        </w:rPr>
      </w:pPr>
      <w:r>
        <w:rPr>
          <w:rFonts w:eastAsia="Arial" w:cs="Arial"/>
          <w:sz w:val="20"/>
          <w:szCs w:val="20"/>
        </w:rPr>
        <w:t xml:space="preserve">Newspapers, magazines and similar periodicals, even if they are used to make an investment decision; and </w:t>
      </w:r>
    </w:p>
    <w:p>
      <w:pPr>
        <w:numPr>
          <w:ilvl w:val="0"/>
          <w:numId w:val="367"/>
        </w:numPr>
        <w:spacing w:after="200"/>
        <w:ind w:left="720" w:hanging="192"/>
        <w:jc w:val="left"/>
        <w:rPr>
          <w:rFonts w:eastAsia="Arial" w:cs="Arial"/>
          <w:sz w:val="20"/>
          <w:szCs w:val="20"/>
        </w:rPr>
      </w:pPr>
      <w:r>
        <w:rPr>
          <w:rFonts w:eastAsia="Arial" w:cs="Arial"/>
          <w:sz w:val="20"/>
          <w:szCs w:val="20"/>
        </w:rPr>
        <w:t xml:space="preserve">Research reports that are stored in a computer system of a third-party provider, provided such reports can be readily accessed. </w:t>
      </w:r>
    </w:p>
    <w:p>
      <w:pPr>
        <w:pStyle w:val="normal0"/>
        <w:spacing w:before="200" w:after="200"/>
        <w:rPr>
          <w:rFonts w:eastAsia="Arial" w:cs="Arial"/>
          <w:sz w:val="20"/>
          <w:szCs w:val="20"/>
        </w:rPr>
      </w:pPr>
      <w:r>
        <w:rPr>
          <w:rFonts w:eastAsia="Arial" w:cs="Arial"/>
          <w:sz w:val="20"/>
          <w:szCs w:val="20"/>
        </w:rPr>
        <w:t>KCD shall maintain in its Investment Management books and records the following records for each client security position it fair values:</w:t>
      </w:r>
    </w:p>
    <w:p>
      <w:pPr>
        <w:numPr>
          <w:ilvl w:val="0"/>
          <w:numId w:val="368"/>
        </w:numPr>
        <w:spacing w:before="200"/>
        <w:ind w:left="720" w:hanging="192"/>
        <w:jc w:val="left"/>
        <w:rPr>
          <w:rFonts w:eastAsia="Arial" w:cs="Arial"/>
          <w:sz w:val="20"/>
          <w:szCs w:val="20"/>
        </w:rPr>
      </w:pPr>
      <w:r>
        <w:rPr>
          <w:rFonts w:eastAsia="Arial" w:cs="Arial"/>
          <w:sz w:val="20"/>
          <w:szCs w:val="20"/>
        </w:rPr>
        <w:t>The name of the issuer of the security and the amount of such security that is fair valued;</w:t>
      </w:r>
    </w:p>
    <w:p>
      <w:pPr>
        <w:numPr>
          <w:ilvl w:val="0"/>
          <w:numId w:val="368"/>
        </w:numPr>
        <w:ind w:left="720" w:hanging="192"/>
        <w:jc w:val="left"/>
        <w:rPr>
          <w:rFonts w:eastAsia="Arial" w:cs="Arial"/>
          <w:sz w:val="20"/>
          <w:szCs w:val="20"/>
        </w:rPr>
      </w:pPr>
      <w:r>
        <w:rPr>
          <w:rFonts w:eastAsia="Arial" w:cs="Arial"/>
          <w:sz w:val="20"/>
          <w:szCs w:val="20"/>
        </w:rPr>
        <w:t xml:space="preserve">Documentation for each valuation decision, including the factors on which the decision was based; and </w:t>
      </w:r>
    </w:p>
    <w:p>
      <w:pPr>
        <w:numPr>
          <w:ilvl w:val="0"/>
          <w:numId w:val="368"/>
        </w:numPr>
        <w:spacing w:after="200"/>
        <w:ind w:left="720" w:hanging="192"/>
        <w:jc w:val="left"/>
        <w:rPr>
          <w:rFonts w:eastAsia="Arial" w:cs="Arial"/>
          <w:sz w:val="20"/>
          <w:szCs w:val="20"/>
        </w:rPr>
      </w:pPr>
      <w:r>
        <w:rPr>
          <w:rFonts w:eastAsia="Arial" w:cs="Arial"/>
          <w:sz w:val="20"/>
          <w:szCs w:val="20"/>
        </w:rPr>
        <w:t xml:space="preserve">List of pricing services, quotation services and externally-acquired portfolio accounting systems used to make such valuation. </w:t>
      </w:r>
    </w:p>
    <w:p>
      <w:pPr>
        <w:pStyle w:val="normal0"/>
        <w:spacing w:before="200" w:after="200"/>
        <w:rPr>
          <w:rFonts w:eastAsia="Arial" w:cs="Arial"/>
          <w:sz w:val="20"/>
          <w:szCs w:val="20"/>
        </w:rPr>
      </w:pPr>
      <w:r>
        <w:rPr>
          <w:rFonts w:eastAsia="Arial" w:cs="Arial"/>
          <w:sz w:val="20"/>
          <w:szCs w:val="20"/>
        </w:rPr>
        <w:t>KCD shall maintain in its Investment Management books and records the following proxy-related records:</w:t>
      </w:r>
    </w:p>
    <w:p>
      <w:pPr>
        <w:numPr>
          <w:ilvl w:val="0"/>
          <w:numId w:val="369"/>
        </w:numPr>
        <w:spacing w:before="200"/>
        <w:ind w:left="720" w:hanging="192"/>
        <w:jc w:val="left"/>
        <w:rPr>
          <w:rFonts w:eastAsia="Arial" w:cs="Arial"/>
          <w:sz w:val="20"/>
          <w:szCs w:val="20"/>
        </w:rPr>
      </w:pPr>
      <w:r>
        <w:rPr>
          <w:rFonts w:eastAsia="Arial" w:cs="Arial"/>
          <w:sz w:val="20"/>
          <w:szCs w:val="20"/>
        </w:rPr>
        <w:t xml:space="preserve">Documentation demonstrating why KCD voted for or against the proposal; </w:t>
      </w:r>
    </w:p>
    <w:p>
      <w:pPr>
        <w:numPr>
          <w:ilvl w:val="0"/>
          <w:numId w:val="369"/>
        </w:numPr>
        <w:ind w:left="720" w:hanging="192"/>
        <w:jc w:val="left"/>
        <w:rPr>
          <w:rFonts w:eastAsia="Arial" w:cs="Arial"/>
          <w:sz w:val="20"/>
          <w:szCs w:val="20"/>
        </w:rPr>
      </w:pPr>
      <w:r>
        <w:rPr>
          <w:rFonts w:eastAsia="Arial" w:cs="Arial"/>
          <w:sz w:val="20"/>
          <w:szCs w:val="20"/>
        </w:rPr>
        <w:t xml:space="preserve">A copy of each proxy statement that KCD receives regarding client securities. KCD may satisfy this requirement by relying on a third party to make and retain, on its behalf, a copy of a proxy statement (provided that KCD has obtained an undertaking from the third party to provide a copy of the proxy statement promptly upon request) or may rely on obtaining a copy of a proxy statement from the SEC's Electronic Data Gathering, Analysis, and Retrieval (EDGAR) system; </w:t>
      </w:r>
    </w:p>
    <w:p>
      <w:pPr>
        <w:numPr>
          <w:ilvl w:val="0"/>
          <w:numId w:val="369"/>
        </w:numPr>
        <w:ind w:left="720" w:hanging="192"/>
        <w:jc w:val="left"/>
        <w:rPr>
          <w:rFonts w:eastAsia="Arial" w:cs="Arial"/>
          <w:sz w:val="20"/>
          <w:szCs w:val="20"/>
        </w:rPr>
      </w:pPr>
      <w:r>
        <w:rPr>
          <w:rFonts w:eastAsia="Arial" w:cs="Arial"/>
          <w:sz w:val="20"/>
          <w:szCs w:val="20"/>
        </w:rPr>
        <w:t xml:space="preserve">A record of each vote cast by KCD on behalf of a client. KCD may satisfy this requirement by relying on a third party to make and retain, on its behalf, a record of the vote that was cast (provided that KCD has obtained an undertaking from the third party to provide a copy of the record promptly upon request); </w:t>
      </w:r>
    </w:p>
    <w:p>
      <w:pPr>
        <w:numPr>
          <w:ilvl w:val="0"/>
          <w:numId w:val="369"/>
        </w:numPr>
        <w:ind w:left="720" w:hanging="192"/>
        <w:jc w:val="left"/>
        <w:rPr>
          <w:rFonts w:eastAsia="Arial" w:cs="Arial"/>
          <w:sz w:val="20"/>
          <w:szCs w:val="20"/>
        </w:rPr>
      </w:pPr>
      <w:r>
        <w:rPr>
          <w:rFonts w:eastAsia="Arial" w:cs="Arial"/>
          <w:sz w:val="20"/>
          <w:szCs w:val="20"/>
        </w:rPr>
        <w:t xml:space="preserve">A copy of each written client request for information on how KCD voted proxies on behalf of the client, and a copy of any written response by KCD to any (written or oral) client request for information on how KCD voted proxies on behalf of the requesting client; </w:t>
      </w:r>
    </w:p>
    <w:p>
      <w:pPr>
        <w:numPr>
          <w:ilvl w:val="0"/>
          <w:numId w:val="369"/>
        </w:numPr>
        <w:ind w:left="720" w:hanging="192"/>
        <w:jc w:val="left"/>
        <w:rPr>
          <w:rFonts w:eastAsia="Arial" w:cs="Arial"/>
          <w:sz w:val="20"/>
          <w:szCs w:val="20"/>
        </w:rPr>
      </w:pPr>
      <w:r>
        <w:rPr>
          <w:rFonts w:eastAsia="Arial" w:cs="Arial"/>
          <w:sz w:val="20"/>
          <w:szCs w:val="20"/>
        </w:rPr>
        <w:t>A copy of each annual report demonstrating the adequacy of KCD's voting policies and procedures to ensure that they have been formulated reasonably and implemented effectively, including whether the policies and procedures continue to be reasonably designed to ensure that KCD casts votes on behalf of its clients in the best interest of such clients;</w:t>
      </w:r>
    </w:p>
    <w:p>
      <w:pPr>
        <w:numPr>
          <w:ilvl w:val="0"/>
          <w:numId w:val="369"/>
        </w:numPr>
        <w:ind w:left="720" w:hanging="192"/>
        <w:jc w:val="left"/>
        <w:rPr>
          <w:rFonts w:eastAsia="Arial" w:cs="Arial"/>
          <w:sz w:val="20"/>
          <w:szCs w:val="20"/>
        </w:rPr>
      </w:pPr>
      <w:r>
        <w:rPr>
          <w:rFonts w:eastAsia="Arial" w:cs="Arial"/>
          <w:sz w:val="20"/>
          <w:szCs w:val="20"/>
        </w:rPr>
        <w:t>All powers of attorneys and other evidences of the granting of any discretionary authority by any client to KCD, or copies thereof (Rule 204-2(a)(9)); and</w:t>
      </w:r>
    </w:p>
    <w:p>
      <w:pPr>
        <w:numPr>
          <w:ilvl w:val="0"/>
          <w:numId w:val="369"/>
        </w:numPr>
        <w:spacing w:after="200"/>
        <w:ind w:left="720" w:hanging="192"/>
        <w:jc w:val="left"/>
        <w:rPr>
          <w:rFonts w:eastAsia="Arial" w:cs="Arial"/>
          <w:sz w:val="20"/>
          <w:szCs w:val="20"/>
        </w:rPr>
      </w:pPr>
      <w:r>
        <w:rPr>
          <w:rFonts w:eastAsia="Arial" w:cs="Arial"/>
          <w:sz w:val="20"/>
          <w:szCs w:val="20"/>
        </w:rPr>
        <w:t xml:space="preserve">All written agreements (or copies thereof) entered into by KCD with any client or otherwise relating to the business of KCD (Rule 204-2(a)(10)). </w:t>
      </w:r>
    </w:p>
    <w:p>
      <w:pPr>
        <w:rPr>
          <w:rFonts w:ascii="Times New Roman" w:eastAsia="Times New Roman" w:hAnsi="Times New Roman" w:cs="Times New Roman"/>
          <w:sz w:val="24"/>
        </w:rPr>
      </w:pPr>
      <w:bookmarkEnd w:id="368"/>
    </w:p>
    <w:p>
      <w:r>
        <w:rPr>
          <w:rFonts w:ascii="Times New Roman" w:eastAsia="Times New Roman" w:hAnsi="Times New Roman" w:cs="Times New Roman"/>
          <w:sz w:val="24"/>
        </w:rPr>
        <w:br w:type="page"/>
      </w:r>
    </w:p>
    <w:p>
      <w:pPr>
        <w:pStyle w:val="Heading1"/>
      </w:pPr>
      <w:bookmarkStart w:id="370" w:name="_Toc256000094"/>
      <w:r>
        <w:t>6 TRADES</w:t>
      </w:r>
      <w:bookmarkEnd w:id="370"/>
    </w:p>
    <w:p>
      <w:bookmarkStart w:id="371" w:name="Sec_Chp_061016102251640_061016102251687"/>
    </w:p>
    <w:p>
      <w:pPr>
        <w:pStyle w:val="Heading2"/>
      </w:pPr>
      <w:bookmarkStart w:id="372" w:name="_Toc256000095"/>
      <w:r>
        <w:t>Introduction</w:t>
      </w:r>
      <w:bookmarkEnd w:id="372"/>
    </w:p>
    <w:p/>
    <w:p>
      <w:pPr>
        <w:rPr>
          <w:rFonts w:eastAsia="Arial" w:cs="Arial"/>
          <w:sz w:val="16"/>
          <w:szCs w:val="16"/>
        </w:rPr>
      </w:pPr>
      <w:r>
        <w:rPr>
          <w:rFonts w:eastAsia="Arial" w:cs="Arial"/>
          <w:sz w:val="16"/>
          <w:szCs w:val="16"/>
        </w:rPr>
        <w:t>[Investment Advisers Act of 1940 Rule 204-2(a)(3)]</w:t>
      </w:r>
    </w:p>
    <w:p/>
    <w:p>
      <w:pPr>
        <w:pStyle w:val="normal0"/>
        <w:spacing w:after="200"/>
        <w:rPr>
          <w:rFonts w:eastAsia="Arial" w:cs="Arial"/>
          <w:sz w:val="20"/>
          <w:szCs w:val="20"/>
        </w:rPr>
      </w:pPr>
      <w:r>
        <w:rPr>
          <w:rFonts w:eastAsia="Arial" w:cs="Arial"/>
          <w:sz w:val="20"/>
          <w:szCs w:val="20"/>
        </w:rPr>
        <w:t>Orders are instructions that adviser representatives or traders of investment advisers give to broker-dealers that arrange client trades. An order specifies which security to trade, how much to trade, and whether to buy or sell. An order may also include conditions that a trade must satisfy. The most common conditions limit the prices that the adviser representative, client or trader will accept.</w:t>
      </w:r>
    </w:p>
    <w:p>
      <w:pPr>
        <w:pStyle w:val="normal0"/>
        <w:spacing w:before="200" w:after="200"/>
        <w:rPr>
          <w:rFonts w:eastAsia="Arial" w:cs="Arial"/>
          <w:sz w:val="20"/>
          <w:szCs w:val="20"/>
        </w:rPr>
      </w:pPr>
      <w:r>
        <w:rPr>
          <w:rFonts w:eastAsia="Arial" w:cs="Arial"/>
          <w:sz w:val="20"/>
          <w:szCs w:val="20"/>
        </w:rPr>
        <w:t>Rule 204-2(a)(3) under the Investment Advisers Act of 1940 requires a memorandum (sometimes called a "trade ticket") to be prepared for each securities order given by an investment adviser on behalf of a client. In some cases, an investment adviser permits its investment adviser representatives to place trades directly with broker-dealers. In other cases, the investment adviser representative must forward the trade ticket to the person at the investment adviser responsible for placing securities orders (sometimes called the "trader" or the "trading desk"). The trader selects a broker-dealer from the approved list of broker-dealers and places the client order with the broker-dealer that offers the best execution (price, commission,</w:t>
      </w:r>
      <w:r>
        <w:rPr>
          <w:rFonts w:eastAsia="Arial" w:cs="Arial"/>
          <w:i/>
          <w:iCs/>
          <w:sz w:val="20"/>
          <w:szCs w:val="20"/>
        </w:rPr>
        <w:t xml:space="preserve"> etc.</w:t>
      </w:r>
      <w:r>
        <w:rPr>
          <w:rFonts w:eastAsia="Arial" w:cs="Arial"/>
          <w:sz w:val="20"/>
          <w:szCs w:val="20"/>
        </w:rPr>
        <w:t>). (Best Execution is covered in the "Brokerage" chapter of this Compliance Manual.) In many cases, the investment adviser requires a second person (</w:t>
      </w:r>
      <w:r>
        <w:rPr>
          <w:rFonts w:eastAsia="Arial" w:cs="Arial"/>
          <w:i/>
          <w:iCs/>
          <w:sz w:val="20"/>
          <w:szCs w:val="20"/>
        </w:rPr>
        <w:t>e.g.,</w:t>
      </w:r>
      <w:r>
        <w:rPr>
          <w:rFonts w:eastAsia="Arial" w:cs="Arial"/>
          <w:sz w:val="20"/>
          <w:szCs w:val="20"/>
        </w:rPr>
        <w:t xml:space="preserve"> another trader or the chief investment officer) to sign off on the securities order as a second layer of verification to the order's authentication. </w:t>
      </w:r>
    </w:p>
    <w:p>
      <w:pPr>
        <w:pStyle w:val="normal0"/>
        <w:spacing w:before="200" w:after="200"/>
        <w:rPr>
          <w:rFonts w:eastAsia="Arial" w:cs="Arial"/>
          <w:sz w:val="20"/>
          <w:szCs w:val="20"/>
        </w:rPr>
      </w:pPr>
      <w:r>
        <w:rPr>
          <w:rFonts w:eastAsia="Arial" w:cs="Arial"/>
          <w:sz w:val="20"/>
          <w:szCs w:val="20"/>
        </w:rPr>
        <w:t>After the broker-dealer executes the trade, it is required to send the investment adviser's client a confirmation statement with information about the trade. All parties involved in the trade also settle the trade. In the settlement process of a purchase of securities, the client's account at the broker-dealer is credited in the amount of the cost of the securities purchased (including the broker-dealer's commission) and that money is wired to the broker-dealer executing the trades. Securities acquired by the broker-dealer are transferred (or registered in the name of the investment adviser on behalf of the client). The broker-dealer forwards the money from the client's account (less its commission) to the broker-dealer of the seller of the securities. In securities markets, settlement occurs one business day after trades are executed (called "T+1").</w:t>
      </w:r>
    </w:p>
    <w:p>
      <w:pPr>
        <w:pStyle w:val="normal0"/>
        <w:spacing w:before="200" w:after="200"/>
        <w:rPr>
          <w:rFonts w:eastAsia="Arial" w:cs="Arial"/>
          <w:sz w:val="20"/>
          <w:szCs w:val="20"/>
        </w:rPr>
      </w:pPr>
      <w:r>
        <w:rPr>
          <w:rFonts w:eastAsia="Arial" w:cs="Arial"/>
          <w:sz w:val="20"/>
          <w:szCs w:val="20"/>
        </w:rPr>
        <w:t xml:space="preserve">After the settlement process of each trade or group of trades, the investment adviser reviews the trades to make sure they were authorized and properly executed and recorded. The investment adviser reviews trades in part to uncover any errors, which must be promptly corrected. </w:t>
      </w:r>
    </w:p>
    <w:p>
      <w:pPr>
        <w:pStyle w:val="normal0"/>
        <w:spacing w:before="200" w:after="200"/>
        <w:rPr>
          <w:rFonts w:eastAsia="Arial" w:cs="Arial"/>
          <w:sz w:val="20"/>
          <w:szCs w:val="20"/>
        </w:rPr>
      </w:pPr>
      <w:r>
        <w:rPr>
          <w:rFonts w:eastAsia="Arial" w:cs="Arial"/>
          <w:sz w:val="20"/>
          <w:szCs w:val="20"/>
        </w:rPr>
        <w:t xml:space="preserve">An advisory firm may place combined orders of securities for two or more clients with broker-dealers. Single orders for multiple accounts should be governed by securities trade aggregation procedures. Securities trade aggregation procedures differ from securities trade allocation procedures. Securities trade allocation is a process that occurs </w:t>
      </w:r>
      <w:r>
        <w:rPr>
          <w:rFonts w:eastAsia="Arial" w:cs="Arial"/>
          <w:sz w:val="20"/>
          <w:szCs w:val="20"/>
          <w:u w:val="single"/>
        </w:rPr>
        <w:t>after</w:t>
      </w:r>
      <w:r>
        <w:rPr>
          <w:rFonts w:eastAsia="Arial" w:cs="Arial"/>
          <w:sz w:val="20"/>
          <w:szCs w:val="20"/>
        </w:rPr>
        <w:t xml:space="preserve"> the aggregated client order for securities has been executed by a broker-dealer. </w:t>
      </w:r>
    </w:p>
    <w:p>
      <w:pPr>
        <w:pStyle w:val="normal0"/>
        <w:spacing w:before="200" w:after="200"/>
        <w:rPr>
          <w:rFonts w:eastAsia="Arial" w:cs="Arial"/>
          <w:sz w:val="20"/>
          <w:szCs w:val="20"/>
        </w:rPr>
      </w:pPr>
      <w:r>
        <w:rPr>
          <w:rFonts w:eastAsia="Arial" w:cs="Arial"/>
          <w:sz w:val="20"/>
          <w:szCs w:val="20"/>
        </w:rPr>
        <w:t>Some investment advisers are also registered as broker-dealers or have affiliates registered as such. These advisers or their affiliates often act as broker-dealers for their advisory clients. Agency trade procedures govern trades where the investment adviser or an affiliate, as the client's broker-dealer, arranges for the purchase or sale of securities for the client and earns compensation on the trades. A "cross trade" is a securities transaction between two clients managed by the same adviser, where one client sells securities to another client. Typically, there is no broker-dealer or brokerage commission involved in a cross trade. An "agency cross trade" (which is different from both an agency trade and a cross trade) is a securities transaction involving a broker-dealer between two clients managed by the same adviser, where one client sells securities to another client, and the adviser has discretion over only one of the clients and executes the trade on behalf of both funds in its capacity as a broker-dealer. The trades of two clients are therefore crossed. In a principal transaction, the adviser acting on its own account (or an affiliate's account) purchases a security from, or sells a security to, a client.</w:t>
      </w:r>
    </w:p>
    <w:p>
      <w:bookmarkEnd w:id="371"/>
      <w:bookmarkStart w:id="373" w:name="Sec_Chp_061016102251640_061016102251703"/>
    </w:p>
    <w:p>
      <w:pPr>
        <w:pStyle w:val="Heading2"/>
      </w:pPr>
      <w:bookmarkStart w:id="374" w:name="_Toc256000096"/>
      <w:r>
        <w:t>6.1 Compliance Reference Chart</w:t>
      </w:r>
      <w:bookmarkEnd w:id="374"/>
    </w:p>
    <w:p/>
    <w:p>
      <w:pPr>
        <w:rPr>
          <w:rFonts w:eastAsia="Arial" w:cs="Arial"/>
          <w:sz w:val="16"/>
          <w:szCs w:val="16"/>
        </w:rPr>
      </w:pPr>
      <w:r>
        <w:rPr>
          <w:rFonts w:eastAsia="Arial" w:cs="Arial"/>
          <w:sz w:val="16"/>
          <w:szCs w:val="16"/>
        </w:rPr>
        <w:t>[Investment Advisers Act of 1940 Rule 206(3)-2; Investment Advisers Act of 1940 Section 206(3); ERISA]</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37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Registered Investment Advisor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37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p>
            <w:pPr>
              <w:numPr>
                <w:ilvl w:val="0"/>
                <w:numId w:val="37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p>
            <w:pPr>
              <w:numPr>
                <w:ilvl w:val="0"/>
                <w:numId w:val="37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 Management</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37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KCD places a trade for a client</w:t>
            </w:r>
          </w:p>
          <w:p>
            <w:pPr>
              <w:numPr>
                <w:ilvl w:val="0"/>
                <w:numId w:val="37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Periodic reviews of compliance with procedures governing agency, agency cross transaction, aggregated, and principal trades, and trade allocation</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373"/>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 206(3) of the Investment Advisers Act of 1940</w:t>
            </w:r>
          </w:p>
          <w:p>
            <w:pPr>
              <w:numPr>
                <w:ilvl w:val="0"/>
                <w:numId w:val="37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206(3)-2 under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37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All trade related records</w:t>
            </w:r>
          </w:p>
          <w:p>
            <w:pPr>
              <w:numPr>
                <w:ilvl w:val="0"/>
                <w:numId w:val="37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Records related to the operation of procedures governing agency, agency cross transaction, aggregated, and principal trades and trade allocation</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37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Trading Procedures annually.</w:t>
            </w:r>
          </w:p>
        </w:tc>
      </w:tr>
    </w:tbl>
    <w:p>
      <w:bookmarkEnd w:id="373"/>
      <w:bookmarkStart w:id="375" w:name="Sec_Chp_061016102251640_061016102251750"/>
    </w:p>
    <w:p>
      <w:pPr>
        <w:pStyle w:val="Heading2"/>
      </w:pPr>
      <w:bookmarkStart w:id="376" w:name="_Toc256000097"/>
      <w:r>
        <w:t>6.2 Policy</w:t>
      </w:r>
      <w:bookmarkEnd w:id="376"/>
    </w:p>
    <w:p/>
    <w:p>
      <w:pPr>
        <w:rPr>
          <w:rFonts w:eastAsia="Arial" w:cs="Arial"/>
          <w:sz w:val="16"/>
          <w:szCs w:val="16"/>
        </w:rPr>
      </w:pPr>
    </w:p>
    <w:p>
      <w:pPr>
        <w:pStyle w:val="normal0"/>
        <w:spacing w:after="200"/>
        <w:rPr>
          <w:rFonts w:eastAsia="Arial" w:cs="Arial"/>
          <w:sz w:val="20"/>
          <w:szCs w:val="20"/>
        </w:rPr>
      </w:pPr>
      <w:r>
        <w:rPr>
          <w:rFonts w:eastAsia="Arial" w:cs="Arial"/>
          <w:sz w:val="20"/>
          <w:szCs w:val="20"/>
        </w:rPr>
        <w:t>All trading is completed through an electronic system provided by clearing firm or third party manager. Electronic reports are generated daily and reviewed by the appropriate supervisor.</w:t>
      </w:r>
    </w:p>
    <w:p>
      <w:bookmarkEnd w:id="375"/>
      <w:bookmarkStart w:id="377" w:name="Sec_Chp_061016102251640_061016102251765"/>
    </w:p>
    <w:p>
      <w:pPr>
        <w:pStyle w:val="Heading2"/>
      </w:pPr>
      <w:bookmarkStart w:id="378" w:name="_Toc256000098"/>
      <w:r>
        <w:t>6.3 Procedures</w:t>
      </w:r>
      <w:bookmarkEnd w:id="378"/>
      <w:r>
        <w:t xml:space="preserve"> </w:t>
      </w:r>
    </w:p>
    <w:p/>
    <w:p>
      <w:pPr>
        <w:rPr>
          <w:rFonts w:eastAsia="Arial" w:cs="Arial"/>
          <w:sz w:val="16"/>
          <w:szCs w:val="16"/>
        </w:rPr>
      </w:pPr>
    </w:p>
    <w:p>
      <w:bookmarkEnd w:id="377"/>
      <w:bookmarkStart w:id="379" w:name="Sec_Chp_061016102251640_061016102251781"/>
    </w:p>
    <w:p>
      <w:pPr>
        <w:pStyle w:val="Heading3"/>
      </w:pPr>
      <w:bookmarkStart w:id="380" w:name="_Toc256000099"/>
      <w:r>
        <w:t>6.3.1 Securities Orders</w:t>
      </w:r>
      <w:bookmarkEnd w:id="380"/>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For every order placed with a broker-dealer on behalf of a client, the Registered Investment Advisor shall: </w:t>
      </w:r>
    </w:p>
    <w:p>
      <w:pPr>
        <w:numPr>
          <w:ilvl w:val="0"/>
          <w:numId w:val="376"/>
        </w:numPr>
        <w:spacing w:before="200"/>
        <w:ind w:left="720" w:hanging="267"/>
        <w:jc w:val="left"/>
        <w:rPr>
          <w:rFonts w:eastAsia="Arial" w:cs="Arial"/>
          <w:sz w:val="20"/>
          <w:szCs w:val="20"/>
        </w:rPr>
      </w:pPr>
      <w:r>
        <w:rPr>
          <w:rFonts w:eastAsia="Arial" w:cs="Arial"/>
          <w:sz w:val="20"/>
          <w:szCs w:val="20"/>
        </w:rPr>
        <w:t xml:space="preserve">Verify that the client has set up an advisory account with KCD; </w:t>
      </w:r>
    </w:p>
    <w:p>
      <w:pPr>
        <w:numPr>
          <w:ilvl w:val="0"/>
          <w:numId w:val="376"/>
        </w:numPr>
        <w:ind w:left="720" w:hanging="267"/>
        <w:jc w:val="left"/>
        <w:rPr>
          <w:rFonts w:eastAsia="Arial" w:cs="Arial"/>
          <w:sz w:val="20"/>
          <w:szCs w:val="20"/>
        </w:rPr>
      </w:pPr>
      <w:r>
        <w:rPr>
          <w:rFonts w:eastAsia="Arial" w:cs="Arial"/>
          <w:sz w:val="20"/>
          <w:szCs w:val="20"/>
        </w:rPr>
        <w:t>Verify that the client has a sufficient account balance to cover the order;</w:t>
      </w:r>
    </w:p>
    <w:p>
      <w:pPr>
        <w:numPr>
          <w:ilvl w:val="0"/>
          <w:numId w:val="376"/>
        </w:numPr>
        <w:ind w:left="720" w:hanging="267"/>
        <w:jc w:val="left"/>
        <w:rPr>
          <w:rFonts w:eastAsia="Arial" w:cs="Arial"/>
          <w:sz w:val="20"/>
          <w:szCs w:val="20"/>
        </w:rPr>
      </w:pPr>
      <w:r>
        <w:rPr>
          <w:rFonts w:eastAsia="Arial" w:cs="Arial"/>
          <w:sz w:val="20"/>
          <w:szCs w:val="20"/>
        </w:rPr>
        <w:t xml:space="preserve">Verify that KCD has discretionary authority over the client's account to place the order or the client has given his or her consent to place the order; </w:t>
      </w:r>
    </w:p>
    <w:p>
      <w:pPr>
        <w:numPr>
          <w:ilvl w:val="0"/>
          <w:numId w:val="376"/>
        </w:numPr>
        <w:ind w:left="720" w:hanging="267"/>
        <w:jc w:val="left"/>
        <w:rPr>
          <w:rFonts w:eastAsia="Arial" w:cs="Arial"/>
          <w:sz w:val="20"/>
          <w:szCs w:val="20"/>
        </w:rPr>
      </w:pPr>
      <w:r>
        <w:rPr>
          <w:rFonts w:eastAsia="Arial" w:cs="Arial"/>
          <w:sz w:val="20"/>
          <w:szCs w:val="20"/>
        </w:rPr>
        <w:t xml:space="preserve">Verify that the applicable Adviser Representative has determined that the order is suitable for the client; </w:t>
      </w:r>
    </w:p>
    <w:p>
      <w:pPr>
        <w:numPr>
          <w:ilvl w:val="0"/>
          <w:numId w:val="376"/>
        </w:numPr>
        <w:ind w:left="720" w:hanging="267"/>
        <w:jc w:val="left"/>
        <w:rPr>
          <w:rFonts w:eastAsia="Arial" w:cs="Arial"/>
          <w:sz w:val="20"/>
          <w:szCs w:val="20"/>
        </w:rPr>
      </w:pPr>
      <w:r>
        <w:rPr>
          <w:rFonts w:eastAsia="Arial" w:cs="Arial"/>
          <w:sz w:val="20"/>
          <w:szCs w:val="20"/>
        </w:rPr>
        <w:t xml:space="preserve">Transmit the name of the client, client account number, trade information and other required information to the approved broker-dealer; and </w:t>
      </w:r>
    </w:p>
    <w:p>
      <w:pPr>
        <w:numPr>
          <w:ilvl w:val="0"/>
          <w:numId w:val="376"/>
        </w:numPr>
        <w:spacing w:after="200"/>
        <w:ind w:left="720" w:hanging="267"/>
        <w:jc w:val="left"/>
        <w:rPr>
          <w:rFonts w:eastAsia="Arial" w:cs="Arial"/>
          <w:sz w:val="20"/>
          <w:szCs w:val="20"/>
        </w:rPr>
      </w:pPr>
      <w:r>
        <w:rPr>
          <w:rFonts w:eastAsia="Arial" w:cs="Arial"/>
          <w:sz w:val="20"/>
          <w:szCs w:val="20"/>
        </w:rPr>
        <w:t>Follow up with the broker-dealer to confirm that trades have been placed or to find out reasons for rejected trades.</w:t>
      </w:r>
    </w:p>
    <w:p>
      <w:bookmarkEnd w:id="379"/>
      <w:bookmarkStart w:id="381" w:name="Sec_Chp_061016102251640_061016102251875"/>
    </w:p>
    <w:p>
      <w:pPr>
        <w:pStyle w:val="Heading4"/>
      </w:pPr>
      <w:r>
        <w:t>6.3.1.1 Trade Ticket Preparation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Adviser Representatives and traders will prepare a trade ticket: </w:t>
      </w:r>
    </w:p>
    <w:p>
      <w:pPr>
        <w:numPr>
          <w:ilvl w:val="0"/>
          <w:numId w:val="377"/>
        </w:numPr>
        <w:spacing w:before="200"/>
        <w:ind w:left="720" w:hanging="192"/>
        <w:jc w:val="left"/>
        <w:rPr>
          <w:rFonts w:eastAsia="Arial" w:cs="Arial"/>
          <w:sz w:val="20"/>
          <w:szCs w:val="20"/>
        </w:rPr>
      </w:pPr>
      <w:r>
        <w:rPr>
          <w:rStyle w:val="Strong"/>
          <w:rFonts w:eastAsia="Arial" w:cs="Arial"/>
          <w:b/>
          <w:bCs/>
          <w:sz w:val="20"/>
          <w:szCs w:val="20"/>
        </w:rPr>
        <w:t>Non-Discretionary Accounts:</w:t>
      </w:r>
      <w:r>
        <w:rPr>
          <w:rFonts w:eastAsia="Arial" w:cs="Arial"/>
          <w:sz w:val="20"/>
          <w:szCs w:val="20"/>
        </w:rPr>
        <w:t xml:space="preserve"> each time an instruction is received by an Adviser Representative from a client concerning the purchase, sale, receipt, or delivery of a security for non-discretionary accounts; and </w:t>
      </w:r>
    </w:p>
    <w:p>
      <w:pPr>
        <w:numPr>
          <w:ilvl w:val="0"/>
          <w:numId w:val="377"/>
        </w:numPr>
        <w:spacing w:after="200"/>
        <w:ind w:left="720" w:hanging="192"/>
        <w:jc w:val="left"/>
        <w:rPr>
          <w:rFonts w:eastAsia="Arial" w:cs="Arial"/>
          <w:sz w:val="20"/>
          <w:szCs w:val="20"/>
        </w:rPr>
      </w:pPr>
      <w:r>
        <w:rPr>
          <w:rStyle w:val="Strong"/>
          <w:rFonts w:eastAsia="Arial" w:cs="Arial"/>
          <w:b/>
          <w:bCs/>
          <w:sz w:val="20"/>
          <w:szCs w:val="20"/>
        </w:rPr>
        <w:t>Discretionary Accounts:</w:t>
      </w:r>
      <w:r>
        <w:rPr>
          <w:rFonts w:eastAsia="Arial" w:cs="Arial"/>
          <w:sz w:val="20"/>
          <w:szCs w:val="20"/>
        </w:rPr>
        <w:t xml:space="preserve"> each time an Adviser Representative places an order with a broker-dealer concerning the purchase, sale, receipt or delivery of a security for discretionary accounts. </w:t>
      </w:r>
    </w:p>
    <w:p>
      <w:pPr>
        <w:pStyle w:val="normal0"/>
        <w:spacing w:before="200" w:after="200"/>
        <w:rPr>
          <w:rFonts w:eastAsia="Arial" w:cs="Arial"/>
          <w:sz w:val="20"/>
          <w:szCs w:val="20"/>
        </w:rPr>
      </w:pPr>
      <w:r>
        <w:rPr>
          <w:rFonts w:eastAsia="Arial" w:cs="Arial"/>
          <w:sz w:val="20"/>
          <w:szCs w:val="20"/>
        </w:rPr>
        <w:t xml:space="preserve">Each trade ticket shall contain the following information: </w:t>
      </w:r>
    </w:p>
    <w:p>
      <w:pPr>
        <w:numPr>
          <w:ilvl w:val="0"/>
          <w:numId w:val="378"/>
        </w:numPr>
        <w:spacing w:before="200"/>
        <w:ind w:left="720" w:hanging="267"/>
        <w:jc w:val="left"/>
        <w:rPr>
          <w:rFonts w:eastAsia="Arial" w:cs="Arial"/>
          <w:sz w:val="20"/>
          <w:szCs w:val="20"/>
        </w:rPr>
      </w:pPr>
      <w:r>
        <w:rPr>
          <w:rFonts w:eastAsia="Arial" w:cs="Arial"/>
          <w:sz w:val="20"/>
          <w:szCs w:val="20"/>
        </w:rPr>
        <w:t>The name of the security and its symbol;</w:t>
      </w:r>
    </w:p>
    <w:p>
      <w:pPr>
        <w:numPr>
          <w:ilvl w:val="0"/>
          <w:numId w:val="378"/>
        </w:numPr>
        <w:ind w:left="720" w:hanging="267"/>
        <w:jc w:val="left"/>
        <w:rPr>
          <w:rFonts w:eastAsia="Arial" w:cs="Arial"/>
          <w:sz w:val="20"/>
          <w:szCs w:val="20"/>
        </w:rPr>
      </w:pPr>
      <w:r>
        <w:rPr>
          <w:rFonts w:eastAsia="Arial" w:cs="Arial"/>
          <w:sz w:val="20"/>
          <w:szCs w:val="20"/>
        </w:rPr>
        <w:t xml:space="preserve">The terms and conditions of the order, instruction, modification or cancellation; </w:t>
      </w:r>
    </w:p>
    <w:p>
      <w:pPr>
        <w:numPr>
          <w:ilvl w:val="0"/>
          <w:numId w:val="378"/>
        </w:numPr>
        <w:ind w:left="720" w:hanging="267"/>
        <w:jc w:val="left"/>
        <w:rPr>
          <w:rFonts w:eastAsia="Arial" w:cs="Arial"/>
          <w:sz w:val="20"/>
          <w:szCs w:val="20"/>
        </w:rPr>
      </w:pPr>
      <w:r>
        <w:rPr>
          <w:rFonts w:eastAsia="Arial" w:cs="Arial"/>
          <w:sz w:val="20"/>
          <w:szCs w:val="20"/>
        </w:rPr>
        <w:t xml:space="preserve">The name of the Adviser Representative who recommended the transaction; </w:t>
      </w:r>
    </w:p>
    <w:p>
      <w:pPr>
        <w:numPr>
          <w:ilvl w:val="0"/>
          <w:numId w:val="378"/>
        </w:numPr>
        <w:ind w:left="720" w:hanging="267"/>
        <w:jc w:val="left"/>
        <w:rPr>
          <w:rFonts w:eastAsia="Arial" w:cs="Arial"/>
          <w:sz w:val="20"/>
          <w:szCs w:val="20"/>
        </w:rPr>
      </w:pPr>
      <w:r>
        <w:rPr>
          <w:rFonts w:eastAsia="Arial" w:cs="Arial"/>
          <w:sz w:val="20"/>
          <w:szCs w:val="20"/>
        </w:rPr>
        <w:t xml:space="preserve">The name of the Adviser Representative or trader who will place the order; </w:t>
      </w:r>
    </w:p>
    <w:p>
      <w:pPr>
        <w:numPr>
          <w:ilvl w:val="0"/>
          <w:numId w:val="378"/>
        </w:numPr>
        <w:ind w:left="720" w:hanging="267"/>
        <w:jc w:val="left"/>
        <w:rPr>
          <w:rFonts w:eastAsia="Arial" w:cs="Arial"/>
          <w:sz w:val="20"/>
          <w:szCs w:val="20"/>
        </w:rPr>
      </w:pPr>
      <w:r>
        <w:rPr>
          <w:rFonts w:eastAsia="Arial" w:cs="Arial"/>
          <w:sz w:val="20"/>
          <w:szCs w:val="20"/>
        </w:rPr>
        <w:t xml:space="preserve">The name and account number of the client for whom the order is entered; </w:t>
      </w:r>
    </w:p>
    <w:p>
      <w:pPr>
        <w:numPr>
          <w:ilvl w:val="0"/>
          <w:numId w:val="378"/>
        </w:numPr>
        <w:ind w:left="720" w:hanging="267"/>
        <w:jc w:val="left"/>
        <w:rPr>
          <w:rFonts w:eastAsia="Arial" w:cs="Arial"/>
          <w:sz w:val="20"/>
          <w:szCs w:val="20"/>
        </w:rPr>
      </w:pPr>
      <w:r>
        <w:rPr>
          <w:rFonts w:eastAsia="Arial" w:cs="Arial"/>
          <w:sz w:val="20"/>
          <w:szCs w:val="20"/>
        </w:rPr>
        <w:t xml:space="preserve">The date the order is entered; </w:t>
      </w:r>
    </w:p>
    <w:p>
      <w:pPr>
        <w:numPr>
          <w:ilvl w:val="0"/>
          <w:numId w:val="378"/>
        </w:numPr>
        <w:ind w:left="720" w:hanging="267"/>
        <w:jc w:val="left"/>
        <w:rPr>
          <w:rFonts w:eastAsia="Arial" w:cs="Arial"/>
          <w:sz w:val="20"/>
          <w:szCs w:val="20"/>
        </w:rPr>
      </w:pPr>
      <w:r>
        <w:rPr>
          <w:rFonts w:eastAsia="Arial" w:cs="Arial"/>
          <w:sz w:val="20"/>
          <w:szCs w:val="20"/>
        </w:rPr>
        <w:t xml:space="preserve">The name of the broker-dealer through whom the order was executed; </w:t>
      </w:r>
    </w:p>
    <w:p>
      <w:pPr>
        <w:numPr>
          <w:ilvl w:val="0"/>
          <w:numId w:val="378"/>
        </w:numPr>
        <w:ind w:left="720" w:hanging="267"/>
        <w:jc w:val="left"/>
        <w:rPr>
          <w:rFonts w:eastAsia="Arial" w:cs="Arial"/>
          <w:sz w:val="20"/>
          <w:szCs w:val="20"/>
        </w:rPr>
      </w:pPr>
      <w:r>
        <w:rPr>
          <w:rFonts w:eastAsia="Arial" w:cs="Arial"/>
          <w:sz w:val="20"/>
          <w:szCs w:val="20"/>
        </w:rPr>
        <w:t xml:space="preserve">The market in which the transaction occurred; </w:t>
      </w:r>
    </w:p>
    <w:p>
      <w:pPr>
        <w:numPr>
          <w:ilvl w:val="0"/>
          <w:numId w:val="378"/>
        </w:numPr>
        <w:ind w:left="720" w:hanging="267"/>
        <w:jc w:val="left"/>
        <w:rPr>
          <w:rFonts w:eastAsia="Arial" w:cs="Arial"/>
          <w:sz w:val="20"/>
          <w:szCs w:val="20"/>
        </w:rPr>
      </w:pPr>
      <w:r>
        <w:rPr>
          <w:rFonts w:eastAsia="Arial" w:cs="Arial"/>
          <w:sz w:val="20"/>
          <w:szCs w:val="20"/>
        </w:rPr>
        <w:t xml:space="preserve">The order type (buy/sell) (long/short); </w:t>
      </w:r>
    </w:p>
    <w:p>
      <w:pPr>
        <w:numPr>
          <w:ilvl w:val="0"/>
          <w:numId w:val="378"/>
        </w:numPr>
        <w:ind w:left="720" w:hanging="378"/>
        <w:jc w:val="left"/>
        <w:rPr>
          <w:rFonts w:eastAsia="Arial" w:cs="Arial"/>
          <w:sz w:val="20"/>
          <w:szCs w:val="20"/>
        </w:rPr>
      </w:pPr>
      <w:r>
        <w:rPr>
          <w:rFonts w:eastAsia="Arial" w:cs="Arial"/>
          <w:sz w:val="20"/>
          <w:szCs w:val="20"/>
        </w:rPr>
        <w:t xml:space="preserve">Any client limits (time/price); </w:t>
      </w:r>
    </w:p>
    <w:p>
      <w:pPr>
        <w:numPr>
          <w:ilvl w:val="0"/>
          <w:numId w:val="378"/>
        </w:numPr>
        <w:ind w:left="720" w:hanging="378"/>
        <w:jc w:val="left"/>
        <w:rPr>
          <w:rFonts w:eastAsia="Arial" w:cs="Arial"/>
          <w:sz w:val="20"/>
          <w:szCs w:val="20"/>
        </w:rPr>
      </w:pPr>
      <w:r>
        <w:rPr>
          <w:rFonts w:eastAsia="Arial" w:cs="Arial"/>
          <w:sz w:val="20"/>
          <w:szCs w:val="20"/>
        </w:rPr>
        <w:t xml:space="preserve">Quantity of securities purchased or sold; </w:t>
      </w:r>
    </w:p>
    <w:p>
      <w:pPr>
        <w:numPr>
          <w:ilvl w:val="0"/>
          <w:numId w:val="378"/>
        </w:numPr>
        <w:ind w:left="720" w:hanging="378"/>
        <w:jc w:val="left"/>
        <w:rPr>
          <w:rFonts w:eastAsia="Arial" w:cs="Arial"/>
          <w:sz w:val="20"/>
          <w:szCs w:val="20"/>
        </w:rPr>
      </w:pPr>
      <w:r>
        <w:rPr>
          <w:rFonts w:eastAsia="Arial" w:cs="Arial"/>
          <w:sz w:val="20"/>
          <w:szCs w:val="20"/>
        </w:rPr>
        <w:t>Price at which trade was executed;</w:t>
      </w:r>
    </w:p>
    <w:p>
      <w:pPr>
        <w:numPr>
          <w:ilvl w:val="0"/>
          <w:numId w:val="378"/>
        </w:numPr>
        <w:ind w:left="720" w:hanging="378"/>
        <w:jc w:val="left"/>
        <w:rPr>
          <w:rFonts w:eastAsia="Arial" w:cs="Arial"/>
          <w:sz w:val="20"/>
          <w:szCs w:val="20"/>
        </w:rPr>
      </w:pPr>
      <w:r>
        <w:rPr>
          <w:rFonts w:eastAsia="Arial" w:cs="Arial"/>
          <w:sz w:val="20"/>
          <w:szCs w:val="20"/>
        </w:rPr>
        <w:t>Commission or fees charged;</w:t>
      </w:r>
    </w:p>
    <w:p>
      <w:pPr>
        <w:numPr>
          <w:ilvl w:val="0"/>
          <w:numId w:val="378"/>
        </w:numPr>
        <w:ind w:left="720" w:hanging="378"/>
        <w:jc w:val="left"/>
        <w:rPr>
          <w:rFonts w:eastAsia="Arial" w:cs="Arial"/>
          <w:sz w:val="20"/>
          <w:szCs w:val="20"/>
        </w:rPr>
      </w:pPr>
      <w:r>
        <w:rPr>
          <w:rFonts w:eastAsia="Arial" w:cs="Arial"/>
          <w:sz w:val="20"/>
          <w:szCs w:val="20"/>
        </w:rPr>
        <w:t>Any instruction, modification or cancellation of the order;</w:t>
      </w:r>
    </w:p>
    <w:p>
      <w:pPr>
        <w:numPr>
          <w:ilvl w:val="0"/>
          <w:numId w:val="378"/>
        </w:numPr>
        <w:spacing w:after="200"/>
        <w:ind w:left="720" w:hanging="378"/>
        <w:jc w:val="left"/>
        <w:rPr>
          <w:rFonts w:eastAsia="Arial" w:cs="Arial"/>
          <w:sz w:val="20"/>
          <w:szCs w:val="20"/>
        </w:rPr>
      </w:pPr>
      <w:r>
        <w:rPr>
          <w:rFonts w:eastAsia="Arial" w:cs="Arial"/>
          <w:sz w:val="20"/>
          <w:szCs w:val="20"/>
        </w:rPr>
        <w:t xml:space="preserve">An indication of whether or not the order was entered through KCD's discretionary power; and </w:t>
      </w:r>
    </w:p>
    <w:p>
      <w:pPr>
        <w:pStyle w:val="normal0"/>
        <w:spacing w:before="200" w:after="200"/>
        <w:rPr>
          <w:rFonts w:eastAsia="Arial" w:cs="Arial"/>
          <w:sz w:val="20"/>
          <w:szCs w:val="20"/>
        </w:rPr>
      </w:pPr>
      <w:r>
        <w:rPr>
          <w:rFonts w:eastAsia="Arial" w:cs="Arial"/>
          <w:sz w:val="20"/>
          <w:szCs w:val="20"/>
        </w:rPr>
        <w:t>KCD shall also maintain the required information about the trade in a trade blotter pursuant to the books and records procedures set forth herein.</w:t>
      </w:r>
    </w:p>
    <w:p>
      <w:bookmarkEnd w:id="381"/>
      <w:bookmarkStart w:id="382" w:name="Sec_Chp_061016102251640_061016102251890"/>
    </w:p>
    <w:p>
      <w:pPr>
        <w:pStyle w:val="Heading4"/>
      </w:pPr>
      <w:r>
        <w:t>6.3.1.2 Placement of Securities Orders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Only the following employees of KCD may place securities orders written on trade tickets with approved broker-dealers:</w:t>
      </w:r>
    </w:p>
    <w:p>
      <w:pPr>
        <w:numPr>
          <w:ilvl w:val="0"/>
          <w:numId w:val="379"/>
        </w:numPr>
        <w:spacing w:before="200" w:after="200"/>
        <w:ind w:left="720" w:hanging="192"/>
        <w:jc w:val="left"/>
        <w:rPr>
          <w:rFonts w:eastAsia="Arial" w:cs="Arial"/>
          <w:sz w:val="20"/>
          <w:szCs w:val="20"/>
        </w:rPr>
      </w:pPr>
      <w:r>
        <w:rPr>
          <w:rFonts w:eastAsia="Arial" w:cs="Arial"/>
          <w:sz w:val="20"/>
          <w:szCs w:val="20"/>
        </w:rPr>
        <w:t xml:space="preserve">Investment Adviser Representative recommending the trade </w:t>
      </w:r>
    </w:p>
    <w:p>
      <w:bookmarkEnd w:id="382"/>
      <w:bookmarkStart w:id="383" w:name="Sec_Chp_061016102251640_061016102251921"/>
    </w:p>
    <w:p>
      <w:pPr>
        <w:pStyle w:val="Heading4"/>
      </w:pPr>
      <w:r>
        <w:t>6.3.1.3 Order Strategies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recognizes that its order submission and trade strategies are important factors that influence whether clients will achieve their investment goals, including returns on their investments. KCD shall use appropriate types of orders, including:</w:t>
      </w:r>
    </w:p>
    <w:p>
      <w:pPr>
        <w:numPr>
          <w:ilvl w:val="0"/>
          <w:numId w:val="380"/>
        </w:numPr>
        <w:spacing w:before="200"/>
        <w:ind w:left="720" w:hanging="192"/>
        <w:jc w:val="left"/>
        <w:rPr>
          <w:rFonts w:eastAsia="Arial" w:cs="Arial"/>
          <w:sz w:val="20"/>
          <w:szCs w:val="20"/>
        </w:rPr>
      </w:pPr>
      <w:r>
        <w:rPr>
          <w:rFonts w:eastAsia="Arial" w:cs="Arial"/>
          <w:sz w:val="20"/>
          <w:szCs w:val="20"/>
        </w:rPr>
        <w:t xml:space="preserve">Market orders </w:t>
      </w:r>
    </w:p>
    <w:p>
      <w:pPr>
        <w:numPr>
          <w:ilvl w:val="0"/>
          <w:numId w:val="380"/>
        </w:numPr>
        <w:ind w:left="720" w:hanging="192"/>
        <w:jc w:val="left"/>
        <w:rPr>
          <w:rFonts w:eastAsia="Arial" w:cs="Arial"/>
          <w:sz w:val="20"/>
          <w:szCs w:val="20"/>
        </w:rPr>
      </w:pPr>
      <w:r>
        <w:rPr>
          <w:rFonts w:eastAsia="Arial" w:cs="Arial"/>
          <w:sz w:val="20"/>
          <w:szCs w:val="20"/>
        </w:rPr>
        <w:t xml:space="preserve">Limit orders </w:t>
      </w:r>
    </w:p>
    <w:p>
      <w:pPr>
        <w:numPr>
          <w:ilvl w:val="0"/>
          <w:numId w:val="380"/>
        </w:numPr>
        <w:ind w:left="720" w:hanging="192"/>
        <w:jc w:val="left"/>
        <w:rPr>
          <w:rFonts w:eastAsia="Arial" w:cs="Arial"/>
          <w:sz w:val="20"/>
          <w:szCs w:val="20"/>
        </w:rPr>
      </w:pPr>
      <w:r>
        <w:rPr>
          <w:rFonts w:eastAsia="Arial" w:cs="Arial"/>
          <w:sz w:val="20"/>
          <w:szCs w:val="20"/>
        </w:rPr>
        <w:t xml:space="preserve">Stop market orders </w:t>
      </w:r>
    </w:p>
    <w:p>
      <w:pPr>
        <w:numPr>
          <w:ilvl w:val="0"/>
          <w:numId w:val="380"/>
        </w:numPr>
        <w:ind w:left="720" w:hanging="192"/>
        <w:jc w:val="left"/>
        <w:rPr>
          <w:rFonts w:eastAsia="Arial" w:cs="Arial"/>
          <w:sz w:val="20"/>
          <w:szCs w:val="20"/>
        </w:rPr>
      </w:pPr>
      <w:r>
        <w:rPr>
          <w:rFonts w:eastAsia="Arial" w:cs="Arial"/>
          <w:sz w:val="20"/>
          <w:szCs w:val="20"/>
        </w:rPr>
        <w:t xml:space="preserve">Stop limit orders </w:t>
      </w:r>
    </w:p>
    <w:p>
      <w:pPr>
        <w:numPr>
          <w:ilvl w:val="0"/>
          <w:numId w:val="380"/>
        </w:numPr>
        <w:ind w:left="720" w:hanging="192"/>
        <w:jc w:val="left"/>
        <w:rPr>
          <w:rFonts w:eastAsia="Arial" w:cs="Arial"/>
          <w:sz w:val="20"/>
          <w:szCs w:val="20"/>
        </w:rPr>
      </w:pPr>
      <w:r>
        <w:rPr>
          <w:rFonts w:eastAsia="Arial" w:cs="Arial"/>
          <w:sz w:val="20"/>
          <w:szCs w:val="20"/>
        </w:rPr>
        <w:t xml:space="preserve">Tick sensitive orders </w:t>
      </w:r>
    </w:p>
    <w:p>
      <w:pPr>
        <w:numPr>
          <w:ilvl w:val="0"/>
          <w:numId w:val="380"/>
        </w:numPr>
        <w:spacing w:after="200"/>
        <w:ind w:left="720" w:hanging="192"/>
        <w:jc w:val="left"/>
        <w:rPr>
          <w:rFonts w:eastAsia="Arial" w:cs="Arial"/>
          <w:sz w:val="20"/>
          <w:szCs w:val="20"/>
        </w:rPr>
      </w:pPr>
      <w:r>
        <w:rPr>
          <w:rFonts w:eastAsia="Arial" w:cs="Arial"/>
          <w:sz w:val="20"/>
          <w:szCs w:val="20"/>
        </w:rPr>
        <w:t>Spread orders</w:t>
      </w:r>
    </w:p>
    <w:p>
      <w:pPr>
        <w:pStyle w:val="normal0"/>
        <w:spacing w:before="200" w:after="200"/>
        <w:rPr>
          <w:rFonts w:eastAsia="Arial" w:cs="Arial"/>
          <w:sz w:val="20"/>
          <w:szCs w:val="20"/>
        </w:rPr>
      </w:pPr>
      <w:r>
        <w:rPr>
          <w:rFonts w:eastAsia="Arial" w:cs="Arial"/>
          <w:sz w:val="20"/>
          <w:szCs w:val="20"/>
        </w:rPr>
        <w:t>KCD will attempt to place orders immediately. If appropriate, KCD will use strategies when placing relatively larger orders to minimize the impact of such orders on prices and other appropriate strategies in the attempt to obtain the best price for its client.</w:t>
      </w:r>
    </w:p>
    <w:p>
      <w:bookmarkEnd w:id="383"/>
      <w:bookmarkStart w:id="384" w:name="Sec_Chp_061016102251640_061016102251937"/>
    </w:p>
    <w:p>
      <w:pPr>
        <w:pStyle w:val="Heading4"/>
      </w:pPr>
      <w:r>
        <w:t>6.3.1.4 Unauthorized Trades and Trading Practices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Neither KCD nor any employee may engage in front-running, scalping and certain other prohibited activities. </w:t>
      </w:r>
    </w:p>
    <w:p>
      <w:bookmarkEnd w:id="384"/>
      <w:bookmarkStart w:id="385" w:name="Sec_Chp_061016102251640_061016102251953"/>
    </w:p>
    <w:p>
      <w:pPr>
        <w:pStyle w:val="Heading5"/>
      </w:pPr>
      <w:r>
        <w:t>6.3.1.4.1 Front-Running and Scalping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engage in front-running or scalping.</w:t>
      </w:r>
    </w:p>
    <w:p>
      <w:bookmarkEnd w:id="385"/>
      <w:bookmarkStart w:id="386" w:name="Sec_Chp_061016102251640_061016102251968"/>
    </w:p>
    <w:p>
      <w:pPr>
        <w:pStyle w:val="Heading5"/>
      </w:pPr>
      <w:r>
        <w:t>6.3.1.4.2 Front-Running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"Front-running," which is illegal, would occur should KCD cause a performance fee paying advisory client account or a Firm or Firm affiliate ("Firm Affiliate") account to purchase or make sales of securities in advance of the same transactions for non-performance fee paying advisory client or non-Firm Affiliate accounts. KCD, therefore, will not:</w:t>
      </w:r>
    </w:p>
    <w:p>
      <w:pPr>
        <w:numPr>
          <w:ilvl w:val="0"/>
          <w:numId w:val="381"/>
        </w:numPr>
        <w:spacing w:before="200"/>
        <w:ind w:left="720" w:hanging="192"/>
        <w:jc w:val="left"/>
        <w:rPr>
          <w:rFonts w:eastAsia="Arial" w:cs="Arial"/>
          <w:sz w:val="20"/>
          <w:szCs w:val="20"/>
        </w:rPr>
      </w:pPr>
      <w:r>
        <w:rPr>
          <w:rFonts w:eastAsia="Arial" w:cs="Arial"/>
          <w:sz w:val="20"/>
          <w:szCs w:val="20"/>
        </w:rPr>
        <w:t xml:space="preserve">purchase a security on behalf of a Firm Affiliate or performance fee paying client account if the portfolio manager intends, or knows KCD intends, to purchase that security or a related security on behalf of a non-Firm Affiliate or non-performance fee paying client account; and </w:t>
      </w:r>
    </w:p>
    <w:p>
      <w:pPr>
        <w:numPr>
          <w:ilvl w:val="0"/>
          <w:numId w:val="381"/>
        </w:numPr>
        <w:spacing w:after="200"/>
        <w:ind w:left="720" w:hanging="192"/>
        <w:jc w:val="left"/>
        <w:rPr>
          <w:rFonts w:eastAsia="Arial" w:cs="Arial"/>
          <w:sz w:val="20"/>
          <w:szCs w:val="20"/>
        </w:rPr>
      </w:pPr>
      <w:r>
        <w:rPr>
          <w:rFonts w:eastAsia="Arial" w:cs="Arial"/>
          <w:sz w:val="20"/>
          <w:szCs w:val="20"/>
        </w:rPr>
        <w:t>sell a security on behalf of a Firm Affiliate or performance fee paying client account if the portfolio manager intends, or knows KCD intends, to sell that security or a related security on behalf of a non-Firm Affiliate or non-performance fee paying client account.</w:t>
      </w:r>
    </w:p>
    <w:p>
      <w:bookmarkEnd w:id="386"/>
      <w:bookmarkStart w:id="387" w:name="Sec_Chp_061016102251640_061016102251984"/>
    </w:p>
    <w:p>
      <w:pPr>
        <w:pStyle w:val="Heading5"/>
      </w:pPr>
      <w:r>
        <w:t>6.3.1.4.3 Scalping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not engage in the practice of "scalping." "Scalping," which is illegal, would occur should KCD cause a non-Firm Affiliate or non-performance fee paying advisory client account to buy a security, while secretly intending for the market price of the security to rise so that KCD could cause a Firm Affiliate or performance fee paying advisory client to sell the same security. KCD will also not engage in the practice of "reverse scalping" by causing a non-Firm Affiliate or non-performance fee paying advisory account to sell a security, while secretly intending for the market price of the security to fall so that KCD could cause a Firm Affiliate or performance fee paying advisory client account to buy the security. </w:t>
      </w:r>
    </w:p>
    <w:p>
      <w:bookmarkEnd w:id="387"/>
      <w:bookmarkStart w:id="388" w:name="Sec_Chp_061016102251640_061016102252031"/>
    </w:p>
    <w:p>
      <w:pPr>
        <w:pStyle w:val="Heading5"/>
      </w:pPr>
      <w:r>
        <w:t>6.3.1.4.4 Other Unauthorized Trading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Neither KCD nor any employee will engage in any of the following activities:</w:t>
      </w:r>
    </w:p>
    <w:p>
      <w:pPr>
        <w:numPr>
          <w:ilvl w:val="0"/>
          <w:numId w:val="382"/>
        </w:numPr>
        <w:spacing w:before="200"/>
        <w:ind w:left="720" w:hanging="192"/>
        <w:jc w:val="left"/>
        <w:rPr>
          <w:rFonts w:eastAsia="Arial" w:cs="Arial"/>
          <w:sz w:val="20"/>
          <w:szCs w:val="20"/>
        </w:rPr>
      </w:pPr>
      <w:r>
        <w:rPr>
          <w:rFonts w:eastAsia="Arial" w:cs="Arial"/>
          <w:sz w:val="20"/>
          <w:szCs w:val="20"/>
        </w:rPr>
        <w:t xml:space="preserve">Placing a securities order that is not authorized by a client in connection with a non-discretionary account or that goes beyond the authority permitted with respect to a discretionary account; </w:t>
      </w:r>
    </w:p>
    <w:p>
      <w:pPr>
        <w:numPr>
          <w:ilvl w:val="0"/>
          <w:numId w:val="382"/>
        </w:numPr>
        <w:ind w:left="720" w:hanging="192"/>
        <w:jc w:val="left"/>
        <w:rPr>
          <w:rFonts w:eastAsia="Arial" w:cs="Arial"/>
          <w:sz w:val="20"/>
          <w:szCs w:val="20"/>
        </w:rPr>
      </w:pPr>
      <w:r>
        <w:rPr>
          <w:rFonts w:eastAsia="Arial" w:cs="Arial"/>
          <w:sz w:val="20"/>
          <w:szCs w:val="20"/>
        </w:rPr>
        <w:t xml:space="preserve">Placing a securities order for fraudulent purposes; </w:t>
      </w:r>
    </w:p>
    <w:p>
      <w:pPr>
        <w:numPr>
          <w:ilvl w:val="0"/>
          <w:numId w:val="382"/>
        </w:numPr>
        <w:ind w:left="720" w:hanging="192"/>
        <w:jc w:val="left"/>
        <w:rPr>
          <w:rFonts w:eastAsia="Arial" w:cs="Arial"/>
          <w:sz w:val="20"/>
          <w:szCs w:val="20"/>
        </w:rPr>
      </w:pPr>
      <w:r>
        <w:rPr>
          <w:rFonts w:eastAsia="Arial" w:cs="Arial"/>
          <w:sz w:val="20"/>
          <w:szCs w:val="20"/>
        </w:rPr>
        <w:t xml:space="preserve">Placing a securities order for an unsuitable transaction for a client; </w:t>
      </w:r>
    </w:p>
    <w:p>
      <w:pPr>
        <w:numPr>
          <w:ilvl w:val="0"/>
          <w:numId w:val="382"/>
        </w:numPr>
        <w:ind w:left="720" w:hanging="192"/>
        <w:jc w:val="left"/>
        <w:rPr>
          <w:rFonts w:eastAsia="Arial" w:cs="Arial"/>
          <w:sz w:val="20"/>
          <w:szCs w:val="20"/>
        </w:rPr>
      </w:pPr>
      <w:r>
        <w:rPr>
          <w:rFonts w:eastAsia="Arial" w:cs="Arial"/>
          <w:sz w:val="20"/>
          <w:szCs w:val="20"/>
        </w:rPr>
        <w:t xml:space="preserve">Engaging in a manipulative transaction; </w:t>
      </w:r>
    </w:p>
    <w:p>
      <w:pPr>
        <w:numPr>
          <w:ilvl w:val="0"/>
          <w:numId w:val="382"/>
        </w:numPr>
        <w:ind w:left="720" w:hanging="192"/>
        <w:jc w:val="left"/>
        <w:rPr>
          <w:rFonts w:eastAsia="Arial" w:cs="Arial"/>
          <w:sz w:val="20"/>
          <w:szCs w:val="20"/>
        </w:rPr>
      </w:pPr>
      <w:r>
        <w:rPr>
          <w:rFonts w:eastAsia="Arial" w:cs="Arial"/>
          <w:sz w:val="20"/>
          <w:szCs w:val="20"/>
        </w:rPr>
        <w:t xml:space="preserve">Effecting an agency cross transaction between two clients (unless KCD's procedures governing such transactions are followed); </w:t>
      </w:r>
    </w:p>
    <w:p>
      <w:pPr>
        <w:numPr>
          <w:ilvl w:val="0"/>
          <w:numId w:val="382"/>
        </w:numPr>
        <w:ind w:left="720" w:hanging="192"/>
        <w:jc w:val="left"/>
        <w:rPr>
          <w:rFonts w:eastAsia="Arial" w:cs="Arial"/>
          <w:sz w:val="20"/>
          <w:szCs w:val="20"/>
        </w:rPr>
      </w:pPr>
      <w:r>
        <w:rPr>
          <w:rFonts w:eastAsia="Arial" w:cs="Arial"/>
          <w:sz w:val="20"/>
          <w:szCs w:val="20"/>
        </w:rPr>
        <w:t xml:space="preserve">Effecting transaction in a security on KCD's Restricted List; </w:t>
      </w:r>
    </w:p>
    <w:p>
      <w:pPr>
        <w:numPr>
          <w:ilvl w:val="0"/>
          <w:numId w:val="382"/>
        </w:numPr>
        <w:ind w:left="720" w:hanging="192"/>
        <w:jc w:val="left"/>
        <w:rPr>
          <w:rFonts w:eastAsia="Arial" w:cs="Arial"/>
          <w:sz w:val="20"/>
          <w:szCs w:val="20"/>
        </w:rPr>
      </w:pPr>
      <w:r>
        <w:rPr>
          <w:rFonts w:eastAsia="Arial" w:cs="Arial"/>
          <w:sz w:val="20"/>
          <w:szCs w:val="20"/>
        </w:rPr>
        <w:t>Engaging in agency or principal transactions (unless KCD's procedures governing such transactions are followed);</w:t>
      </w:r>
    </w:p>
    <w:p>
      <w:pPr>
        <w:numPr>
          <w:ilvl w:val="0"/>
          <w:numId w:val="382"/>
        </w:numPr>
        <w:ind w:left="720" w:hanging="192"/>
        <w:jc w:val="left"/>
        <w:rPr>
          <w:rFonts w:eastAsia="Arial" w:cs="Arial"/>
          <w:sz w:val="20"/>
          <w:szCs w:val="20"/>
        </w:rPr>
      </w:pPr>
      <w:r>
        <w:rPr>
          <w:rFonts w:eastAsia="Arial" w:cs="Arial"/>
          <w:sz w:val="20"/>
          <w:szCs w:val="20"/>
        </w:rPr>
        <w:t xml:space="preserve">Spoofing, </w:t>
      </w:r>
      <w:r>
        <w:rPr>
          <w:rFonts w:eastAsia="Arial" w:cs="Arial"/>
          <w:i/>
          <w:iCs/>
          <w:sz w:val="20"/>
          <w:szCs w:val="20"/>
        </w:rPr>
        <w:t>i.e.,</w:t>
      </w:r>
      <w:r>
        <w:rPr>
          <w:rFonts w:eastAsia="Arial" w:cs="Arial"/>
          <w:sz w:val="20"/>
          <w:szCs w:val="20"/>
        </w:rPr>
        <w:t xml:space="preserve"> submitting significant orders (bids to buy or offers to sell) on one side of the order book to create the illusion of high demand or supply;</w:t>
      </w:r>
    </w:p>
    <w:p>
      <w:pPr>
        <w:numPr>
          <w:ilvl w:val="0"/>
          <w:numId w:val="382"/>
        </w:numPr>
        <w:ind w:left="720" w:hanging="192"/>
        <w:jc w:val="left"/>
        <w:rPr>
          <w:rFonts w:eastAsia="Arial" w:cs="Arial"/>
          <w:sz w:val="20"/>
          <w:szCs w:val="20"/>
        </w:rPr>
      </w:pPr>
      <w:r>
        <w:rPr>
          <w:rFonts w:eastAsia="Arial" w:cs="Arial"/>
          <w:sz w:val="20"/>
          <w:szCs w:val="20"/>
        </w:rPr>
        <w:t xml:space="preserve">Pre-arranging trades, </w:t>
      </w:r>
      <w:r>
        <w:rPr>
          <w:rFonts w:eastAsia="Arial" w:cs="Arial"/>
          <w:i/>
          <w:iCs/>
          <w:sz w:val="20"/>
          <w:szCs w:val="20"/>
        </w:rPr>
        <w:t>i.e.,</w:t>
      </w:r>
      <w:r>
        <w:rPr>
          <w:rFonts w:eastAsia="Arial" w:cs="Arial"/>
          <w:sz w:val="20"/>
          <w:szCs w:val="20"/>
        </w:rPr>
        <w:t xml:space="preserve"> secret, agreed-upon deals to create a false impression of market activity and/or manipulate prices by faking genuine interest and harming fair markets for others;</w:t>
      </w:r>
    </w:p>
    <w:p>
      <w:pPr>
        <w:numPr>
          <w:ilvl w:val="0"/>
          <w:numId w:val="382"/>
        </w:numPr>
        <w:ind w:left="720" w:hanging="192"/>
        <w:jc w:val="left"/>
        <w:rPr>
          <w:rFonts w:eastAsia="Arial" w:cs="Arial"/>
          <w:sz w:val="20"/>
          <w:szCs w:val="20"/>
        </w:rPr>
      </w:pPr>
      <w:r>
        <w:rPr>
          <w:rFonts w:eastAsia="Arial" w:cs="Arial"/>
          <w:sz w:val="20"/>
          <w:szCs w:val="20"/>
        </w:rPr>
        <w:t>"Marking the close" (also called "painting the tape" or "ramping") in which a Firm employee executes a series of large buy or sell orders just before the market closes to artificially influence a security's closing price;</w:t>
      </w:r>
    </w:p>
    <w:p>
      <w:pPr>
        <w:numPr>
          <w:ilvl w:val="0"/>
          <w:numId w:val="382"/>
        </w:numPr>
        <w:ind w:left="720" w:hanging="192"/>
        <w:jc w:val="left"/>
        <w:rPr>
          <w:rFonts w:eastAsia="Arial" w:cs="Arial"/>
          <w:sz w:val="20"/>
          <w:szCs w:val="20"/>
        </w:rPr>
      </w:pPr>
      <w:r>
        <w:rPr>
          <w:rFonts w:eastAsia="Arial" w:cs="Arial"/>
          <w:sz w:val="20"/>
          <w:szCs w:val="20"/>
        </w:rPr>
        <w:t>"Odd lot manipulation," which is the practice of a Firm employee exploiting how orders for fewer than 100 shares ("odd lots") are processed and reported in financial markets;</w:t>
      </w:r>
    </w:p>
    <w:p>
      <w:pPr>
        <w:numPr>
          <w:ilvl w:val="0"/>
          <w:numId w:val="382"/>
        </w:numPr>
        <w:ind w:left="720" w:hanging="192"/>
        <w:jc w:val="left"/>
        <w:rPr>
          <w:rFonts w:eastAsia="Arial" w:cs="Arial"/>
          <w:sz w:val="20"/>
          <w:szCs w:val="20"/>
        </w:rPr>
      </w:pPr>
      <w:r>
        <w:rPr>
          <w:rFonts w:eastAsia="Arial" w:cs="Arial"/>
          <w:sz w:val="20"/>
          <w:szCs w:val="20"/>
        </w:rPr>
        <w:t>Engaging in prohibited "interpositioning," a practice that occurs when an investment adviser or its personnel insert an unnecessary broker-dealer or affiliate between the client and the market to capture additional compensation; and</w:t>
      </w:r>
    </w:p>
    <w:p>
      <w:pPr>
        <w:numPr>
          <w:ilvl w:val="0"/>
          <w:numId w:val="382"/>
        </w:numPr>
        <w:spacing w:after="200"/>
        <w:ind w:left="720" w:hanging="192"/>
        <w:jc w:val="left"/>
        <w:rPr>
          <w:rFonts w:eastAsia="Arial" w:cs="Arial"/>
          <w:sz w:val="20"/>
          <w:szCs w:val="20"/>
        </w:rPr>
      </w:pPr>
      <w:r>
        <w:rPr>
          <w:rFonts w:eastAsia="Arial" w:cs="Arial"/>
          <w:sz w:val="20"/>
          <w:szCs w:val="20"/>
        </w:rPr>
        <w:t>Place a client order with a broker to effect a transaction as agent, rather than placing the order directly with a market maker.</w:t>
      </w:r>
    </w:p>
    <w:p>
      <w:bookmarkEnd w:id="388"/>
      <w:bookmarkStart w:id="389" w:name="Sec_Chp_061016102251640_0610161022520316"/>
    </w:p>
    <w:p>
      <w:pPr>
        <w:pStyle w:val="Heading5"/>
      </w:pPr>
      <w:r>
        <w:t>6.3.1.4.5 Wrap Fee Program Trading Away</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"Trading away" in a wrap fee program occurs when an investment adviser executes trades through a broker-dealer other than the program sponsor, causing the client to pay extra commissions or markups not covered by the program's annual fee. These potentially hidden costs can significantly increase investment expenses for a client. It should be noted that the investment adviser under such circumstances might be trading away to obtain better execution from a third-party broker as compared to the execution quality offered by the program's sponsor. The SEC has brought "trading away" enforcement actions including:</w:t>
            </w:r>
          </w:p>
          <w:p>
            <w:pPr>
              <w:numPr>
                <w:ilvl w:val="0"/>
                <w:numId w:val="383"/>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Raymond James Associates, Inc., Investment Advisers Act Rel. No. 4525 (September 8, 2016)</w:t>
            </w:r>
          </w:p>
          <w:p>
            <w:pPr>
              <w:numPr>
                <w:ilvl w:val="0"/>
                <w:numId w:val="38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Robert W. Baird &amp; Co. Incorporated, Investment Advisers Act Rel. No. 4526 (September 8, 2016)</w:t>
            </w:r>
          </w:p>
          <w:p>
            <w:pPr>
              <w:rPr>
                <w:rFonts w:eastAsia="Arial" w:cs="Arial"/>
                <w:b w:val="0"/>
                <w:bCs w:val="0"/>
                <w:i w:val="0"/>
                <w:iCs w:val="0"/>
                <w:smallCaps w:val="0"/>
                <w:color w:val="000000"/>
                <w:sz w:val="24"/>
              </w:rPr>
            </w:pP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When KCD sponsors a wrap fee program that utilizes sub-advisers, it will:</w:t>
      </w:r>
    </w:p>
    <w:p>
      <w:pPr>
        <w:numPr>
          <w:ilvl w:val="0"/>
          <w:numId w:val="384"/>
        </w:numPr>
        <w:spacing w:before="200"/>
        <w:ind w:left="720" w:hanging="192"/>
        <w:jc w:val="left"/>
        <w:rPr>
          <w:rFonts w:eastAsia="Arial" w:cs="Arial"/>
          <w:sz w:val="20"/>
          <w:szCs w:val="20"/>
        </w:rPr>
      </w:pPr>
      <w:r>
        <w:rPr>
          <w:rFonts w:eastAsia="Arial" w:cs="Arial"/>
          <w:sz w:val="20"/>
          <w:szCs w:val="20"/>
        </w:rPr>
        <w:t>Request information from each sub-adviser regarding whether it trades through KCD's affiliated broker-dealer or trades away to other broker-dealers;</w:t>
      </w:r>
    </w:p>
    <w:p>
      <w:pPr>
        <w:numPr>
          <w:ilvl w:val="0"/>
          <w:numId w:val="384"/>
        </w:numPr>
        <w:ind w:left="720" w:hanging="192"/>
        <w:jc w:val="left"/>
        <w:rPr>
          <w:rFonts w:eastAsia="Arial" w:cs="Arial"/>
          <w:sz w:val="20"/>
          <w:szCs w:val="20"/>
        </w:rPr>
      </w:pPr>
      <w:r>
        <w:rPr>
          <w:rFonts w:eastAsia="Arial" w:cs="Arial"/>
          <w:sz w:val="20"/>
          <w:szCs w:val="20"/>
        </w:rPr>
        <w:t>If a sub-adviser trades away, KCD will track how often the sub-adviser trades away and the costs to wrap account clients associated with the trading away;</w:t>
      </w:r>
    </w:p>
    <w:p>
      <w:pPr>
        <w:numPr>
          <w:ilvl w:val="0"/>
          <w:numId w:val="384"/>
        </w:numPr>
        <w:ind w:left="720" w:hanging="192"/>
        <w:jc w:val="left"/>
        <w:rPr>
          <w:rFonts w:eastAsia="Arial" w:cs="Arial"/>
          <w:sz w:val="20"/>
          <w:szCs w:val="20"/>
        </w:rPr>
      </w:pPr>
      <w:r>
        <w:rPr>
          <w:rFonts w:eastAsia="Arial" w:cs="Arial"/>
          <w:sz w:val="20"/>
          <w:szCs w:val="20"/>
        </w:rPr>
        <w:t>Disclose information about the sub-advisers' ability to trade away, frequency of trading away and costs associated with trading away in KCD's Wrap Fee Brochure and website; and</w:t>
      </w:r>
    </w:p>
    <w:p>
      <w:pPr>
        <w:numPr>
          <w:ilvl w:val="0"/>
          <w:numId w:val="384"/>
        </w:numPr>
        <w:spacing w:after="200"/>
        <w:ind w:left="720" w:hanging="192"/>
        <w:jc w:val="left"/>
        <w:rPr>
          <w:rFonts w:eastAsia="Arial" w:cs="Arial"/>
          <w:sz w:val="20"/>
          <w:szCs w:val="20"/>
        </w:rPr>
      </w:pPr>
      <w:r>
        <w:rPr>
          <w:rFonts w:eastAsia="Arial" w:cs="Arial"/>
          <w:sz w:val="20"/>
          <w:szCs w:val="20"/>
        </w:rPr>
        <w:t>Make available sufficient information to the financial advisers with wrap account clients so that such advisers are in a position to analyze whether the trading away that occurs by sub-advisers in KCD's wrap fee program results in the program still being suitable for their clients.</w:t>
      </w:r>
    </w:p>
    <w:p>
      <w:bookmarkEnd w:id="389"/>
      <w:bookmarkStart w:id="390" w:name="Sec_Chp_061016102251640_061016102252140"/>
    </w:p>
    <w:p>
      <w:pPr>
        <w:pStyle w:val="Heading3"/>
      </w:pPr>
      <w:bookmarkStart w:id="391" w:name="_Toc256000100"/>
      <w:r>
        <w:t>6.3.2 Trade Confirmations</w:t>
      </w:r>
      <w:bookmarkEnd w:id="391"/>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At or before the completion of a securities transaction for a client of KCD, a broker-dealer is required by law to provide the client with a written confirmation of the transaction. </w:t>
      </w:r>
    </w:p>
    <w:p>
      <w:pPr>
        <w:pStyle w:val="normal0"/>
        <w:spacing w:before="200" w:after="200"/>
        <w:rPr>
          <w:rFonts w:eastAsia="Arial" w:cs="Arial"/>
          <w:sz w:val="20"/>
          <w:szCs w:val="20"/>
        </w:rPr>
      </w:pPr>
      <w:r>
        <w:rPr>
          <w:rFonts w:eastAsia="Arial" w:cs="Arial"/>
          <w:sz w:val="20"/>
          <w:szCs w:val="20"/>
        </w:rPr>
        <w:t xml:space="preserve">The Registered Investment Advisor will require each approved broker-dealer to send KCD a duplicate copy of the confirmation. The Registered Investment Advisor will verify that each confirmation or a random selection of confirmations contains the following information: </w:t>
      </w:r>
    </w:p>
    <w:p>
      <w:pPr>
        <w:numPr>
          <w:ilvl w:val="0"/>
          <w:numId w:val="385"/>
        </w:numPr>
        <w:spacing w:before="200"/>
        <w:ind w:left="720" w:hanging="267"/>
        <w:jc w:val="left"/>
        <w:rPr>
          <w:rFonts w:eastAsia="Arial" w:cs="Arial"/>
          <w:sz w:val="20"/>
          <w:szCs w:val="20"/>
        </w:rPr>
      </w:pPr>
      <w:r>
        <w:rPr>
          <w:rFonts w:eastAsia="Arial" w:cs="Arial"/>
          <w:sz w:val="20"/>
          <w:szCs w:val="20"/>
        </w:rPr>
        <w:t xml:space="preserve">Client's name and account number; </w:t>
      </w:r>
    </w:p>
    <w:p>
      <w:pPr>
        <w:numPr>
          <w:ilvl w:val="0"/>
          <w:numId w:val="385"/>
        </w:numPr>
        <w:ind w:left="720" w:hanging="267"/>
        <w:jc w:val="left"/>
        <w:rPr>
          <w:rFonts w:eastAsia="Arial" w:cs="Arial"/>
          <w:sz w:val="20"/>
          <w:szCs w:val="20"/>
        </w:rPr>
      </w:pPr>
      <w:r>
        <w:rPr>
          <w:rFonts w:eastAsia="Arial" w:cs="Arial"/>
          <w:sz w:val="20"/>
          <w:szCs w:val="20"/>
        </w:rPr>
        <w:t xml:space="preserve">Broker-dealer's name; </w:t>
      </w:r>
    </w:p>
    <w:p>
      <w:pPr>
        <w:numPr>
          <w:ilvl w:val="0"/>
          <w:numId w:val="385"/>
        </w:numPr>
        <w:ind w:left="720" w:hanging="267"/>
        <w:jc w:val="left"/>
        <w:rPr>
          <w:rFonts w:eastAsia="Arial" w:cs="Arial"/>
          <w:sz w:val="20"/>
          <w:szCs w:val="20"/>
        </w:rPr>
      </w:pPr>
      <w:r>
        <w:rPr>
          <w:rFonts w:eastAsia="Arial" w:cs="Arial"/>
          <w:sz w:val="20"/>
          <w:szCs w:val="20"/>
        </w:rPr>
        <w:t xml:space="preserve">Date and time of the transaction; </w:t>
      </w:r>
    </w:p>
    <w:p>
      <w:pPr>
        <w:numPr>
          <w:ilvl w:val="0"/>
          <w:numId w:val="385"/>
        </w:numPr>
        <w:ind w:left="720" w:hanging="267"/>
        <w:jc w:val="left"/>
        <w:rPr>
          <w:rFonts w:eastAsia="Arial" w:cs="Arial"/>
          <w:sz w:val="20"/>
          <w:szCs w:val="20"/>
        </w:rPr>
      </w:pPr>
      <w:r>
        <w:rPr>
          <w:rFonts w:eastAsia="Arial" w:cs="Arial"/>
          <w:sz w:val="20"/>
          <w:szCs w:val="20"/>
        </w:rPr>
        <w:t xml:space="preserve">Issuer of the security; </w:t>
      </w:r>
    </w:p>
    <w:p>
      <w:pPr>
        <w:numPr>
          <w:ilvl w:val="0"/>
          <w:numId w:val="385"/>
        </w:numPr>
        <w:ind w:left="720" w:hanging="267"/>
        <w:jc w:val="left"/>
        <w:rPr>
          <w:rFonts w:eastAsia="Arial" w:cs="Arial"/>
          <w:sz w:val="20"/>
          <w:szCs w:val="20"/>
        </w:rPr>
      </w:pPr>
      <w:r>
        <w:rPr>
          <w:rFonts w:eastAsia="Arial" w:cs="Arial"/>
          <w:sz w:val="20"/>
          <w:szCs w:val="20"/>
        </w:rPr>
        <w:t xml:space="preserve">Price of the security purchased or sold; </w:t>
      </w:r>
    </w:p>
    <w:p>
      <w:pPr>
        <w:numPr>
          <w:ilvl w:val="0"/>
          <w:numId w:val="385"/>
        </w:numPr>
        <w:ind w:left="720" w:hanging="267"/>
        <w:jc w:val="left"/>
        <w:rPr>
          <w:rFonts w:eastAsia="Arial" w:cs="Arial"/>
          <w:sz w:val="20"/>
          <w:szCs w:val="20"/>
        </w:rPr>
      </w:pPr>
      <w:r>
        <w:rPr>
          <w:rFonts w:eastAsia="Arial" w:cs="Arial"/>
          <w:sz w:val="20"/>
          <w:szCs w:val="20"/>
        </w:rPr>
        <w:t xml:space="preserve">Statement as to whether the security was purchased or sold; </w:t>
      </w:r>
    </w:p>
    <w:p>
      <w:pPr>
        <w:numPr>
          <w:ilvl w:val="0"/>
          <w:numId w:val="385"/>
        </w:numPr>
        <w:ind w:left="720" w:hanging="267"/>
        <w:jc w:val="left"/>
        <w:rPr>
          <w:rFonts w:eastAsia="Arial" w:cs="Arial"/>
          <w:sz w:val="20"/>
          <w:szCs w:val="20"/>
        </w:rPr>
      </w:pPr>
      <w:r>
        <w:rPr>
          <w:rFonts w:eastAsia="Arial" w:cs="Arial"/>
          <w:sz w:val="20"/>
          <w:szCs w:val="20"/>
        </w:rPr>
        <w:t xml:space="preserve">Number of shares purchased or sold; </w:t>
      </w:r>
    </w:p>
    <w:p>
      <w:pPr>
        <w:numPr>
          <w:ilvl w:val="0"/>
          <w:numId w:val="385"/>
        </w:numPr>
        <w:ind w:left="720" w:hanging="267"/>
        <w:jc w:val="left"/>
        <w:rPr>
          <w:rFonts w:eastAsia="Arial" w:cs="Arial"/>
          <w:sz w:val="20"/>
          <w:szCs w:val="20"/>
        </w:rPr>
      </w:pPr>
      <w:r>
        <w:rPr>
          <w:rFonts w:eastAsia="Arial" w:cs="Arial"/>
          <w:sz w:val="20"/>
          <w:szCs w:val="20"/>
        </w:rPr>
        <w:t xml:space="preserve">Market on which the transaction took place; </w:t>
      </w:r>
    </w:p>
    <w:p>
      <w:pPr>
        <w:numPr>
          <w:ilvl w:val="0"/>
          <w:numId w:val="385"/>
        </w:numPr>
        <w:ind w:left="720" w:hanging="267"/>
        <w:jc w:val="left"/>
        <w:rPr>
          <w:rFonts w:eastAsia="Arial" w:cs="Arial"/>
          <w:sz w:val="20"/>
          <w:szCs w:val="20"/>
        </w:rPr>
      </w:pPr>
      <w:r>
        <w:rPr>
          <w:rFonts w:eastAsia="Arial" w:cs="Arial"/>
          <w:sz w:val="20"/>
          <w:szCs w:val="20"/>
        </w:rPr>
        <w:t xml:space="preserve">Broker-dealer's commission; </w:t>
      </w:r>
    </w:p>
    <w:p>
      <w:pPr>
        <w:numPr>
          <w:ilvl w:val="0"/>
          <w:numId w:val="385"/>
        </w:numPr>
        <w:ind w:left="720" w:hanging="378"/>
        <w:jc w:val="left"/>
        <w:rPr>
          <w:rFonts w:eastAsia="Arial" w:cs="Arial"/>
          <w:sz w:val="20"/>
          <w:szCs w:val="20"/>
        </w:rPr>
      </w:pPr>
      <w:r>
        <w:rPr>
          <w:rFonts w:eastAsia="Arial" w:cs="Arial"/>
          <w:sz w:val="20"/>
          <w:szCs w:val="20"/>
        </w:rPr>
        <w:t xml:space="preserve">Various expenses (e.g., interest, tax and registration fees); and </w:t>
      </w:r>
    </w:p>
    <w:p>
      <w:pPr>
        <w:numPr>
          <w:ilvl w:val="0"/>
          <w:numId w:val="385"/>
        </w:numPr>
        <w:spacing w:after="200"/>
        <w:ind w:left="720" w:hanging="378"/>
        <w:jc w:val="left"/>
        <w:rPr>
          <w:rFonts w:eastAsia="Arial" w:cs="Arial"/>
          <w:sz w:val="20"/>
          <w:szCs w:val="20"/>
        </w:rPr>
      </w:pPr>
      <w:r>
        <w:rPr>
          <w:rFonts w:eastAsia="Arial" w:cs="Arial"/>
          <w:sz w:val="20"/>
          <w:szCs w:val="20"/>
        </w:rPr>
        <w:t>Statement as to whether the broker-dealer acted as agent for the client, acted as agent for another party, or principal for its own account.</w:t>
      </w:r>
    </w:p>
    <w:p>
      <w:pPr>
        <w:pStyle w:val="normal0"/>
        <w:spacing w:before="200" w:after="200"/>
        <w:rPr>
          <w:rFonts w:eastAsia="Arial" w:cs="Arial"/>
          <w:sz w:val="20"/>
          <w:szCs w:val="20"/>
        </w:rPr>
      </w:pPr>
      <w:r>
        <w:rPr>
          <w:rFonts w:eastAsia="Arial" w:cs="Arial"/>
          <w:sz w:val="20"/>
          <w:szCs w:val="20"/>
        </w:rPr>
        <w:t xml:space="preserve">Transactions in money market securities and certain mutual fund investment plans are excluded from the confirmation requirement, provided the broker-dealer sends periodic account statements, containing descriptions of the client's transactions, to the client. KCD will periodically confirm that such Broker-Dealer's periodic account statements include required descriptions of client transactions. </w:t>
      </w:r>
    </w:p>
    <w:p>
      <w:bookmarkEnd w:id="390"/>
      <w:bookmarkStart w:id="392" w:name="Sec_Chp_061016102251640_061016102252156"/>
    </w:p>
    <w:p>
      <w:pPr>
        <w:pStyle w:val="Heading3"/>
      </w:pPr>
      <w:bookmarkStart w:id="393" w:name="_Toc256000101"/>
      <w:r>
        <w:t>6.3.3 Trade Review and Reconciliation</w:t>
      </w:r>
      <w:bookmarkEnd w:id="393"/>
    </w:p>
    <w:p/>
    <w:p>
      <w:pPr>
        <w:rPr>
          <w:rFonts w:eastAsia="Arial" w:cs="Arial"/>
          <w:sz w:val="16"/>
          <w:szCs w:val="16"/>
        </w:rPr>
      </w:pPr>
    </w:p>
    <w:p>
      <w:bookmarkEnd w:id="392"/>
      <w:bookmarkStart w:id="394" w:name="Sec_Chp_061016102251640_061016102252171"/>
    </w:p>
    <w:p>
      <w:pPr>
        <w:pStyle w:val="Heading4"/>
      </w:pPr>
      <w:r>
        <w:t>6.3.3.1 Daily Reconciliation Services provided through clearing firm</w:t>
      </w:r>
    </w:p>
    <w:p/>
    <w:p>
      <w:pPr>
        <w:rPr>
          <w:rFonts w:eastAsia="Arial" w:cs="Arial"/>
          <w:sz w:val="16"/>
          <w:szCs w:val="16"/>
        </w:rPr>
      </w:pPr>
    </w:p>
    <w:p>
      <w:pPr>
        <w:numPr>
          <w:ilvl w:val="0"/>
          <w:numId w:val="386"/>
        </w:numPr>
        <w:ind w:left="720" w:hanging="267"/>
        <w:jc w:val="left"/>
        <w:rPr>
          <w:rFonts w:eastAsia="Arial" w:cs="Arial"/>
          <w:sz w:val="20"/>
          <w:szCs w:val="20"/>
        </w:rPr>
      </w:pPr>
      <w:r>
        <w:rPr>
          <w:rFonts w:eastAsia="Arial" w:cs="Arial"/>
          <w:sz w:val="20"/>
          <w:szCs w:val="20"/>
        </w:rPr>
        <w:t xml:space="preserve">At the end of each business day, the Registered Investment Advisor will compare KCD's client account transaction information and client account transaction information transmitted to KCD from the broker-dealer or other financial institution that maintains KCD's client accounts ("Broker-Dealer"). </w:t>
      </w:r>
    </w:p>
    <w:p>
      <w:pPr>
        <w:numPr>
          <w:ilvl w:val="0"/>
          <w:numId w:val="386"/>
        </w:numPr>
        <w:ind w:left="720" w:hanging="267"/>
        <w:jc w:val="left"/>
        <w:rPr>
          <w:rFonts w:eastAsia="Arial" w:cs="Arial"/>
          <w:sz w:val="20"/>
          <w:szCs w:val="20"/>
        </w:rPr>
      </w:pPr>
      <w:r>
        <w:rPr>
          <w:rFonts w:eastAsia="Arial" w:cs="Arial"/>
          <w:sz w:val="20"/>
          <w:szCs w:val="20"/>
        </w:rPr>
        <w:t>The Registered Investment Advisor will match trade data between KCD client data and the Broker-Dealer client data at certain specified levels. (For example, the system might check to see if the information is identical, within $.05, or other variance levels).</w:t>
      </w:r>
    </w:p>
    <w:p>
      <w:pPr>
        <w:numPr>
          <w:ilvl w:val="0"/>
          <w:numId w:val="386"/>
        </w:numPr>
        <w:ind w:left="720" w:hanging="267"/>
        <w:jc w:val="left"/>
        <w:rPr>
          <w:rFonts w:eastAsia="Arial" w:cs="Arial"/>
          <w:sz w:val="20"/>
          <w:szCs w:val="20"/>
        </w:rPr>
      </w:pPr>
      <w:r>
        <w:rPr>
          <w:rFonts w:eastAsia="Arial" w:cs="Arial"/>
          <w:sz w:val="20"/>
          <w:szCs w:val="20"/>
        </w:rPr>
        <w:t>The Registered Investment Advisor will note all transactions that were not matches.</w:t>
      </w:r>
    </w:p>
    <w:p>
      <w:pPr>
        <w:numPr>
          <w:ilvl w:val="0"/>
          <w:numId w:val="386"/>
        </w:numPr>
        <w:ind w:left="720" w:hanging="267"/>
        <w:jc w:val="left"/>
        <w:rPr>
          <w:rFonts w:eastAsia="Arial" w:cs="Arial"/>
          <w:sz w:val="20"/>
          <w:szCs w:val="20"/>
        </w:rPr>
      </w:pPr>
      <w:r>
        <w:rPr>
          <w:rFonts w:eastAsia="Arial" w:cs="Arial"/>
          <w:sz w:val="20"/>
          <w:szCs w:val="20"/>
        </w:rPr>
        <w:t>After the review, the Registered Investment Advisor will prepare an account reconciliation report, noting the percentage of trades matched and describing the trades (if any) that were not matched.</w:t>
      </w:r>
    </w:p>
    <w:p>
      <w:pPr>
        <w:numPr>
          <w:ilvl w:val="0"/>
          <w:numId w:val="386"/>
        </w:numPr>
        <w:ind w:left="720" w:hanging="267"/>
        <w:jc w:val="left"/>
        <w:rPr>
          <w:rFonts w:eastAsia="Arial" w:cs="Arial"/>
          <w:sz w:val="20"/>
          <w:szCs w:val="20"/>
        </w:rPr>
      </w:pPr>
      <w:r>
        <w:rPr>
          <w:rFonts w:eastAsia="Arial" w:cs="Arial"/>
          <w:sz w:val="20"/>
          <w:szCs w:val="20"/>
        </w:rPr>
        <w:t>The Registered Investment Advisor will research all discrepancies and arrange for the input of the correct data if discrepancies are found.</w:t>
      </w:r>
    </w:p>
    <w:p>
      <w:pPr>
        <w:numPr>
          <w:ilvl w:val="0"/>
          <w:numId w:val="386"/>
        </w:numPr>
        <w:spacing w:after="200"/>
        <w:ind w:left="720" w:hanging="267"/>
        <w:jc w:val="left"/>
        <w:rPr>
          <w:rFonts w:eastAsia="Arial" w:cs="Arial"/>
          <w:sz w:val="20"/>
          <w:szCs w:val="20"/>
        </w:rPr>
      </w:pPr>
      <w:r>
        <w:rPr>
          <w:rFonts w:eastAsia="Arial" w:cs="Arial"/>
          <w:sz w:val="20"/>
          <w:szCs w:val="20"/>
        </w:rPr>
        <w:t xml:space="preserve">If discrepancies still exist, the Registered Investment Advisor will contact the senior management of KCD and initiate the discrepancy resolution process (described in Trade Errors below) with the Broker-Dealer and any other appropriate broker-dealer(s). </w:t>
      </w:r>
    </w:p>
    <w:p>
      <w:bookmarkEnd w:id="394"/>
      <w:bookmarkStart w:id="395" w:name="Sec_Chp_061016102251640_061016102252187"/>
    </w:p>
    <w:p>
      <w:pPr>
        <w:pStyle w:val="Heading4"/>
      </w:pPr>
      <w:r>
        <w:t>6.3.3.2 Account Statement Reconciliation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KCD receives account statements from the Broker-Dealer, the Registered Investment Advisor shall compare the information on all or a random number of the account statements with KCD's records of the trade to ensure the accuracy of the information. If discrepancies still exist, the Registered Investment Advisor will initiate the discrepancy resolution process (see Trade Errors below) with the Broker-Dealer and appropriate other broker-dealer(s).</w:t>
      </w:r>
    </w:p>
    <w:p>
      <w:bookmarkEnd w:id="395"/>
      <w:bookmarkStart w:id="396" w:name="Sec_Chp_061016102251640_061016102252203"/>
    </w:p>
    <w:p>
      <w:pPr>
        <w:pStyle w:val="Heading4"/>
      </w:pPr>
      <w:r>
        <w:t>6.3.3.3 Trade Review</w:t>
      </w:r>
    </w:p>
    <w:p/>
    <w:p>
      <w:pPr>
        <w:rPr>
          <w:rFonts w:eastAsia="Arial" w:cs="Arial"/>
          <w:sz w:val="16"/>
          <w:szCs w:val="16"/>
        </w:rPr>
      </w:pPr>
    </w:p>
    <w:p>
      <w:bookmarkEnd w:id="396"/>
      <w:bookmarkStart w:id="397" w:name="Sec_Chp_061016102251640_061016102252218"/>
    </w:p>
    <w:p>
      <w:pPr>
        <w:pStyle w:val="Heading5"/>
      </w:pPr>
      <w:r>
        <w:t>6.3.3.3.1 Review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At the conclusion of each business day, the Registered Investment Advisor or designees of the Registered Investment Advisor will review the following documents related to client trades: </w:t>
      </w:r>
    </w:p>
    <w:p>
      <w:pPr>
        <w:numPr>
          <w:ilvl w:val="0"/>
          <w:numId w:val="387"/>
        </w:numPr>
        <w:spacing w:before="200"/>
        <w:ind w:left="720" w:hanging="192"/>
        <w:jc w:val="left"/>
        <w:rPr>
          <w:rFonts w:eastAsia="Arial" w:cs="Arial"/>
          <w:sz w:val="20"/>
          <w:szCs w:val="20"/>
        </w:rPr>
      </w:pPr>
      <w:r>
        <w:rPr>
          <w:rFonts w:eastAsia="Arial" w:cs="Arial"/>
          <w:sz w:val="20"/>
          <w:szCs w:val="20"/>
        </w:rPr>
        <w:t xml:space="preserve">Daily blotters; </w:t>
      </w:r>
    </w:p>
    <w:p>
      <w:pPr>
        <w:numPr>
          <w:ilvl w:val="0"/>
          <w:numId w:val="387"/>
        </w:numPr>
        <w:ind w:left="720" w:hanging="192"/>
        <w:jc w:val="left"/>
        <w:rPr>
          <w:rFonts w:eastAsia="Arial" w:cs="Arial"/>
          <w:sz w:val="20"/>
          <w:szCs w:val="20"/>
        </w:rPr>
      </w:pPr>
      <w:r>
        <w:rPr>
          <w:rFonts w:eastAsia="Arial" w:cs="Arial"/>
          <w:sz w:val="20"/>
          <w:szCs w:val="20"/>
        </w:rPr>
        <w:t xml:space="preserve">Copies of confirmations if needed; and </w:t>
      </w:r>
    </w:p>
    <w:p>
      <w:pPr>
        <w:numPr>
          <w:ilvl w:val="0"/>
          <w:numId w:val="387"/>
        </w:numPr>
        <w:ind w:left="720" w:hanging="192"/>
        <w:jc w:val="left"/>
        <w:rPr>
          <w:rFonts w:eastAsia="Arial" w:cs="Arial"/>
          <w:sz w:val="20"/>
          <w:szCs w:val="20"/>
        </w:rPr>
      </w:pPr>
      <w:r>
        <w:rPr>
          <w:rFonts w:eastAsia="Arial" w:cs="Arial"/>
          <w:sz w:val="20"/>
          <w:szCs w:val="20"/>
        </w:rPr>
        <w:t>Electronic trade blotter</w:t>
      </w:r>
    </w:p>
    <w:p>
      <w:pPr>
        <w:numPr>
          <w:ilvl w:val="0"/>
          <w:numId w:val="387"/>
        </w:numPr>
        <w:spacing w:after="200"/>
        <w:ind w:left="720" w:hanging="192"/>
        <w:jc w:val="left"/>
        <w:rPr>
          <w:rFonts w:eastAsia="Arial" w:cs="Arial"/>
          <w:sz w:val="20"/>
          <w:szCs w:val="20"/>
        </w:rPr>
      </w:pPr>
      <w:r>
        <w:rPr>
          <w:rFonts w:eastAsia="Arial" w:cs="Arial"/>
          <w:sz w:val="20"/>
          <w:szCs w:val="20"/>
        </w:rPr>
        <w:t>Order ticket report.</w:t>
      </w:r>
    </w:p>
    <w:p>
      <w:pPr>
        <w:pStyle w:val="normal0"/>
        <w:spacing w:before="200" w:after="200"/>
        <w:rPr>
          <w:rFonts w:eastAsia="Arial" w:cs="Arial"/>
          <w:sz w:val="20"/>
          <w:szCs w:val="20"/>
        </w:rPr>
      </w:pPr>
      <w:r>
        <w:rPr>
          <w:rFonts w:eastAsia="Arial" w:cs="Arial"/>
          <w:sz w:val="20"/>
          <w:szCs w:val="20"/>
        </w:rPr>
        <w:t>The Registered Investment Advisor or designees of the Registered Investment Advisor will attempt to verify:</w:t>
      </w:r>
    </w:p>
    <w:p>
      <w:pPr>
        <w:numPr>
          <w:ilvl w:val="0"/>
          <w:numId w:val="388"/>
        </w:numPr>
        <w:spacing w:before="200"/>
        <w:ind w:left="720" w:hanging="192"/>
        <w:jc w:val="left"/>
        <w:rPr>
          <w:rFonts w:eastAsia="Arial" w:cs="Arial"/>
          <w:sz w:val="20"/>
          <w:szCs w:val="20"/>
        </w:rPr>
      </w:pPr>
      <w:r>
        <w:rPr>
          <w:rFonts w:eastAsia="Arial" w:cs="Arial"/>
          <w:sz w:val="20"/>
          <w:szCs w:val="20"/>
        </w:rPr>
        <w:t xml:space="preserve">Accurate and proper recordation; </w:t>
      </w:r>
    </w:p>
    <w:p>
      <w:pPr>
        <w:numPr>
          <w:ilvl w:val="0"/>
          <w:numId w:val="388"/>
        </w:numPr>
        <w:ind w:left="720" w:hanging="192"/>
        <w:jc w:val="left"/>
        <w:rPr>
          <w:rFonts w:eastAsia="Arial" w:cs="Arial"/>
          <w:sz w:val="20"/>
          <w:szCs w:val="20"/>
        </w:rPr>
      </w:pPr>
      <w:r>
        <w:rPr>
          <w:rFonts w:eastAsia="Arial" w:cs="Arial"/>
          <w:sz w:val="20"/>
          <w:szCs w:val="20"/>
        </w:rPr>
        <w:t xml:space="preserve">Suitability of investments for the client and consistency with the client's investment objectives; and </w:t>
      </w:r>
    </w:p>
    <w:p>
      <w:pPr>
        <w:numPr>
          <w:ilvl w:val="0"/>
          <w:numId w:val="388"/>
        </w:numPr>
        <w:spacing w:after="200"/>
        <w:ind w:left="720" w:hanging="192"/>
        <w:jc w:val="left"/>
        <w:rPr>
          <w:rFonts w:eastAsia="Arial" w:cs="Arial"/>
          <w:sz w:val="20"/>
          <w:szCs w:val="20"/>
        </w:rPr>
      </w:pPr>
      <w:r>
        <w:rPr>
          <w:rFonts w:eastAsia="Arial" w:cs="Arial"/>
          <w:sz w:val="20"/>
          <w:szCs w:val="20"/>
        </w:rPr>
        <w:t xml:space="preserve">The absence of any improper trading in the client's account. </w:t>
      </w:r>
    </w:p>
    <w:p>
      <w:bookmarkEnd w:id="397"/>
      <w:bookmarkStart w:id="398" w:name="Sec_Chp_061016102251640_061016102252234"/>
    </w:p>
    <w:p>
      <w:pPr>
        <w:pStyle w:val="Heading5"/>
      </w:pPr>
      <w:r>
        <w:t>6.3.3.3.2 Prohibited Activities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w:t>
      </w:r>
      <w:r>
        <w:rPr>
          <w:rFonts w:eastAsia="Arial" w:cs="Arial"/>
          <w:sz w:val="20"/>
          <w:szCs w:val="20"/>
        </w:rPr>
        <w:t>Compliance Officer</w:t>
      </w:r>
      <w:r>
        <w:rPr>
          <w:rFonts w:eastAsia="Arial" w:cs="Arial"/>
          <w:sz w:val="20"/>
          <w:szCs w:val="20"/>
        </w:rPr>
        <w:t xml:space="preserve"> or a designee will watch for: </w:t>
      </w:r>
    </w:p>
    <w:p>
      <w:pPr>
        <w:numPr>
          <w:ilvl w:val="0"/>
          <w:numId w:val="389"/>
        </w:numPr>
        <w:spacing w:before="200"/>
        <w:ind w:left="720" w:hanging="192"/>
        <w:jc w:val="left"/>
        <w:rPr>
          <w:rFonts w:eastAsia="Arial" w:cs="Arial"/>
          <w:sz w:val="20"/>
          <w:szCs w:val="20"/>
        </w:rPr>
      </w:pPr>
      <w:r>
        <w:rPr>
          <w:rFonts w:eastAsia="Arial" w:cs="Arial"/>
          <w:sz w:val="20"/>
          <w:szCs w:val="20"/>
        </w:rPr>
        <w:t xml:space="preserve">Establishment of a fictitious account to circumvent KCD 's policies and procedures; </w:t>
      </w:r>
    </w:p>
    <w:p>
      <w:pPr>
        <w:numPr>
          <w:ilvl w:val="0"/>
          <w:numId w:val="389"/>
        </w:numPr>
        <w:ind w:left="720" w:hanging="192"/>
        <w:jc w:val="left"/>
        <w:rPr>
          <w:rFonts w:eastAsia="Arial" w:cs="Arial"/>
          <w:sz w:val="20"/>
          <w:szCs w:val="20"/>
        </w:rPr>
      </w:pPr>
      <w:r>
        <w:rPr>
          <w:rFonts w:eastAsia="Arial" w:cs="Arial"/>
          <w:sz w:val="20"/>
          <w:szCs w:val="20"/>
        </w:rPr>
        <w:t xml:space="preserve">Discretionary trades for a client who has not given KCD discretionary authority; </w:t>
      </w:r>
    </w:p>
    <w:p>
      <w:pPr>
        <w:numPr>
          <w:ilvl w:val="0"/>
          <w:numId w:val="389"/>
        </w:numPr>
        <w:ind w:left="720" w:hanging="192"/>
        <w:jc w:val="left"/>
        <w:rPr>
          <w:rFonts w:eastAsia="Arial" w:cs="Arial"/>
          <w:sz w:val="20"/>
          <w:szCs w:val="20"/>
        </w:rPr>
      </w:pPr>
      <w:r>
        <w:rPr>
          <w:rFonts w:eastAsia="Arial" w:cs="Arial"/>
          <w:sz w:val="20"/>
          <w:szCs w:val="20"/>
        </w:rPr>
        <w:t xml:space="preserve">Unauthorized use of client's funds; </w:t>
      </w:r>
    </w:p>
    <w:p>
      <w:pPr>
        <w:numPr>
          <w:ilvl w:val="0"/>
          <w:numId w:val="389"/>
        </w:numPr>
        <w:ind w:left="720" w:hanging="192"/>
        <w:jc w:val="left"/>
        <w:rPr>
          <w:rFonts w:eastAsia="Arial" w:cs="Arial"/>
          <w:sz w:val="20"/>
          <w:szCs w:val="20"/>
        </w:rPr>
      </w:pPr>
      <w:r>
        <w:rPr>
          <w:rFonts w:eastAsia="Arial" w:cs="Arial"/>
          <w:sz w:val="20"/>
          <w:szCs w:val="20"/>
        </w:rPr>
        <w:t>Effecting securities transactions without proper licenses;</w:t>
      </w:r>
    </w:p>
    <w:p>
      <w:pPr>
        <w:numPr>
          <w:ilvl w:val="0"/>
          <w:numId w:val="389"/>
        </w:numPr>
        <w:ind w:left="720" w:hanging="192"/>
        <w:jc w:val="left"/>
        <w:rPr>
          <w:rFonts w:eastAsia="Arial" w:cs="Arial"/>
          <w:sz w:val="20"/>
          <w:szCs w:val="20"/>
        </w:rPr>
      </w:pPr>
      <w:r>
        <w:rPr>
          <w:rFonts w:eastAsia="Arial" w:cs="Arial"/>
          <w:sz w:val="20"/>
          <w:szCs w:val="20"/>
        </w:rPr>
        <w:t>Delaying a client trade for the purpose of increasing the profit in an employee trade; and</w:t>
      </w:r>
    </w:p>
    <w:p>
      <w:pPr>
        <w:numPr>
          <w:ilvl w:val="0"/>
          <w:numId w:val="389"/>
        </w:numPr>
        <w:spacing w:after="200"/>
        <w:ind w:left="720" w:hanging="192"/>
        <w:jc w:val="left"/>
        <w:rPr>
          <w:rFonts w:eastAsia="Arial" w:cs="Arial"/>
          <w:sz w:val="20"/>
          <w:szCs w:val="20"/>
        </w:rPr>
      </w:pPr>
      <w:r>
        <w:rPr>
          <w:rFonts w:eastAsia="Arial" w:cs="Arial"/>
          <w:sz w:val="20"/>
          <w:szCs w:val="20"/>
        </w:rPr>
        <w:t>Other unauthorized trading listed in this chapter.</w:t>
      </w:r>
    </w:p>
    <w:p>
      <w:bookmarkEnd w:id="398"/>
      <w:bookmarkStart w:id="399" w:name="Sec_Chp_061016102251640_061016102252250"/>
    </w:p>
    <w:p>
      <w:pPr>
        <w:pStyle w:val="Heading5"/>
      </w:pPr>
      <w:r>
        <w:t>6.3.3.3.3 Investment Objectives and Restrictions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Registered Investment Advisor will obtain information from each client setting forth each client's investment objectives, policies and restrictions. The Registered Investment Advisor will take steps to ensure that investments made for each client are consistent with this information. The Registered Investment Advisor will monitor compliance with client objectives, policies and restrictions. If a compliance issue is detected, the Registered Investment Advisor will bring the matter to the attention of senior officers of KCD and initiate steps to remedy the situation.</w:t>
      </w:r>
    </w:p>
    <w:p>
      <w:bookmarkEnd w:id="399"/>
      <w:bookmarkStart w:id="400" w:name="Sec_Chp_061016102251640_061016102252265"/>
    </w:p>
    <w:p>
      <w:pPr>
        <w:pStyle w:val="Heading3"/>
      </w:pPr>
      <w:bookmarkStart w:id="401" w:name="_Toc256000102"/>
      <w:r>
        <w:t>6.3.4 Trade Settlement</w:t>
      </w:r>
      <w:bookmarkEnd w:id="401"/>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 Brokerage Account transactions, KCD - as an introducing broker dealer - will rely on Clearing Firms to perform the following, confirmed by yhr Compliance Officer:</w:t>
      </w:r>
    </w:p>
    <w:p>
      <w:pPr>
        <w:pStyle w:val="normal0"/>
        <w:spacing w:before="200" w:after="200"/>
        <w:rPr>
          <w:rFonts w:eastAsia="Arial" w:cs="Arial"/>
          <w:sz w:val="20"/>
          <w:szCs w:val="20"/>
        </w:rPr>
      </w:pPr>
      <w:r>
        <w:rPr>
          <w:rFonts w:eastAsia="Arial" w:cs="Arial"/>
          <w:sz w:val="20"/>
          <w:szCs w:val="20"/>
        </w:rPr>
        <w:t>At the end of each day in which any trading on behalf of clients of KCD has taken place, the Compliance Officer will or will cause others to:</w:t>
      </w:r>
    </w:p>
    <w:p>
      <w:pPr>
        <w:numPr>
          <w:ilvl w:val="0"/>
          <w:numId w:val="390"/>
        </w:numPr>
        <w:spacing w:before="200"/>
        <w:ind w:left="720" w:hanging="267"/>
        <w:jc w:val="left"/>
        <w:rPr>
          <w:rFonts w:eastAsia="Arial" w:cs="Arial"/>
          <w:sz w:val="20"/>
          <w:szCs w:val="20"/>
        </w:rPr>
      </w:pPr>
      <w:r>
        <w:rPr>
          <w:rFonts w:eastAsia="Arial" w:cs="Arial"/>
          <w:sz w:val="20"/>
          <w:szCs w:val="20"/>
        </w:rPr>
        <w:t>Create a record of each confirmation including allocation of the trades indicated on the confirmation or otherwise KCD receives.</w:t>
      </w:r>
    </w:p>
    <w:p>
      <w:pPr>
        <w:numPr>
          <w:ilvl w:val="0"/>
          <w:numId w:val="390"/>
        </w:numPr>
        <w:ind w:left="720" w:hanging="267"/>
        <w:jc w:val="left"/>
        <w:rPr>
          <w:rFonts w:eastAsia="Arial" w:cs="Arial"/>
          <w:sz w:val="20"/>
          <w:szCs w:val="20"/>
        </w:rPr>
      </w:pPr>
      <w:r>
        <w:rPr>
          <w:rFonts w:eastAsia="Arial" w:cs="Arial"/>
          <w:sz w:val="20"/>
          <w:szCs w:val="20"/>
        </w:rPr>
        <w:t xml:space="preserve">Create a settlement authorization for each trade. </w:t>
      </w:r>
    </w:p>
    <w:p>
      <w:pPr>
        <w:numPr>
          <w:ilvl w:val="0"/>
          <w:numId w:val="390"/>
        </w:numPr>
        <w:ind w:left="720" w:hanging="267"/>
        <w:jc w:val="left"/>
        <w:rPr>
          <w:rFonts w:eastAsia="Arial" w:cs="Arial"/>
          <w:sz w:val="20"/>
          <w:szCs w:val="20"/>
        </w:rPr>
      </w:pPr>
      <w:r>
        <w:rPr>
          <w:rFonts w:eastAsia="Arial" w:cs="Arial"/>
          <w:sz w:val="20"/>
          <w:szCs w:val="20"/>
        </w:rPr>
        <w:t xml:space="preserve">Transmit each proposed settlement authorization to the Adviser Representatives generating the trade tickets, requesting that they review the proposed settlement authorizations. </w:t>
      </w:r>
    </w:p>
    <w:p>
      <w:pPr>
        <w:numPr>
          <w:ilvl w:val="0"/>
          <w:numId w:val="390"/>
        </w:numPr>
        <w:ind w:left="720" w:hanging="267"/>
        <w:jc w:val="left"/>
        <w:rPr>
          <w:rFonts w:eastAsia="Arial" w:cs="Arial"/>
          <w:sz w:val="20"/>
          <w:szCs w:val="20"/>
        </w:rPr>
      </w:pPr>
      <w:r>
        <w:rPr>
          <w:rFonts w:eastAsia="Arial" w:cs="Arial"/>
          <w:sz w:val="20"/>
          <w:szCs w:val="20"/>
        </w:rPr>
        <w:t xml:space="preserve">Match the proposed settlement authorizations with the corresponding trade tickets written for that day. Adviser Representatives, portfolio managers, the chief investment officer or anyone who created the trade ticket may not have access to this process. </w:t>
      </w:r>
    </w:p>
    <w:p>
      <w:pPr>
        <w:numPr>
          <w:ilvl w:val="0"/>
          <w:numId w:val="390"/>
        </w:numPr>
        <w:ind w:left="720" w:hanging="267"/>
        <w:jc w:val="left"/>
        <w:rPr>
          <w:rFonts w:eastAsia="Arial" w:cs="Arial"/>
          <w:sz w:val="20"/>
          <w:szCs w:val="20"/>
        </w:rPr>
      </w:pPr>
      <w:r>
        <w:rPr>
          <w:rFonts w:eastAsia="Arial" w:cs="Arial"/>
          <w:sz w:val="20"/>
          <w:szCs w:val="20"/>
        </w:rPr>
        <w:t xml:space="preserve">If a proposed settlement authorization does not match a trade ticket or there are any other discrepancies, the Compliance Officer shall investigate by following the Trade Error Procedures below. </w:t>
      </w:r>
    </w:p>
    <w:p>
      <w:pPr>
        <w:numPr>
          <w:ilvl w:val="0"/>
          <w:numId w:val="390"/>
        </w:numPr>
        <w:ind w:left="720" w:hanging="267"/>
        <w:jc w:val="left"/>
        <w:rPr>
          <w:rFonts w:eastAsia="Arial" w:cs="Arial"/>
          <w:sz w:val="20"/>
          <w:szCs w:val="20"/>
        </w:rPr>
      </w:pPr>
      <w:r>
        <w:rPr>
          <w:rFonts w:eastAsia="Arial" w:cs="Arial"/>
          <w:sz w:val="20"/>
          <w:szCs w:val="20"/>
        </w:rPr>
        <w:t xml:space="preserve">If all of the proposed settlement authorizations match with trade tickets, the Compliance Officer shall verify the details of each trade with the applicable broker-dealers, provide written or instructions by electronic or other means to the Broker-Dealer to settle the trades with the applicable broker-dealers, and record the transaction in KCD's trade capture accounting system. </w:t>
      </w:r>
    </w:p>
    <w:p>
      <w:pPr>
        <w:numPr>
          <w:ilvl w:val="0"/>
          <w:numId w:val="390"/>
        </w:numPr>
        <w:spacing w:after="200"/>
        <w:ind w:left="720" w:hanging="267"/>
        <w:jc w:val="left"/>
        <w:rPr>
          <w:rFonts w:eastAsia="Arial" w:cs="Arial"/>
          <w:sz w:val="20"/>
          <w:szCs w:val="20"/>
        </w:rPr>
      </w:pPr>
      <w:r>
        <w:rPr>
          <w:rFonts w:eastAsia="Arial" w:cs="Arial"/>
          <w:sz w:val="20"/>
          <w:szCs w:val="20"/>
        </w:rPr>
        <w:t>On the morning of the next business day following any day in which trading has taken place, the Compliance Officer will compare each trade and settlement authorization entered on KCD's trade capture accounting system on the previous day with the postings sent by the broker-dealers. The Compliance Officer will report any discrepancies, exceptions, or other issues to the broker-dealer.</w:t>
      </w:r>
    </w:p>
    <w:p>
      <w:bookmarkEnd w:id="400"/>
      <w:bookmarkStart w:id="402" w:name="Sec_Chp_061016102251640_061016102252281"/>
    </w:p>
    <w:p>
      <w:pPr>
        <w:pStyle w:val="Heading3"/>
      </w:pPr>
      <w:bookmarkStart w:id="403" w:name="_Toc256000103"/>
      <w:r>
        <w:t>6.3.5 Agency Trades</w:t>
      </w:r>
      <w:bookmarkEnd w:id="403"/>
      <w:r>
        <w:t xml:space="preserve"> </w:t>
      </w:r>
    </w:p>
    <w:p/>
    <w:p>
      <w:pPr>
        <w:rPr>
          <w:rFonts w:eastAsia="Arial" w:cs="Arial"/>
          <w:sz w:val="16"/>
          <w:szCs w:val="16"/>
        </w:rPr>
      </w:pPr>
      <w:r>
        <w:rPr>
          <w:rFonts w:eastAsia="Arial" w:cs="Arial"/>
          <w:sz w:val="16"/>
          <w:szCs w:val="16"/>
        </w:rPr>
        <w:t>[Investment Advisers Act of 1940 Section 206(3); Investment Advisers Act of 1940 Release No. 1732 (July 17 1998)]</w:t>
      </w:r>
    </w:p>
    <w:p/>
    <w:p>
      <w:pPr>
        <w:pStyle w:val="normal0"/>
        <w:spacing w:after="200"/>
        <w:rPr>
          <w:rFonts w:eastAsia="Arial" w:cs="Arial"/>
          <w:sz w:val="20"/>
          <w:szCs w:val="20"/>
        </w:rPr>
      </w:pPr>
      <w:r>
        <w:rPr>
          <w:rFonts w:eastAsia="Arial" w:cs="Arial"/>
          <w:sz w:val="20"/>
          <w:szCs w:val="20"/>
        </w:rPr>
        <w:t xml:space="preserve">An agency trade is a trade where KCD or an affiliate acts as a broker for its clients by placing a client trade in a market or with another person. KCD may effect agency trades for clients only if KCD is registered as a broker-dealer, unless KCD does not receive any compensation (except for advisory fees) in connection with such agency trades. </w:t>
      </w:r>
      <w:r>
        <w:rPr>
          <w:rFonts w:eastAsia="Arial" w:cs="Arial"/>
          <w:i/>
          <w:iCs/>
          <w:sz w:val="20"/>
          <w:szCs w:val="20"/>
        </w:rPr>
        <w:t>See Interpretation of Section 206(3) of the Investment Advisers Act of 1940, Investment Advisers Act Rel. No. 1732 (July 17, 1998).</w:t>
      </w:r>
    </w:p>
    <w:p>
      <w:bookmarkEnd w:id="402"/>
      <w:bookmarkStart w:id="404" w:name="Sec_Chp_061016102251640_061016102252296"/>
    </w:p>
    <w:p>
      <w:pPr>
        <w:pStyle w:val="Heading4"/>
      </w:pPr>
      <w:r>
        <w:t>6.3.5.1 Agency Trade Procedures (Where Adviser Acts as a Broker-Dealer)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or an affiliate shall act as a broker-dealer in an agency transaction made on behalf of a client only if: </w:t>
      </w:r>
    </w:p>
    <w:p>
      <w:pPr>
        <w:numPr>
          <w:ilvl w:val="0"/>
          <w:numId w:val="391"/>
        </w:numPr>
        <w:spacing w:before="200"/>
        <w:ind w:left="720" w:hanging="267"/>
        <w:jc w:val="left"/>
        <w:rPr>
          <w:rFonts w:eastAsia="Arial" w:cs="Arial"/>
          <w:sz w:val="20"/>
          <w:szCs w:val="20"/>
        </w:rPr>
      </w:pPr>
      <w:r>
        <w:rPr>
          <w:rFonts w:eastAsia="Arial" w:cs="Arial"/>
          <w:sz w:val="20"/>
          <w:szCs w:val="20"/>
        </w:rPr>
        <w:t>A senior officer of KCD has provided advanced written approval to the portfolio manager, trader or other employee of KCD to engage in agency trades for clients;</w:t>
      </w:r>
    </w:p>
    <w:p>
      <w:pPr>
        <w:numPr>
          <w:ilvl w:val="0"/>
          <w:numId w:val="391"/>
        </w:numPr>
        <w:ind w:left="720" w:hanging="267"/>
        <w:jc w:val="left"/>
        <w:rPr>
          <w:rFonts w:eastAsia="Arial" w:cs="Arial"/>
          <w:sz w:val="20"/>
          <w:szCs w:val="20"/>
        </w:rPr>
      </w:pPr>
      <w:r>
        <w:rPr>
          <w:rFonts w:eastAsia="Arial" w:cs="Arial"/>
          <w:sz w:val="20"/>
          <w:szCs w:val="20"/>
        </w:rPr>
        <w:t>The client sends a letter authorizing KCD's use of an affiliated broker-dealer;</w:t>
      </w:r>
    </w:p>
    <w:p>
      <w:pPr>
        <w:numPr>
          <w:ilvl w:val="0"/>
          <w:numId w:val="391"/>
        </w:numPr>
        <w:ind w:left="720" w:hanging="267"/>
        <w:jc w:val="left"/>
        <w:rPr>
          <w:rFonts w:eastAsia="Arial" w:cs="Arial"/>
          <w:sz w:val="20"/>
          <w:szCs w:val="20"/>
        </w:rPr>
      </w:pPr>
      <w:r>
        <w:rPr>
          <w:rFonts w:eastAsia="Arial" w:cs="Arial"/>
          <w:sz w:val="20"/>
          <w:szCs w:val="20"/>
        </w:rPr>
        <w:t xml:space="preserve">The transaction is in the best interest of the client; </w:t>
      </w:r>
    </w:p>
    <w:p>
      <w:pPr>
        <w:numPr>
          <w:ilvl w:val="0"/>
          <w:numId w:val="391"/>
        </w:numPr>
        <w:ind w:left="720" w:hanging="267"/>
        <w:jc w:val="left"/>
        <w:rPr>
          <w:rFonts w:eastAsia="Arial" w:cs="Arial"/>
          <w:sz w:val="20"/>
          <w:szCs w:val="20"/>
        </w:rPr>
      </w:pPr>
      <w:r>
        <w:rPr>
          <w:rFonts w:eastAsia="Arial" w:cs="Arial"/>
          <w:sz w:val="20"/>
          <w:szCs w:val="20"/>
        </w:rPr>
        <w:t xml:space="preserve">The practice of engaging in agency transactions is disclosed in KCD's Form ADV and the client's investment advisory contract; </w:t>
      </w:r>
    </w:p>
    <w:p>
      <w:pPr>
        <w:numPr>
          <w:ilvl w:val="0"/>
          <w:numId w:val="391"/>
        </w:numPr>
        <w:ind w:left="720" w:hanging="267"/>
        <w:jc w:val="left"/>
        <w:rPr>
          <w:rFonts w:eastAsia="Arial" w:cs="Arial"/>
          <w:sz w:val="20"/>
          <w:szCs w:val="20"/>
        </w:rPr>
      </w:pPr>
      <w:r>
        <w:rPr>
          <w:rFonts w:eastAsia="Arial" w:cs="Arial"/>
          <w:sz w:val="20"/>
          <w:szCs w:val="20"/>
        </w:rPr>
        <w:t xml:space="preserve">The nature and terms of each agency transaction is disclosed to the client in the manner described in these procedures; </w:t>
      </w:r>
    </w:p>
    <w:p>
      <w:pPr>
        <w:numPr>
          <w:ilvl w:val="0"/>
          <w:numId w:val="391"/>
        </w:numPr>
        <w:ind w:left="720" w:hanging="267"/>
        <w:jc w:val="left"/>
        <w:rPr>
          <w:rFonts w:eastAsia="Arial" w:cs="Arial"/>
          <w:sz w:val="20"/>
          <w:szCs w:val="20"/>
        </w:rPr>
      </w:pPr>
      <w:r>
        <w:rPr>
          <w:rFonts w:eastAsia="Arial" w:cs="Arial"/>
          <w:sz w:val="20"/>
          <w:szCs w:val="20"/>
        </w:rPr>
        <w:t>The client's trade receives best price and best execution as evidenced by KCD obtaining independent prices from third-party broker-dealers;</w:t>
      </w:r>
    </w:p>
    <w:p>
      <w:pPr>
        <w:numPr>
          <w:ilvl w:val="0"/>
          <w:numId w:val="391"/>
        </w:numPr>
        <w:ind w:left="720" w:hanging="267"/>
        <w:jc w:val="left"/>
        <w:rPr>
          <w:rFonts w:eastAsia="Arial" w:cs="Arial"/>
          <w:sz w:val="20"/>
          <w:szCs w:val="20"/>
        </w:rPr>
      </w:pPr>
      <w:r>
        <w:rPr>
          <w:rFonts w:eastAsia="Arial" w:cs="Arial"/>
          <w:sz w:val="20"/>
          <w:szCs w:val="20"/>
        </w:rPr>
        <w:t xml:space="preserve">Written consent is obtained from the client for each transaction prior to "completing the transaction," in the manner described below; </w:t>
      </w:r>
    </w:p>
    <w:p>
      <w:pPr>
        <w:numPr>
          <w:ilvl w:val="0"/>
          <w:numId w:val="391"/>
        </w:numPr>
        <w:ind w:left="720" w:hanging="267"/>
        <w:jc w:val="left"/>
        <w:rPr>
          <w:rFonts w:eastAsia="Arial" w:cs="Arial"/>
          <w:sz w:val="20"/>
          <w:szCs w:val="20"/>
        </w:rPr>
      </w:pPr>
      <w:r>
        <w:rPr>
          <w:rFonts w:eastAsia="Arial" w:cs="Arial"/>
          <w:sz w:val="20"/>
          <w:szCs w:val="20"/>
        </w:rPr>
        <w:t>The client accounts involved in these trades are not ERISA accounts (but if so, the trades will be made to applicable procedures in this compliance manual that address ERISA's prohibited transactions rule); and</w:t>
      </w:r>
    </w:p>
    <w:p>
      <w:pPr>
        <w:numPr>
          <w:ilvl w:val="0"/>
          <w:numId w:val="391"/>
        </w:numPr>
        <w:spacing w:after="200"/>
        <w:ind w:left="720" w:hanging="267"/>
        <w:jc w:val="left"/>
        <w:rPr>
          <w:rFonts w:eastAsia="Arial" w:cs="Arial"/>
          <w:sz w:val="20"/>
          <w:szCs w:val="20"/>
        </w:rPr>
      </w:pPr>
      <w:r>
        <w:rPr>
          <w:rFonts w:eastAsia="Arial" w:cs="Arial"/>
          <w:sz w:val="20"/>
          <w:szCs w:val="20"/>
        </w:rPr>
        <w:t>KCD or its affiliate is registered as a broker-dealer or exempt from having to register as such.</w:t>
      </w:r>
    </w:p>
    <w:p>
      <w:pPr>
        <w:pStyle w:val="normal0"/>
        <w:spacing w:before="200" w:after="200"/>
        <w:rPr>
          <w:rFonts w:eastAsia="Arial" w:cs="Arial"/>
          <w:sz w:val="20"/>
          <w:szCs w:val="20"/>
        </w:rPr>
      </w:pPr>
      <w:r>
        <w:rPr>
          <w:rFonts w:eastAsia="Arial" w:cs="Arial"/>
          <w:sz w:val="20"/>
          <w:szCs w:val="20"/>
        </w:rPr>
        <w:t>KCD shall not engage in an agency trade as a broker-dealer and for compensation if KCD (or an affiliate) advises both clients to make the trade.</w:t>
      </w:r>
    </w:p>
    <w:p>
      <w:bookmarkEnd w:id="404"/>
      <w:bookmarkStart w:id="405" w:name="Sec_Chp_061016102251640_061016102252312"/>
    </w:p>
    <w:p>
      <w:pPr>
        <w:pStyle w:val="Heading4"/>
      </w:pPr>
      <w:r>
        <w:t>6.3.5.2 Timing of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deems an agency securities transaction to be complete upon settlement of the trade -- not upon execution of the trade. Accordingly, KCD will obtain client consent </w:t>
      </w:r>
      <w:r>
        <w:rPr>
          <w:rFonts w:eastAsia="Arial" w:cs="Arial"/>
          <w:i/>
          <w:iCs/>
          <w:sz w:val="20"/>
          <w:szCs w:val="20"/>
        </w:rPr>
        <w:t>either</w:t>
      </w:r>
      <w:r>
        <w:rPr>
          <w:rFonts w:eastAsia="Arial" w:cs="Arial"/>
          <w:sz w:val="20"/>
          <w:szCs w:val="20"/>
        </w:rPr>
        <w:t>:</w:t>
      </w:r>
    </w:p>
    <w:p>
      <w:pPr>
        <w:numPr>
          <w:ilvl w:val="0"/>
          <w:numId w:val="392"/>
        </w:numPr>
        <w:spacing w:before="200"/>
        <w:ind w:left="720" w:hanging="192"/>
        <w:jc w:val="left"/>
        <w:rPr>
          <w:rFonts w:eastAsia="Arial" w:cs="Arial"/>
          <w:sz w:val="20"/>
          <w:szCs w:val="20"/>
        </w:rPr>
      </w:pPr>
      <w:r>
        <w:rPr>
          <w:rFonts w:eastAsia="Arial" w:cs="Arial"/>
          <w:sz w:val="20"/>
          <w:szCs w:val="20"/>
        </w:rPr>
        <w:t xml:space="preserve">Prior to the execution of the agency trade; or </w:t>
      </w:r>
    </w:p>
    <w:p>
      <w:pPr>
        <w:numPr>
          <w:ilvl w:val="0"/>
          <w:numId w:val="392"/>
        </w:numPr>
        <w:spacing w:after="200"/>
        <w:ind w:left="720" w:hanging="192"/>
        <w:jc w:val="left"/>
        <w:rPr>
          <w:rFonts w:eastAsia="Arial" w:cs="Arial"/>
          <w:sz w:val="20"/>
          <w:szCs w:val="20"/>
        </w:rPr>
      </w:pPr>
      <w:r>
        <w:rPr>
          <w:rFonts w:eastAsia="Arial" w:cs="Arial"/>
          <w:sz w:val="20"/>
          <w:szCs w:val="20"/>
        </w:rPr>
        <w:t xml:space="preserve">After the execution (but prior to the settlement) of the agency trade. </w:t>
      </w:r>
    </w:p>
    <w:p>
      <w:pPr>
        <w:pStyle w:val="normal0"/>
        <w:spacing w:before="200" w:after="200"/>
        <w:rPr>
          <w:rFonts w:eastAsia="Arial" w:cs="Arial"/>
          <w:sz w:val="20"/>
          <w:szCs w:val="20"/>
        </w:rPr>
      </w:pPr>
      <w:r>
        <w:rPr>
          <w:rFonts w:eastAsia="Arial" w:cs="Arial"/>
          <w:sz w:val="20"/>
          <w:szCs w:val="20"/>
        </w:rPr>
        <w:t>KCD may obtain consent after the execution of the trade, but before the settlement of the trade (i.e., when the actual exchange of the securities and payment occurs), if the following conditions are met:</w:t>
      </w:r>
    </w:p>
    <w:p>
      <w:pPr>
        <w:numPr>
          <w:ilvl w:val="0"/>
          <w:numId w:val="393"/>
        </w:numPr>
        <w:spacing w:before="200"/>
        <w:ind w:left="720" w:hanging="192"/>
        <w:jc w:val="left"/>
        <w:rPr>
          <w:rFonts w:eastAsia="Arial" w:cs="Arial"/>
          <w:sz w:val="20"/>
          <w:szCs w:val="20"/>
        </w:rPr>
      </w:pPr>
      <w:r>
        <w:rPr>
          <w:rFonts w:eastAsia="Arial" w:cs="Arial"/>
          <w:sz w:val="20"/>
          <w:szCs w:val="20"/>
        </w:rPr>
        <w:t xml:space="preserve">KCD transmits the current quoted price for a proposed transaction to the client; </w:t>
      </w:r>
    </w:p>
    <w:p>
      <w:pPr>
        <w:numPr>
          <w:ilvl w:val="0"/>
          <w:numId w:val="393"/>
        </w:numPr>
        <w:ind w:left="720" w:hanging="192"/>
        <w:jc w:val="left"/>
        <w:rPr>
          <w:rFonts w:eastAsia="Arial" w:cs="Arial"/>
          <w:sz w:val="20"/>
          <w:szCs w:val="20"/>
        </w:rPr>
      </w:pPr>
      <w:r>
        <w:rPr>
          <w:rFonts w:eastAsia="Arial" w:cs="Arial"/>
          <w:sz w:val="20"/>
          <w:szCs w:val="20"/>
        </w:rPr>
        <w:t xml:space="preserve">KCD discloses the proposed commission charges; and </w:t>
      </w:r>
    </w:p>
    <w:p>
      <w:pPr>
        <w:numPr>
          <w:ilvl w:val="0"/>
          <w:numId w:val="393"/>
        </w:numPr>
        <w:spacing w:after="200"/>
        <w:ind w:left="720" w:hanging="192"/>
        <w:jc w:val="left"/>
        <w:rPr>
          <w:rFonts w:eastAsia="Arial" w:cs="Arial"/>
          <w:sz w:val="20"/>
          <w:szCs w:val="20"/>
        </w:rPr>
      </w:pPr>
      <w:r>
        <w:rPr>
          <w:rFonts w:eastAsia="Arial" w:cs="Arial"/>
          <w:sz w:val="20"/>
          <w:szCs w:val="20"/>
        </w:rPr>
        <w:t xml:space="preserve">KCD informs the clients that they may opt out of the transaction. </w:t>
      </w:r>
    </w:p>
    <w:p>
      <w:bookmarkEnd w:id="405"/>
      <w:bookmarkStart w:id="406" w:name="Sec_Chp_061016102251640_061016102252328"/>
    </w:p>
    <w:p>
      <w:pPr>
        <w:pStyle w:val="Heading4"/>
      </w:pPr>
      <w:r>
        <w:t>6.3.5.3 Form of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draft the consent in a manner so that the client is informed about the nature of the agency trade. The consent will disclose facts necessary to alert the client to KCD's potential conflicts of interest in the agency transaction. The consent will not be drafted in a manner that gives the client no choice but to consent. </w:t>
      </w:r>
    </w:p>
    <w:p>
      <w:bookmarkEnd w:id="406"/>
      <w:bookmarkStart w:id="407" w:name="Sec_Chp_061016102251640_061016102252343"/>
    </w:p>
    <w:p>
      <w:pPr>
        <w:pStyle w:val="Heading4"/>
      </w:pPr>
      <w:r>
        <w:t>6.3.5.4 Method of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obtain a client's written consent in hard copy, by facsimile or by electronic means.</w:t>
      </w:r>
    </w:p>
    <w:p>
      <w:bookmarkEnd w:id="407"/>
      <w:bookmarkStart w:id="408" w:name="Sec_Chp_061016102251640_6355"/>
    </w:p>
    <w:p>
      <w:pPr>
        <w:pStyle w:val="Heading4"/>
      </w:pPr>
      <w:r>
        <w:t>6.3.5.5 Agency Trades Disclosure</w:t>
      </w:r>
    </w:p>
    <w:p/>
    <w:p>
      <w:pPr>
        <w:rPr>
          <w:rFonts w:eastAsia="Arial" w:cs="Arial"/>
          <w:sz w:val="16"/>
          <w:szCs w:val="16"/>
        </w:rPr>
      </w:pPr>
    </w:p>
    <w:p>
      <w:pPr>
        <w:spacing w:after="200"/>
        <w:rPr>
          <w:rFonts w:eastAsia="Arial" w:cs="Arial"/>
          <w:sz w:val="20"/>
          <w:szCs w:val="20"/>
        </w:rPr>
      </w:pPr>
      <w:r>
        <w:rPr>
          <w:rFonts w:eastAsia="Arial" w:cs="Arial"/>
          <w:sz w:val="20"/>
          <w:szCs w:val="20"/>
        </w:rPr>
        <w:t>KCD shall engage in agency trades only if the applicable clients receive the following disclosure in advance of the trade or around the time of the trade, as appropriate:</w:t>
      </w:r>
    </w:p>
    <w:p>
      <w:pPr>
        <w:numPr>
          <w:ilvl w:val="0"/>
          <w:numId w:val="394"/>
        </w:numPr>
        <w:spacing w:before="200"/>
        <w:ind w:left="720" w:hanging="267"/>
        <w:jc w:val="left"/>
        <w:rPr>
          <w:rFonts w:eastAsia="Arial" w:cs="Arial"/>
          <w:sz w:val="20"/>
          <w:szCs w:val="20"/>
        </w:rPr>
      </w:pPr>
      <w:r>
        <w:rPr>
          <w:rFonts w:eastAsia="Arial" w:cs="Arial"/>
          <w:sz w:val="20"/>
          <w:szCs w:val="20"/>
        </w:rPr>
        <w:t>the total amount of all commissions or other remuneration received or to be received by KCD or an affiliated person in connection with these transactions;</w:t>
      </w:r>
    </w:p>
    <w:p>
      <w:pPr>
        <w:numPr>
          <w:ilvl w:val="0"/>
          <w:numId w:val="394"/>
        </w:numPr>
        <w:ind w:left="720" w:hanging="267"/>
        <w:jc w:val="left"/>
        <w:rPr>
          <w:rFonts w:eastAsia="Arial" w:cs="Arial"/>
          <w:sz w:val="20"/>
          <w:szCs w:val="20"/>
        </w:rPr>
      </w:pPr>
      <w:r>
        <w:rPr>
          <w:rFonts w:eastAsia="Arial" w:cs="Arial"/>
          <w:sz w:val="20"/>
          <w:szCs w:val="20"/>
        </w:rPr>
        <w:t>the client's option to revoke his or her written blanket consent to execute agency trades without penalty and at any time by written notice to KCD;</w:t>
      </w:r>
    </w:p>
    <w:p>
      <w:pPr>
        <w:numPr>
          <w:ilvl w:val="0"/>
          <w:numId w:val="394"/>
        </w:numPr>
        <w:ind w:left="720" w:hanging="267"/>
        <w:jc w:val="left"/>
        <w:rPr>
          <w:rFonts w:eastAsia="Arial" w:cs="Arial"/>
          <w:sz w:val="20"/>
          <w:szCs w:val="20"/>
        </w:rPr>
      </w:pPr>
      <w:r>
        <w:rPr>
          <w:rFonts w:eastAsia="Arial" w:cs="Arial"/>
          <w:sz w:val="20"/>
          <w:szCs w:val="20"/>
        </w:rPr>
        <w:t>how KCD addressed the conflicts of interest raised by the agency trades;</w:t>
      </w:r>
    </w:p>
    <w:p>
      <w:pPr>
        <w:numPr>
          <w:ilvl w:val="0"/>
          <w:numId w:val="394"/>
        </w:numPr>
        <w:ind w:left="720" w:hanging="267"/>
        <w:jc w:val="left"/>
        <w:rPr>
          <w:rFonts w:eastAsia="Arial" w:cs="Arial"/>
          <w:sz w:val="20"/>
          <w:szCs w:val="20"/>
        </w:rPr>
      </w:pPr>
      <w:r>
        <w:rPr>
          <w:rFonts w:eastAsia="Arial" w:cs="Arial"/>
          <w:sz w:val="20"/>
          <w:szCs w:val="20"/>
        </w:rPr>
        <w:t>the circumstances under which KCD may engage in these transactions;</w:t>
      </w:r>
    </w:p>
    <w:p>
      <w:pPr>
        <w:numPr>
          <w:ilvl w:val="0"/>
          <w:numId w:val="394"/>
        </w:numPr>
        <w:ind w:left="720" w:hanging="267"/>
        <w:jc w:val="left"/>
        <w:rPr>
          <w:rFonts w:eastAsia="Arial" w:cs="Arial"/>
          <w:sz w:val="20"/>
          <w:szCs w:val="20"/>
        </w:rPr>
      </w:pPr>
      <w:r>
        <w:rPr>
          <w:rFonts w:eastAsia="Arial" w:cs="Arial"/>
          <w:sz w:val="20"/>
          <w:szCs w:val="20"/>
        </w:rPr>
        <w:t>any costs to the client in connection with the trade; and</w:t>
      </w:r>
    </w:p>
    <w:p>
      <w:pPr>
        <w:numPr>
          <w:ilvl w:val="0"/>
          <w:numId w:val="394"/>
        </w:numPr>
        <w:spacing w:after="200"/>
        <w:ind w:left="720" w:hanging="267"/>
        <w:jc w:val="left"/>
        <w:rPr>
          <w:rFonts w:eastAsia="Arial" w:cs="Arial"/>
          <w:sz w:val="20"/>
          <w:szCs w:val="20"/>
        </w:rPr>
      </w:pPr>
      <w:r>
        <w:rPr>
          <w:rFonts w:eastAsia="Arial" w:cs="Arial"/>
          <w:sz w:val="20"/>
          <w:szCs w:val="20"/>
        </w:rPr>
        <w:t>the total number of agency trades entered into during the period (since the date of the last client statement or summary).</w:t>
      </w:r>
    </w:p>
    <w:p>
      <w:bookmarkEnd w:id="408"/>
      <w:bookmarkStart w:id="409" w:name="Sec_Chp_061016102251640_6356"/>
    </w:p>
    <w:p>
      <w:pPr>
        <w:pStyle w:val="Heading4"/>
      </w:pPr>
      <w:r>
        <w:t>6.3.5.6 Agency Trades Testing</w:t>
      </w:r>
    </w:p>
    <w:p/>
    <w:p>
      <w:pPr>
        <w:rPr>
          <w:rFonts w:eastAsia="Arial" w:cs="Arial"/>
          <w:sz w:val="16"/>
          <w:szCs w:val="16"/>
        </w:rPr>
      </w:pPr>
    </w:p>
    <w:p>
      <w:pPr>
        <w:spacing w:after="200"/>
        <w:rPr>
          <w:rFonts w:eastAsia="Arial" w:cs="Arial"/>
          <w:sz w:val="20"/>
          <w:szCs w:val="20"/>
        </w:rPr>
      </w:pPr>
      <w:r>
        <w:rPr>
          <w:rFonts w:eastAsia="Arial" w:cs="Arial"/>
          <w:sz w:val="20"/>
          <w:szCs w:val="20"/>
        </w:rPr>
        <w:t>KCD shall periodically test compliance with its agency trade procedures. The CCO from time to time will:</w:t>
      </w:r>
    </w:p>
    <w:p>
      <w:pPr>
        <w:numPr>
          <w:ilvl w:val="0"/>
          <w:numId w:val="395"/>
        </w:numPr>
        <w:spacing w:before="200"/>
        <w:ind w:left="720" w:hanging="267"/>
        <w:jc w:val="left"/>
        <w:rPr>
          <w:rFonts w:eastAsia="Arial" w:cs="Arial"/>
          <w:sz w:val="20"/>
          <w:szCs w:val="20"/>
        </w:rPr>
      </w:pPr>
      <w:r>
        <w:rPr>
          <w:rFonts w:eastAsia="Arial" w:cs="Arial"/>
          <w:sz w:val="20"/>
          <w:szCs w:val="20"/>
        </w:rPr>
        <w:t>analyze KCD's books and records to identify undisclosed agency trades, undisclosed conflicts of interest and possible other issues;</w:t>
      </w:r>
    </w:p>
    <w:p>
      <w:pPr>
        <w:numPr>
          <w:ilvl w:val="0"/>
          <w:numId w:val="395"/>
        </w:numPr>
        <w:ind w:left="720" w:hanging="267"/>
        <w:jc w:val="left"/>
        <w:rPr>
          <w:rFonts w:eastAsia="Arial" w:cs="Arial"/>
          <w:sz w:val="20"/>
          <w:szCs w:val="20"/>
        </w:rPr>
      </w:pPr>
      <w:r>
        <w:rPr>
          <w:rFonts w:eastAsia="Arial" w:cs="Arial"/>
          <w:sz w:val="20"/>
          <w:szCs w:val="20"/>
        </w:rPr>
        <w:t>confirm there is documentation or information regarding the trade that among other things shows the determination that a fair and equitable price was used and best execution was achieved;</w:t>
      </w:r>
    </w:p>
    <w:p>
      <w:pPr>
        <w:numPr>
          <w:ilvl w:val="0"/>
          <w:numId w:val="395"/>
        </w:numPr>
        <w:ind w:left="720" w:hanging="267"/>
        <w:jc w:val="left"/>
        <w:rPr>
          <w:rFonts w:eastAsia="Arial" w:cs="Arial"/>
          <w:sz w:val="20"/>
          <w:szCs w:val="20"/>
        </w:rPr>
      </w:pPr>
      <w:r>
        <w:rPr>
          <w:rFonts w:eastAsia="Arial" w:cs="Arial"/>
          <w:sz w:val="20"/>
          <w:szCs w:val="20"/>
        </w:rPr>
        <w:t xml:space="preserve">ensure that full and fair disclosure regarding the agency trades was made to clients, and/or that KCD sought and obtained consent from clients; and </w:t>
      </w:r>
    </w:p>
    <w:p>
      <w:pPr>
        <w:numPr>
          <w:ilvl w:val="0"/>
          <w:numId w:val="395"/>
        </w:numPr>
        <w:spacing w:after="200"/>
        <w:ind w:left="720" w:hanging="267"/>
        <w:jc w:val="left"/>
        <w:rPr>
          <w:rFonts w:eastAsia="Arial" w:cs="Arial"/>
          <w:sz w:val="20"/>
          <w:szCs w:val="20"/>
        </w:rPr>
      </w:pPr>
      <w:r>
        <w:rPr>
          <w:rFonts w:eastAsia="Arial" w:cs="Arial"/>
          <w:sz w:val="20"/>
          <w:szCs w:val="20"/>
        </w:rPr>
        <w:t>check to see that no impermissible trades or trades involving prohibited accounts (</w:t>
      </w:r>
      <w:r>
        <w:rPr>
          <w:rFonts w:eastAsia="Arial" w:cs="Arial"/>
          <w:i/>
          <w:iCs/>
          <w:sz w:val="20"/>
          <w:szCs w:val="20"/>
        </w:rPr>
        <w:t>e.g.,</w:t>
      </w:r>
      <w:r>
        <w:rPr>
          <w:rFonts w:eastAsia="Arial" w:cs="Arial"/>
          <w:sz w:val="20"/>
          <w:szCs w:val="20"/>
        </w:rPr>
        <w:t xml:space="preserve"> ERISA accounts) occurred.</w:t>
      </w:r>
    </w:p>
    <w:p>
      <w:bookmarkEnd w:id="409"/>
      <w:bookmarkStart w:id="410" w:name="Sec_Chp_061016102251640_061016102252375"/>
    </w:p>
    <w:p>
      <w:pPr>
        <w:pStyle w:val="Heading4"/>
      </w:pPr>
      <w:r>
        <w:t>6.3.5.7 Wrap Fee Program for Agency Trades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For any agency trade of securities with a wrap fee client in which KCD acts in the capacity as a broker-dealer in connection with a wrap fee program, the above conditions do not apply to that arrangement, provided: </w:t>
      </w:r>
    </w:p>
    <w:p>
      <w:pPr>
        <w:numPr>
          <w:ilvl w:val="0"/>
          <w:numId w:val="396"/>
        </w:numPr>
        <w:spacing w:before="200"/>
        <w:ind w:left="720" w:hanging="192"/>
        <w:jc w:val="left"/>
        <w:rPr>
          <w:rFonts w:eastAsia="Arial" w:cs="Arial"/>
          <w:sz w:val="20"/>
          <w:szCs w:val="20"/>
        </w:rPr>
      </w:pPr>
      <w:r>
        <w:rPr>
          <w:rFonts w:eastAsia="Arial" w:cs="Arial"/>
          <w:sz w:val="20"/>
          <w:szCs w:val="20"/>
        </w:rPr>
        <w:t xml:space="preserve">the trade is directed to KCD by a portfolio manager with investment management authority over the wrap fee client's account; </w:t>
      </w:r>
    </w:p>
    <w:p>
      <w:pPr>
        <w:numPr>
          <w:ilvl w:val="0"/>
          <w:numId w:val="396"/>
        </w:numPr>
        <w:ind w:left="720" w:hanging="192"/>
        <w:jc w:val="left"/>
        <w:rPr>
          <w:rFonts w:eastAsia="Arial" w:cs="Arial"/>
          <w:sz w:val="20"/>
          <w:szCs w:val="20"/>
        </w:rPr>
      </w:pPr>
      <w:r>
        <w:rPr>
          <w:rFonts w:eastAsia="Arial" w:cs="Arial"/>
          <w:sz w:val="20"/>
          <w:szCs w:val="20"/>
        </w:rPr>
        <w:t xml:space="preserve">KCD does not recommend, select or play any role in that portfolio manager's selection of particular securities to be purchased for or sold on behalf of the wrap fee client; and </w:t>
      </w:r>
    </w:p>
    <w:p>
      <w:pPr>
        <w:numPr>
          <w:ilvl w:val="0"/>
          <w:numId w:val="396"/>
        </w:numPr>
        <w:spacing w:after="200"/>
        <w:ind w:left="720" w:hanging="192"/>
        <w:jc w:val="left"/>
        <w:rPr>
          <w:rFonts w:eastAsia="Arial" w:cs="Arial"/>
          <w:sz w:val="20"/>
          <w:szCs w:val="20"/>
        </w:rPr>
      </w:pPr>
      <w:r>
        <w:rPr>
          <w:rFonts w:eastAsia="Arial" w:cs="Arial"/>
          <w:sz w:val="20"/>
          <w:szCs w:val="20"/>
        </w:rPr>
        <w:t xml:space="preserve">KCD complies with the conditions set forth by the SEC in </w:t>
      </w:r>
      <w:r>
        <w:rPr>
          <w:rFonts w:eastAsia="Arial" w:cs="Arial"/>
          <w:i/>
          <w:iCs/>
          <w:sz w:val="20"/>
          <w:szCs w:val="20"/>
        </w:rPr>
        <w:t>Morgan Lewis &amp; Bockius, SEC No-Action Letter (pub. avail. Apr. 16, 1997)</w:t>
      </w:r>
      <w:r>
        <w:rPr>
          <w:rFonts w:eastAsia="Arial" w:cs="Arial"/>
          <w:sz w:val="20"/>
          <w:szCs w:val="20"/>
        </w:rPr>
        <w:t>.</w:t>
      </w:r>
    </w:p>
    <w:p>
      <w:pPr>
        <w:pStyle w:val="normal0"/>
        <w:spacing w:before="200" w:after="200"/>
        <w:rPr>
          <w:rFonts w:eastAsia="Arial" w:cs="Arial"/>
          <w:sz w:val="20"/>
          <w:szCs w:val="20"/>
        </w:rPr>
      </w:pPr>
      <w:r>
        <w:rPr>
          <w:rFonts w:eastAsia="Arial" w:cs="Arial"/>
          <w:sz w:val="20"/>
          <w:szCs w:val="20"/>
        </w:rPr>
        <w:t xml:space="preserve">If KCD indirectly participates in the selection of specific securities on behalf of such wrap fee program client because KCD provides certain services and products to a portfolio manager with investment management responsibility over the wrap fee client's account, the above conditions do not apply to that arrangement, provided that the services or products provided by KCD: </w:t>
      </w:r>
    </w:p>
    <w:p>
      <w:pPr>
        <w:numPr>
          <w:ilvl w:val="0"/>
          <w:numId w:val="397"/>
        </w:numPr>
        <w:spacing w:before="200"/>
        <w:ind w:left="720" w:hanging="192"/>
        <w:jc w:val="left"/>
        <w:rPr>
          <w:rFonts w:eastAsia="Arial" w:cs="Arial"/>
          <w:sz w:val="20"/>
          <w:szCs w:val="20"/>
        </w:rPr>
      </w:pPr>
      <w:r>
        <w:rPr>
          <w:rFonts w:eastAsia="Arial" w:cs="Arial"/>
          <w:sz w:val="20"/>
          <w:szCs w:val="20"/>
        </w:rPr>
        <w:t xml:space="preserve">are distributed in the ordinary course of KCD's business as a broker-dealer; </w:t>
      </w:r>
    </w:p>
    <w:p>
      <w:pPr>
        <w:numPr>
          <w:ilvl w:val="0"/>
          <w:numId w:val="397"/>
        </w:numPr>
        <w:ind w:left="720" w:hanging="192"/>
        <w:jc w:val="left"/>
        <w:rPr>
          <w:rFonts w:eastAsia="Arial" w:cs="Arial"/>
          <w:sz w:val="20"/>
          <w:szCs w:val="20"/>
        </w:rPr>
      </w:pPr>
      <w:r>
        <w:rPr>
          <w:rFonts w:eastAsia="Arial" w:cs="Arial"/>
          <w:sz w:val="20"/>
          <w:szCs w:val="20"/>
        </w:rPr>
        <w:t>are not directed primarily to the wrap fee program portfolio managers;</w:t>
      </w:r>
    </w:p>
    <w:p>
      <w:pPr>
        <w:numPr>
          <w:ilvl w:val="0"/>
          <w:numId w:val="397"/>
        </w:numPr>
        <w:ind w:left="720" w:hanging="192"/>
        <w:jc w:val="left"/>
        <w:rPr>
          <w:rFonts w:eastAsia="Arial" w:cs="Arial"/>
          <w:sz w:val="20"/>
          <w:szCs w:val="20"/>
        </w:rPr>
      </w:pPr>
      <w:r>
        <w:rPr>
          <w:rFonts w:eastAsia="Arial" w:cs="Arial"/>
          <w:sz w:val="20"/>
          <w:szCs w:val="20"/>
        </w:rPr>
        <w:t>do not give greater emphasis to recommendations, information or an opinion about securities held in KCD's inventory as compared to securities not held in such inventory; and</w:t>
      </w:r>
    </w:p>
    <w:p>
      <w:pPr>
        <w:numPr>
          <w:ilvl w:val="0"/>
          <w:numId w:val="397"/>
        </w:numPr>
        <w:spacing w:after="200"/>
        <w:ind w:left="720" w:hanging="192"/>
        <w:jc w:val="left"/>
        <w:rPr>
          <w:rFonts w:eastAsia="Arial" w:cs="Arial"/>
          <w:sz w:val="20"/>
          <w:szCs w:val="20"/>
        </w:rPr>
      </w:pPr>
      <w:r>
        <w:rPr>
          <w:rFonts w:eastAsia="Arial" w:cs="Arial"/>
          <w:sz w:val="20"/>
          <w:szCs w:val="20"/>
        </w:rPr>
        <w:t xml:space="preserve">KCD complies with the conditions set forth by the SEC in </w:t>
      </w:r>
      <w:r>
        <w:rPr>
          <w:rFonts w:eastAsia="Arial" w:cs="Arial"/>
          <w:i/>
          <w:iCs/>
          <w:sz w:val="20"/>
          <w:szCs w:val="20"/>
        </w:rPr>
        <w:t>Morgan Lewis &amp; Bockius, SEC No-Action Letter (pub. avail. Apr. 16, 1997)</w:t>
      </w:r>
      <w:r>
        <w:rPr>
          <w:rFonts w:eastAsia="Arial" w:cs="Arial"/>
          <w:sz w:val="20"/>
          <w:szCs w:val="20"/>
        </w:rPr>
        <w:t>.</w:t>
      </w:r>
    </w:p>
    <w:p>
      <w:bookmarkEnd w:id="410"/>
      <w:bookmarkStart w:id="411" w:name="Sec_Chp_061016102251640_061016102252390"/>
    </w:p>
    <w:p>
      <w:pPr>
        <w:pStyle w:val="Heading3"/>
      </w:pPr>
      <w:bookmarkStart w:id="412" w:name="_Toc256000104"/>
      <w:r>
        <w:t>6.3.6 Agency Cross Trades</w:t>
      </w:r>
      <w:bookmarkEnd w:id="412"/>
      <w:r>
        <w:t xml:space="preserve"> </w:t>
      </w:r>
    </w:p>
    <w:p/>
    <w:p>
      <w:pPr>
        <w:rPr>
          <w:rFonts w:eastAsia="Arial" w:cs="Arial"/>
          <w:sz w:val="16"/>
          <w:szCs w:val="16"/>
        </w:rPr>
      </w:pPr>
      <w:r>
        <w:rPr>
          <w:rFonts w:eastAsia="Arial" w:cs="Arial"/>
          <w:sz w:val="16"/>
          <w:szCs w:val="16"/>
        </w:rPr>
        <w:t>[Investment Advisers Act of 1940 Rule 206(3)-2]</w:t>
      </w:r>
    </w:p>
    <w:p/>
    <w:p>
      <w:pPr>
        <w:pStyle w:val="normal0"/>
        <w:spacing w:after="200"/>
        <w:rPr>
          <w:rFonts w:eastAsia="Arial" w:cs="Arial"/>
          <w:sz w:val="20"/>
          <w:szCs w:val="20"/>
        </w:rPr>
      </w:pPr>
      <w:r>
        <w:rPr>
          <w:rFonts w:eastAsia="Arial" w:cs="Arial"/>
          <w:sz w:val="20"/>
          <w:szCs w:val="20"/>
        </w:rPr>
        <w:t>Rule 206(3)-2 under the Investment Advisers Act of 1940 permits KCD to arrange for an agency cross trade. An agency cross trade (which is different from both an agency trade and a cross trade) is a securities transaction involving a firm both registered as an investment adviser and broker-dealer between an advisory client and a non-advisory client, where the advisory client buys from, or sells securities to, the non-advisory client, and the dually registered adviser/broker-dealer has discretion over only the advisory client's account and executes the trade on behalf of both clients in its capacity as a broker-dealer. The security therefore crosses from the advisory client account to the non-advisory client account. KCD in the capacity of a broker-dealer may effect such purchase and sale transactions between two clients for a commission, provided the conditions set forth herein are met.</w:t>
      </w:r>
    </w:p>
    <w:p>
      <w:bookmarkEnd w:id="411"/>
      <w:bookmarkStart w:id="413" w:name="Sec_Chp_061016102251640_061016102252406"/>
    </w:p>
    <w:p>
      <w:pPr>
        <w:pStyle w:val="Heading4"/>
      </w:pPr>
      <w:r>
        <w:t>6.3.6.1 Agency Cross Trade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engage in agency cross transactions only if: </w:t>
      </w:r>
    </w:p>
    <w:p>
      <w:pPr>
        <w:numPr>
          <w:ilvl w:val="0"/>
          <w:numId w:val="398"/>
        </w:numPr>
        <w:spacing w:before="200"/>
        <w:ind w:left="720" w:hanging="267"/>
        <w:jc w:val="left"/>
        <w:rPr>
          <w:rFonts w:eastAsia="Arial" w:cs="Arial"/>
          <w:sz w:val="20"/>
          <w:szCs w:val="20"/>
        </w:rPr>
      </w:pPr>
      <w:r>
        <w:rPr>
          <w:rFonts w:eastAsia="Arial" w:cs="Arial"/>
          <w:sz w:val="20"/>
          <w:szCs w:val="20"/>
        </w:rPr>
        <w:t>A senior officer of KCD has provided advanced written approval to the portfolio manager, trader or other employee of KCD to engage in agency cross trades for clients;</w:t>
      </w:r>
    </w:p>
    <w:p>
      <w:pPr>
        <w:numPr>
          <w:ilvl w:val="0"/>
          <w:numId w:val="398"/>
        </w:numPr>
        <w:ind w:left="720" w:hanging="267"/>
        <w:jc w:val="left"/>
        <w:rPr>
          <w:rFonts w:eastAsia="Arial" w:cs="Arial"/>
          <w:sz w:val="20"/>
          <w:szCs w:val="20"/>
        </w:rPr>
      </w:pPr>
      <w:r>
        <w:rPr>
          <w:rFonts w:eastAsia="Arial" w:cs="Arial"/>
          <w:sz w:val="20"/>
          <w:szCs w:val="20"/>
        </w:rPr>
        <w:t>The client sends a letter authorizing KCD to engage in agency cross trades with the client;</w:t>
      </w:r>
    </w:p>
    <w:p>
      <w:pPr>
        <w:numPr>
          <w:ilvl w:val="0"/>
          <w:numId w:val="398"/>
        </w:numPr>
        <w:ind w:left="720" w:hanging="267"/>
        <w:jc w:val="left"/>
        <w:rPr>
          <w:rFonts w:eastAsia="Arial" w:cs="Arial"/>
          <w:sz w:val="20"/>
          <w:szCs w:val="20"/>
        </w:rPr>
      </w:pPr>
      <w:r>
        <w:rPr>
          <w:rFonts w:eastAsia="Arial" w:cs="Arial"/>
          <w:sz w:val="20"/>
          <w:szCs w:val="20"/>
        </w:rPr>
        <w:t xml:space="preserve">The transaction is in the best interest of the client; </w:t>
      </w:r>
    </w:p>
    <w:p>
      <w:pPr>
        <w:numPr>
          <w:ilvl w:val="0"/>
          <w:numId w:val="398"/>
        </w:numPr>
        <w:ind w:left="720" w:hanging="267"/>
        <w:jc w:val="left"/>
        <w:rPr>
          <w:rFonts w:eastAsia="Arial" w:cs="Arial"/>
          <w:sz w:val="20"/>
          <w:szCs w:val="20"/>
        </w:rPr>
      </w:pPr>
      <w:r>
        <w:rPr>
          <w:rFonts w:eastAsia="Arial" w:cs="Arial"/>
          <w:sz w:val="20"/>
          <w:szCs w:val="20"/>
        </w:rPr>
        <w:t xml:space="preserve">The practice of engaging in agency cross trades is disclosed in KCD's Form ADV and the client's investment advisory contract; </w:t>
      </w:r>
    </w:p>
    <w:p>
      <w:pPr>
        <w:numPr>
          <w:ilvl w:val="0"/>
          <w:numId w:val="398"/>
        </w:numPr>
        <w:ind w:left="720" w:hanging="267"/>
        <w:jc w:val="left"/>
        <w:rPr>
          <w:rFonts w:eastAsia="Arial" w:cs="Arial"/>
          <w:sz w:val="20"/>
          <w:szCs w:val="20"/>
        </w:rPr>
      </w:pPr>
      <w:r>
        <w:rPr>
          <w:rFonts w:eastAsia="Arial" w:cs="Arial"/>
          <w:sz w:val="20"/>
          <w:szCs w:val="20"/>
        </w:rPr>
        <w:t>The nature and terms of each agency cross trade is disclosed to the client in the manner required by these procedures;</w:t>
      </w:r>
    </w:p>
    <w:p>
      <w:pPr>
        <w:numPr>
          <w:ilvl w:val="0"/>
          <w:numId w:val="398"/>
        </w:numPr>
        <w:ind w:left="720" w:hanging="267"/>
        <w:jc w:val="left"/>
        <w:rPr>
          <w:rFonts w:eastAsia="Arial" w:cs="Arial"/>
          <w:sz w:val="20"/>
          <w:szCs w:val="20"/>
        </w:rPr>
      </w:pPr>
      <w:r>
        <w:rPr>
          <w:rFonts w:eastAsia="Arial" w:cs="Arial"/>
          <w:sz w:val="20"/>
          <w:szCs w:val="20"/>
        </w:rPr>
        <w:t>The securities must only be purchased by or sold to another client when there is a need and securities meet each participating client's investment objectives; and</w:t>
      </w:r>
    </w:p>
    <w:p>
      <w:pPr>
        <w:numPr>
          <w:ilvl w:val="0"/>
          <w:numId w:val="398"/>
        </w:numPr>
        <w:spacing w:after="200"/>
        <w:ind w:left="720" w:hanging="267"/>
        <w:jc w:val="left"/>
        <w:rPr>
          <w:rFonts w:eastAsia="Arial" w:cs="Arial"/>
          <w:sz w:val="20"/>
          <w:szCs w:val="20"/>
        </w:rPr>
      </w:pPr>
      <w:r>
        <w:rPr>
          <w:rFonts w:eastAsia="Arial" w:cs="Arial"/>
          <w:sz w:val="20"/>
          <w:szCs w:val="20"/>
        </w:rPr>
        <w:t xml:space="preserve">The client accounts involved in these trades are not ERISA accounts (but if so, the trades will be made to applicable procedures in this compliance manual that address ERISA's prohibited transactions rule). </w:t>
      </w:r>
    </w:p>
    <w:p>
      <w:bookmarkEnd w:id="413"/>
      <w:bookmarkStart w:id="414" w:name="Sec_Chp_061016102251640_061016102252421"/>
    </w:p>
    <w:p>
      <w:pPr>
        <w:pStyle w:val="Heading4"/>
      </w:pPr>
      <w:r>
        <w:t>6.3.6.2 Price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agency cross trade shall be effected at the independent current market price of the security. Such market price shall be one of the following:</w:t>
      </w:r>
    </w:p>
    <w:p>
      <w:pPr>
        <w:numPr>
          <w:ilvl w:val="0"/>
          <w:numId w:val="399"/>
        </w:numPr>
        <w:spacing w:before="200"/>
        <w:ind w:left="720" w:hanging="192"/>
        <w:jc w:val="left"/>
        <w:rPr>
          <w:rFonts w:eastAsia="Arial" w:cs="Arial"/>
          <w:sz w:val="20"/>
          <w:szCs w:val="20"/>
        </w:rPr>
      </w:pPr>
      <w:r>
        <w:rPr>
          <w:rFonts w:eastAsia="Arial" w:cs="Arial"/>
          <w:b/>
          <w:bCs/>
          <w:sz w:val="20"/>
          <w:szCs w:val="20"/>
        </w:rPr>
        <w:t>Reported Security:</w:t>
      </w:r>
      <w:r>
        <w:rPr>
          <w:rFonts w:eastAsia="Arial" w:cs="Arial"/>
          <w:sz w:val="20"/>
          <w:szCs w:val="20"/>
        </w:rPr>
        <w:t xml:space="preserve"> the last sale price with respect to such security reported in the consolidated transaction reporting system or the average of the highest current independent bid and lowest current independent offer for such security if there are no reported transactions in the consolidated transaction reporting system that day; </w:t>
      </w:r>
    </w:p>
    <w:p>
      <w:pPr>
        <w:numPr>
          <w:ilvl w:val="0"/>
          <w:numId w:val="399"/>
        </w:numPr>
        <w:ind w:left="720" w:hanging="192"/>
        <w:jc w:val="left"/>
        <w:rPr>
          <w:rFonts w:eastAsia="Arial" w:cs="Arial"/>
          <w:sz w:val="20"/>
          <w:szCs w:val="20"/>
        </w:rPr>
      </w:pPr>
      <w:r>
        <w:rPr>
          <w:rFonts w:eastAsia="Arial" w:cs="Arial"/>
          <w:b/>
          <w:bCs/>
          <w:sz w:val="20"/>
          <w:szCs w:val="20"/>
        </w:rPr>
        <w:t>Non-Reported Exchange Traded Security:</w:t>
      </w:r>
      <w:r>
        <w:rPr>
          <w:rFonts w:eastAsia="Arial" w:cs="Arial"/>
          <w:sz w:val="20"/>
          <w:szCs w:val="20"/>
        </w:rPr>
        <w:t xml:space="preserve"> the last sale price on the principal exchange for which such security trades or the average of the highest current independent bid and lowest current independent offer for such security if there are no reported independent transactions on such exchange that day; </w:t>
      </w:r>
    </w:p>
    <w:p>
      <w:pPr>
        <w:numPr>
          <w:ilvl w:val="0"/>
          <w:numId w:val="399"/>
        </w:numPr>
        <w:ind w:left="720" w:hanging="192"/>
        <w:jc w:val="left"/>
        <w:rPr>
          <w:rFonts w:eastAsia="Arial" w:cs="Arial"/>
          <w:sz w:val="20"/>
          <w:szCs w:val="20"/>
        </w:rPr>
      </w:pPr>
      <w:r>
        <w:rPr>
          <w:rFonts w:eastAsia="Arial" w:cs="Arial"/>
          <w:b/>
          <w:bCs/>
          <w:sz w:val="20"/>
          <w:szCs w:val="20"/>
        </w:rPr>
        <w:t>Non-Reported NASDAQ Quoted Security:</w:t>
      </w:r>
      <w:r>
        <w:rPr>
          <w:rFonts w:eastAsia="Arial" w:cs="Arial"/>
          <w:sz w:val="20"/>
          <w:szCs w:val="20"/>
        </w:rPr>
        <w:t xml:space="preserve"> the average of the highest current independent bid and lowest current independent offer reported on Level 1 of NASDAQ; and</w:t>
      </w:r>
    </w:p>
    <w:p>
      <w:pPr>
        <w:numPr>
          <w:ilvl w:val="0"/>
          <w:numId w:val="399"/>
        </w:numPr>
        <w:spacing w:after="200"/>
        <w:ind w:left="720" w:hanging="192"/>
        <w:jc w:val="left"/>
        <w:rPr>
          <w:rFonts w:eastAsia="Arial" w:cs="Arial"/>
          <w:sz w:val="20"/>
          <w:szCs w:val="20"/>
        </w:rPr>
      </w:pPr>
      <w:r>
        <w:rPr>
          <w:rFonts w:eastAsia="Arial" w:cs="Arial"/>
          <w:b/>
          <w:bCs/>
          <w:sz w:val="20"/>
          <w:szCs w:val="20"/>
        </w:rPr>
        <w:t>Other Securities:</w:t>
      </w:r>
      <w:r>
        <w:rPr>
          <w:rFonts w:eastAsia="Arial" w:cs="Arial"/>
          <w:sz w:val="20"/>
          <w:szCs w:val="20"/>
        </w:rPr>
        <w:t xml:space="preserve"> the average of the highest current independent bid and lowest current independent offer determined on the basis of reasonable inquiry.</w:t>
      </w:r>
    </w:p>
    <w:p>
      <w:bookmarkEnd w:id="414"/>
      <w:bookmarkStart w:id="415" w:name="Sec_Chp_061016102251640_061016102252437"/>
    </w:p>
    <w:p>
      <w:pPr>
        <w:pStyle w:val="Heading4"/>
      </w:pPr>
      <w:r>
        <w:t>6.3.6.3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executing an agency cross trade, KCD will obtain each client's consent. A given client may participate in an agency cross trade, provided he or she has executed a written consent prospectively authorizing KCD to effect agency cross trades for his or her account.</w:t>
      </w:r>
    </w:p>
    <w:p>
      <w:bookmarkEnd w:id="415"/>
      <w:bookmarkStart w:id="416" w:name="Sec_Chp_061016102251640_061016102252453"/>
    </w:p>
    <w:p>
      <w:pPr>
        <w:pStyle w:val="Heading4"/>
      </w:pPr>
      <w:r>
        <w:t>6.3.6.4 Confirmations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send, or cause to be sent, to the advisory client participating in the agency cross trade a written confirmation at or before the completion of each trade containing:</w:t>
      </w:r>
    </w:p>
    <w:p>
      <w:pPr>
        <w:numPr>
          <w:ilvl w:val="0"/>
          <w:numId w:val="400"/>
        </w:numPr>
        <w:spacing w:before="200"/>
        <w:ind w:left="720" w:hanging="192"/>
        <w:jc w:val="left"/>
        <w:rPr>
          <w:rFonts w:eastAsia="Arial" w:cs="Arial"/>
          <w:sz w:val="20"/>
          <w:szCs w:val="20"/>
        </w:rPr>
      </w:pPr>
      <w:r>
        <w:rPr>
          <w:rFonts w:eastAsia="Arial" w:cs="Arial"/>
          <w:sz w:val="20"/>
          <w:szCs w:val="20"/>
        </w:rPr>
        <w:t xml:space="preserve">A statement of the nature of such trade; </w:t>
      </w:r>
    </w:p>
    <w:p>
      <w:pPr>
        <w:numPr>
          <w:ilvl w:val="0"/>
          <w:numId w:val="400"/>
        </w:numPr>
        <w:ind w:left="720" w:hanging="192"/>
        <w:jc w:val="left"/>
        <w:rPr>
          <w:rFonts w:eastAsia="Arial" w:cs="Arial"/>
          <w:sz w:val="20"/>
          <w:szCs w:val="20"/>
        </w:rPr>
      </w:pPr>
      <w:r>
        <w:rPr>
          <w:rFonts w:eastAsia="Arial" w:cs="Arial"/>
          <w:sz w:val="20"/>
          <w:szCs w:val="20"/>
        </w:rPr>
        <w:t xml:space="preserve">The date such trade took place; </w:t>
      </w:r>
    </w:p>
    <w:p>
      <w:pPr>
        <w:numPr>
          <w:ilvl w:val="0"/>
          <w:numId w:val="400"/>
        </w:numPr>
        <w:ind w:left="720" w:hanging="192"/>
        <w:jc w:val="left"/>
        <w:rPr>
          <w:rFonts w:eastAsia="Arial" w:cs="Arial"/>
          <w:sz w:val="20"/>
          <w:szCs w:val="20"/>
        </w:rPr>
      </w:pPr>
      <w:r>
        <w:rPr>
          <w:rFonts w:eastAsia="Arial" w:cs="Arial"/>
          <w:sz w:val="20"/>
          <w:szCs w:val="20"/>
        </w:rPr>
        <w:t>An offer to furnish, upon request, the time when such trade took place;</w:t>
      </w:r>
    </w:p>
    <w:p>
      <w:pPr>
        <w:numPr>
          <w:ilvl w:val="0"/>
          <w:numId w:val="400"/>
        </w:numPr>
        <w:ind w:left="720" w:hanging="192"/>
        <w:jc w:val="left"/>
        <w:rPr>
          <w:rFonts w:eastAsia="Arial" w:cs="Arial"/>
          <w:sz w:val="20"/>
          <w:szCs w:val="20"/>
        </w:rPr>
      </w:pPr>
      <w:r>
        <w:rPr>
          <w:rFonts w:eastAsia="Arial" w:cs="Arial"/>
          <w:sz w:val="20"/>
          <w:szCs w:val="20"/>
        </w:rPr>
        <w:t xml:space="preserve">The source and amount of any compensation or other remuneration received or to be received by KCD or an affiliate thereof; and </w:t>
      </w:r>
    </w:p>
    <w:p>
      <w:pPr>
        <w:numPr>
          <w:ilvl w:val="0"/>
          <w:numId w:val="400"/>
        </w:numPr>
        <w:spacing w:after="200"/>
        <w:ind w:left="720" w:hanging="192"/>
        <w:jc w:val="left"/>
        <w:rPr>
          <w:rFonts w:eastAsia="Arial" w:cs="Arial"/>
          <w:sz w:val="20"/>
          <w:szCs w:val="20"/>
        </w:rPr>
      </w:pPr>
      <w:r>
        <w:rPr>
          <w:rFonts w:eastAsia="Arial" w:cs="Arial"/>
          <w:b/>
          <w:bCs/>
          <w:sz w:val="20"/>
          <w:szCs w:val="20"/>
        </w:rPr>
        <w:t>The statement in bold print:</w:t>
      </w:r>
      <w:r>
        <w:rPr>
          <w:rFonts w:eastAsia="Arial" w:cs="Arial"/>
          <w:sz w:val="20"/>
          <w:szCs w:val="20"/>
        </w:rPr>
        <w:t xml:space="preserve"> "Client's written consent authorizing KCD to effect agency cross trades on his or her behalf may be revoked at any time by the client by means of written notice."</w:t>
      </w:r>
    </w:p>
    <w:p>
      <w:bookmarkEnd w:id="416"/>
      <w:bookmarkStart w:id="417" w:name="Sec_Chp_061016102251640_6365"/>
    </w:p>
    <w:p>
      <w:pPr>
        <w:pStyle w:val="Heading4"/>
      </w:pPr>
      <w:r>
        <w:t>6.3.6.5 Agency Cross Trade Disclosure</w:t>
      </w:r>
    </w:p>
    <w:p/>
    <w:p>
      <w:pPr>
        <w:rPr>
          <w:rFonts w:eastAsia="Arial" w:cs="Arial"/>
          <w:sz w:val="16"/>
          <w:szCs w:val="16"/>
        </w:rPr>
      </w:pPr>
    </w:p>
    <w:p>
      <w:pPr>
        <w:spacing w:after="200"/>
        <w:rPr>
          <w:rFonts w:eastAsia="Arial" w:cs="Arial"/>
          <w:sz w:val="20"/>
          <w:szCs w:val="20"/>
        </w:rPr>
      </w:pPr>
      <w:r>
        <w:rPr>
          <w:rFonts w:eastAsia="Arial" w:cs="Arial"/>
          <w:sz w:val="20"/>
          <w:szCs w:val="20"/>
        </w:rPr>
        <w:t>KCD shall engage in agency cross trades only if the applicable clients receive the following disclosure in advance of the trade or around the time of the trade, as appropriate:</w:t>
      </w:r>
    </w:p>
    <w:p>
      <w:pPr>
        <w:numPr>
          <w:ilvl w:val="0"/>
          <w:numId w:val="401"/>
        </w:numPr>
        <w:spacing w:before="200"/>
        <w:ind w:left="720" w:hanging="267"/>
        <w:jc w:val="left"/>
        <w:rPr>
          <w:rFonts w:eastAsia="Arial" w:cs="Arial"/>
          <w:sz w:val="20"/>
          <w:szCs w:val="20"/>
        </w:rPr>
      </w:pPr>
      <w:r>
        <w:rPr>
          <w:rFonts w:eastAsia="Arial" w:cs="Arial"/>
          <w:sz w:val="20"/>
          <w:szCs w:val="20"/>
        </w:rPr>
        <w:t>the total amount of all commissions or other remuneration received or to be received by KCD or an affiliated person in connection with these transactions;</w:t>
      </w:r>
    </w:p>
    <w:p>
      <w:pPr>
        <w:numPr>
          <w:ilvl w:val="0"/>
          <w:numId w:val="401"/>
        </w:numPr>
        <w:ind w:left="720" w:hanging="267"/>
        <w:jc w:val="left"/>
        <w:rPr>
          <w:rFonts w:eastAsia="Arial" w:cs="Arial"/>
          <w:sz w:val="20"/>
          <w:szCs w:val="20"/>
        </w:rPr>
      </w:pPr>
      <w:r>
        <w:rPr>
          <w:rFonts w:eastAsia="Arial" w:cs="Arial"/>
          <w:sz w:val="20"/>
          <w:szCs w:val="20"/>
        </w:rPr>
        <w:t>the client's option to revoke his or her written blanket consent to execute agency cross trades without penalty and at any time by written notice to KCD;</w:t>
      </w:r>
    </w:p>
    <w:p>
      <w:pPr>
        <w:numPr>
          <w:ilvl w:val="0"/>
          <w:numId w:val="401"/>
        </w:numPr>
        <w:ind w:left="720" w:hanging="267"/>
        <w:jc w:val="left"/>
        <w:rPr>
          <w:rFonts w:eastAsia="Arial" w:cs="Arial"/>
          <w:sz w:val="20"/>
          <w:szCs w:val="20"/>
        </w:rPr>
      </w:pPr>
      <w:r>
        <w:rPr>
          <w:rFonts w:eastAsia="Arial" w:cs="Arial"/>
          <w:sz w:val="20"/>
          <w:szCs w:val="20"/>
        </w:rPr>
        <w:t>how KCD addressed the conflicts of interest raised by agency cross trades;</w:t>
      </w:r>
    </w:p>
    <w:p>
      <w:pPr>
        <w:numPr>
          <w:ilvl w:val="0"/>
          <w:numId w:val="401"/>
        </w:numPr>
        <w:ind w:left="720" w:hanging="267"/>
        <w:jc w:val="left"/>
        <w:rPr>
          <w:rFonts w:eastAsia="Arial" w:cs="Arial"/>
          <w:sz w:val="20"/>
          <w:szCs w:val="20"/>
        </w:rPr>
      </w:pPr>
      <w:r>
        <w:rPr>
          <w:rFonts w:eastAsia="Arial" w:cs="Arial"/>
          <w:sz w:val="20"/>
          <w:szCs w:val="20"/>
        </w:rPr>
        <w:t>the circumstances under which KCD may engage in these transactions;</w:t>
      </w:r>
    </w:p>
    <w:p>
      <w:pPr>
        <w:numPr>
          <w:ilvl w:val="0"/>
          <w:numId w:val="401"/>
        </w:numPr>
        <w:ind w:left="720" w:hanging="267"/>
        <w:jc w:val="left"/>
        <w:rPr>
          <w:rFonts w:eastAsia="Arial" w:cs="Arial"/>
          <w:sz w:val="20"/>
          <w:szCs w:val="20"/>
        </w:rPr>
      </w:pPr>
      <w:r>
        <w:rPr>
          <w:rFonts w:eastAsia="Arial" w:cs="Arial"/>
          <w:sz w:val="20"/>
          <w:szCs w:val="20"/>
        </w:rPr>
        <w:t>any costs to the client in connection with the agency cross trades; and</w:t>
      </w:r>
    </w:p>
    <w:p>
      <w:pPr>
        <w:numPr>
          <w:ilvl w:val="0"/>
          <w:numId w:val="401"/>
        </w:numPr>
        <w:spacing w:after="200"/>
        <w:ind w:left="720" w:hanging="267"/>
        <w:jc w:val="left"/>
        <w:rPr>
          <w:rFonts w:eastAsia="Arial" w:cs="Arial"/>
          <w:sz w:val="20"/>
          <w:szCs w:val="20"/>
        </w:rPr>
      </w:pPr>
      <w:r>
        <w:rPr>
          <w:rFonts w:eastAsia="Arial" w:cs="Arial"/>
          <w:sz w:val="20"/>
          <w:szCs w:val="20"/>
        </w:rPr>
        <w:t>the total number of agency cross trades entered into during the period (since the date of the last client statement or summary).</w:t>
      </w:r>
    </w:p>
    <w:p>
      <w:bookmarkEnd w:id="417"/>
      <w:bookmarkStart w:id="418" w:name="Sec_Chp_061016102251640_061016102252468"/>
    </w:p>
    <w:p>
      <w:pPr>
        <w:pStyle w:val="Heading4"/>
      </w:pPr>
      <w:r>
        <w:t>6.3.6.6 Periodic Statements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send to each client, at least annually, a written statement identifying:</w:t>
      </w:r>
    </w:p>
    <w:p>
      <w:pPr>
        <w:numPr>
          <w:ilvl w:val="0"/>
          <w:numId w:val="402"/>
        </w:numPr>
        <w:spacing w:before="200"/>
        <w:ind w:left="720" w:hanging="192"/>
        <w:jc w:val="left"/>
        <w:rPr>
          <w:rFonts w:eastAsia="Arial" w:cs="Arial"/>
          <w:sz w:val="20"/>
          <w:szCs w:val="20"/>
        </w:rPr>
      </w:pPr>
      <w:r>
        <w:rPr>
          <w:rFonts w:eastAsia="Arial" w:cs="Arial"/>
          <w:sz w:val="20"/>
          <w:szCs w:val="20"/>
        </w:rPr>
        <w:t>the total number of agency cross trades during the period since the date of the last such statement, and</w:t>
      </w:r>
    </w:p>
    <w:p>
      <w:pPr>
        <w:numPr>
          <w:ilvl w:val="0"/>
          <w:numId w:val="402"/>
        </w:numPr>
        <w:spacing w:after="200"/>
        <w:ind w:left="720" w:hanging="192"/>
        <w:jc w:val="left"/>
        <w:rPr>
          <w:rFonts w:eastAsia="Arial" w:cs="Arial"/>
          <w:sz w:val="20"/>
          <w:szCs w:val="20"/>
        </w:rPr>
      </w:pPr>
      <w:r>
        <w:rPr>
          <w:rFonts w:eastAsia="Arial" w:cs="Arial"/>
          <w:sz w:val="20"/>
          <w:szCs w:val="20"/>
        </w:rPr>
        <w:t>the total amount of all commissions or other remuneration received or to be received by KCD for such period in connection with these trades. Such statement may accompany a regular account statement sent to the client showing his or her account activity over the relevant period.</w:t>
      </w:r>
    </w:p>
    <w:p>
      <w:bookmarkEnd w:id="418"/>
      <w:bookmarkStart w:id="419" w:name="Sec_Chp_061016102251640_061016102252484"/>
    </w:p>
    <w:p>
      <w:pPr>
        <w:pStyle w:val="Heading4"/>
      </w:pPr>
      <w:r>
        <w:t>6.3.6.7 Recommendations to Both Clients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w:t>
      </w:r>
      <w:r>
        <w:rPr>
          <w:rFonts w:eastAsia="Arial" w:cs="Arial"/>
          <w:b/>
          <w:bCs/>
          <w:sz w:val="20"/>
          <w:szCs w:val="20"/>
        </w:rPr>
        <w:t>not</w:t>
      </w:r>
      <w:r>
        <w:rPr>
          <w:rFonts w:eastAsia="Arial" w:cs="Arial"/>
          <w:sz w:val="20"/>
          <w:szCs w:val="20"/>
        </w:rPr>
        <w:t xml:space="preserve"> engage in an agency cross trade where it recommends the transaction to both the buying client and selling client.</w:t>
      </w:r>
    </w:p>
    <w:p>
      <w:bookmarkEnd w:id="419"/>
      <w:bookmarkStart w:id="420" w:name="Sec_Chp_061016102251640_061016102252500"/>
    </w:p>
    <w:p>
      <w:pPr>
        <w:pStyle w:val="Heading4"/>
      </w:pPr>
      <w:r>
        <w:t>6.3.6.8 Compensation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receive compensation for facilitating agency cross trades, including any commission or transaction-based fees.</w:t>
      </w:r>
    </w:p>
    <w:p>
      <w:bookmarkEnd w:id="420"/>
      <w:bookmarkStart w:id="421" w:name="Sec_Chp_061016102251640_061016102252515"/>
    </w:p>
    <w:p>
      <w:pPr>
        <w:pStyle w:val="Heading4"/>
      </w:pPr>
      <w:r>
        <w:t>6.3.6.9 ERISA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Since the Department of Labor may view an agency cross trade as a potential prohibited transaction under ERISA, KCD will not engage in such trades on behalf of ERISA clients without approval from inside or outside counsel who concludes that such approval is not necessary.</w:t>
      </w:r>
    </w:p>
    <w:p>
      <w:bookmarkEnd w:id="421"/>
      <w:bookmarkStart w:id="422" w:name="Sec_Chp_061016102251640_63610"/>
    </w:p>
    <w:p>
      <w:pPr>
        <w:pStyle w:val="Heading4"/>
      </w:pPr>
      <w:r>
        <w:t>6.3.6.10 Agency Cross Trade Testing</w:t>
      </w:r>
    </w:p>
    <w:p/>
    <w:p>
      <w:pPr>
        <w:rPr>
          <w:rFonts w:eastAsia="Arial" w:cs="Arial"/>
          <w:sz w:val="16"/>
          <w:szCs w:val="16"/>
        </w:rPr>
      </w:pPr>
    </w:p>
    <w:p>
      <w:pPr>
        <w:spacing w:after="200"/>
        <w:rPr>
          <w:rFonts w:eastAsia="Arial" w:cs="Arial"/>
          <w:sz w:val="20"/>
          <w:szCs w:val="20"/>
        </w:rPr>
      </w:pPr>
      <w:r>
        <w:rPr>
          <w:rFonts w:eastAsia="Arial" w:cs="Arial"/>
          <w:sz w:val="20"/>
          <w:szCs w:val="20"/>
        </w:rPr>
        <w:t>KCD shall periodically test compliance with its agency cross trade procedures. The CCO from time to time will:</w:t>
      </w:r>
    </w:p>
    <w:p>
      <w:pPr>
        <w:numPr>
          <w:ilvl w:val="0"/>
          <w:numId w:val="403"/>
        </w:numPr>
        <w:spacing w:before="200"/>
        <w:ind w:left="720" w:hanging="267"/>
        <w:jc w:val="left"/>
        <w:rPr>
          <w:rFonts w:eastAsia="Arial" w:cs="Arial"/>
          <w:sz w:val="20"/>
          <w:szCs w:val="20"/>
        </w:rPr>
      </w:pPr>
      <w:r>
        <w:rPr>
          <w:rFonts w:eastAsia="Arial" w:cs="Arial"/>
          <w:sz w:val="20"/>
          <w:szCs w:val="20"/>
        </w:rPr>
        <w:t>analyze KCD's books and records to identify undisclosed agency cross trades, undisclosed conflicts of interest and possible other issues;</w:t>
      </w:r>
    </w:p>
    <w:p>
      <w:pPr>
        <w:numPr>
          <w:ilvl w:val="0"/>
          <w:numId w:val="403"/>
        </w:numPr>
        <w:ind w:left="720" w:hanging="267"/>
        <w:jc w:val="left"/>
        <w:rPr>
          <w:rFonts w:eastAsia="Arial" w:cs="Arial"/>
          <w:sz w:val="20"/>
          <w:szCs w:val="20"/>
        </w:rPr>
      </w:pPr>
      <w:r>
        <w:rPr>
          <w:rFonts w:eastAsia="Arial" w:cs="Arial"/>
          <w:sz w:val="20"/>
          <w:szCs w:val="20"/>
        </w:rPr>
        <w:t>confirm there is documentation or information regarding the trade that among other things shows the determination that a fair and equitable price was used and best execution was achieved;</w:t>
      </w:r>
    </w:p>
    <w:p>
      <w:pPr>
        <w:numPr>
          <w:ilvl w:val="0"/>
          <w:numId w:val="403"/>
        </w:numPr>
        <w:ind w:left="720" w:hanging="267"/>
        <w:jc w:val="left"/>
        <w:rPr>
          <w:rFonts w:eastAsia="Arial" w:cs="Arial"/>
          <w:sz w:val="20"/>
          <w:szCs w:val="20"/>
        </w:rPr>
      </w:pPr>
      <w:r>
        <w:rPr>
          <w:rFonts w:eastAsia="Arial" w:cs="Arial"/>
          <w:sz w:val="20"/>
          <w:szCs w:val="20"/>
        </w:rPr>
        <w:t>ensure that full and fair disclosure regarding the agency cross trades was made to clients, and/or that KCD sought and obtained consent from clients; and</w:t>
      </w:r>
    </w:p>
    <w:p>
      <w:pPr>
        <w:numPr>
          <w:ilvl w:val="0"/>
          <w:numId w:val="403"/>
        </w:numPr>
        <w:spacing w:after="200"/>
        <w:ind w:left="720" w:hanging="267"/>
        <w:jc w:val="left"/>
        <w:rPr>
          <w:rFonts w:eastAsia="Arial" w:cs="Arial"/>
          <w:sz w:val="20"/>
          <w:szCs w:val="20"/>
        </w:rPr>
      </w:pPr>
      <w:r>
        <w:rPr>
          <w:rFonts w:eastAsia="Arial" w:cs="Arial"/>
          <w:sz w:val="20"/>
          <w:szCs w:val="20"/>
        </w:rPr>
        <w:t>check to see that no impermissible trades or trades involving prohibited accounts (</w:t>
      </w:r>
      <w:r>
        <w:rPr>
          <w:rFonts w:eastAsia="Arial" w:cs="Arial"/>
          <w:i/>
          <w:iCs/>
          <w:sz w:val="20"/>
          <w:szCs w:val="20"/>
        </w:rPr>
        <w:t>e.g.,</w:t>
      </w:r>
      <w:r>
        <w:rPr>
          <w:rFonts w:eastAsia="Arial" w:cs="Arial"/>
          <w:sz w:val="20"/>
          <w:szCs w:val="20"/>
        </w:rPr>
        <w:t xml:space="preserve"> ERISA accounts) occurred.</w:t>
      </w:r>
    </w:p>
    <w:p>
      <w:bookmarkEnd w:id="422"/>
      <w:bookmarkStart w:id="423" w:name="Sec_Chp_061016102251640_06101638"/>
    </w:p>
    <w:p>
      <w:pPr>
        <w:pStyle w:val="Heading3"/>
      </w:pPr>
      <w:bookmarkStart w:id="424" w:name="_Toc256000105"/>
      <w:r>
        <w:t>6.3.7 Cross Trades</w:t>
      </w:r>
      <w:bookmarkEnd w:id="424"/>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cross trade is a pre-arranged trade between two advisory clients that are managed by KCD, involving no broker-dealer or brokerage commissions. The security therefore crosses from one advisory client account to another advisory client account. KCD may effect a cross trade between two advisory clients, provided the conditions set forth herein are met.</w:t>
      </w:r>
    </w:p>
    <w:p>
      <w:bookmarkEnd w:id="423"/>
      <w:bookmarkStart w:id="425" w:name="Sec_Chp_061016102251640_061016381"/>
    </w:p>
    <w:p>
      <w:pPr>
        <w:pStyle w:val="Heading4"/>
      </w:pPr>
      <w:r>
        <w:t>6.3.7.1 Fiduciary Duty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only engage in a cross trade if such trade is in the best interests of each participating advisory client and no client is disadvantaged by such trade.</w:t>
      </w:r>
    </w:p>
    <w:p>
      <w:bookmarkEnd w:id="425"/>
      <w:bookmarkStart w:id="426" w:name="Sec_Chp_061016102251640_061016382"/>
    </w:p>
    <w:p>
      <w:pPr>
        <w:pStyle w:val="Heading4"/>
      </w:pPr>
      <w:r>
        <w:t>6.3.7.2 Price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cross trade shall be effected at the independent current market price of the security. Such market price shall be one of the following:</w:t>
      </w:r>
    </w:p>
    <w:p>
      <w:pPr>
        <w:numPr>
          <w:ilvl w:val="0"/>
          <w:numId w:val="404"/>
        </w:numPr>
        <w:spacing w:before="200"/>
        <w:ind w:left="720" w:hanging="192"/>
        <w:jc w:val="left"/>
        <w:rPr>
          <w:rFonts w:eastAsia="Arial" w:cs="Arial"/>
          <w:sz w:val="20"/>
          <w:szCs w:val="20"/>
        </w:rPr>
      </w:pPr>
      <w:r>
        <w:rPr>
          <w:rFonts w:eastAsia="Arial" w:cs="Arial"/>
          <w:b/>
          <w:bCs/>
          <w:sz w:val="20"/>
          <w:szCs w:val="20"/>
        </w:rPr>
        <w:t>Reported Security:</w:t>
      </w:r>
      <w:r>
        <w:rPr>
          <w:rFonts w:eastAsia="Arial" w:cs="Arial"/>
          <w:sz w:val="20"/>
          <w:szCs w:val="20"/>
        </w:rPr>
        <w:t xml:space="preserve"> the last sale price with respect to such security reported in the consolidated transaction reporting system or the average of the highest current independent bid and lowest current independent offer for such security if there are no reported transactions in the consolidated transaction reporting system that day;</w:t>
      </w:r>
    </w:p>
    <w:p>
      <w:pPr>
        <w:numPr>
          <w:ilvl w:val="0"/>
          <w:numId w:val="404"/>
        </w:numPr>
        <w:ind w:left="720" w:hanging="192"/>
        <w:jc w:val="left"/>
        <w:rPr>
          <w:rFonts w:eastAsia="Arial" w:cs="Arial"/>
          <w:sz w:val="20"/>
          <w:szCs w:val="20"/>
        </w:rPr>
      </w:pPr>
      <w:r>
        <w:rPr>
          <w:rFonts w:eastAsia="Arial" w:cs="Arial"/>
          <w:b/>
          <w:bCs/>
          <w:sz w:val="20"/>
          <w:szCs w:val="20"/>
        </w:rPr>
        <w:t>Non-Reported Exchange Traded Security:</w:t>
      </w:r>
      <w:r>
        <w:rPr>
          <w:rFonts w:eastAsia="Arial" w:cs="Arial"/>
          <w:sz w:val="20"/>
          <w:szCs w:val="20"/>
        </w:rPr>
        <w:t xml:space="preserve"> the last sale price on the principal exchange for which such security trades or the average of the highest current independent bid and lowest current independent offer for such security if there are no reported independent transactions on such exchange that day;</w:t>
      </w:r>
    </w:p>
    <w:p>
      <w:pPr>
        <w:numPr>
          <w:ilvl w:val="0"/>
          <w:numId w:val="404"/>
        </w:numPr>
        <w:ind w:left="720" w:hanging="192"/>
        <w:jc w:val="left"/>
        <w:rPr>
          <w:rFonts w:eastAsia="Arial" w:cs="Arial"/>
          <w:sz w:val="20"/>
          <w:szCs w:val="20"/>
        </w:rPr>
      </w:pPr>
      <w:r>
        <w:rPr>
          <w:rFonts w:eastAsia="Arial" w:cs="Arial"/>
          <w:b/>
          <w:bCs/>
          <w:sz w:val="20"/>
          <w:szCs w:val="20"/>
        </w:rPr>
        <w:t>Non-Reported NASDAQ Quoted Security:</w:t>
      </w:r>
      <w:r>
        <w:rPr>
          <w:rFonts w:eastAsia="Arial" w:cs="Arial"/>
          <w:sz w:val="20"/>
          <w:szCs w:val="20"/>
        </w:rPr>
        <w:t xml:space="preserve"> the average of the highest current independent bid and lowest current independent offer reported on Level 1 of NASDAQ; and</w:t>
      </w:r>
    </w:p>
    <w:p>
      <w:pPr>
        <w:numPr>
          <w:ilvl w:val="0"/>
          <w:numId w:val="404"/>
        </w:numPr>
        <w:spacing w:after="200"/>
        <w:ind w:left="720" w:hanging="192"/>
        <w:jc w:val="left"/>
        <w:rPr>
          <w:rFonts w:eastAsia="Arial" w:cs="Arial"/>
          <w:sz w:val="20"/>
          <w:szCs w:val="20"/>
        </w:rPr>
      </w:pPr>
      <w:r>
        <w:rPr>
          <w:rFonts w:eastAsia="Arial" w:cs="Arial"/>
          <w:b/>
          <w:bCs/>
          <w:sz w:val="20"/>
          <w:szCs w:val="20"/>
        </w:rPr>
        <w:t>Other Securities:</w:t>
      </w:r>
      <w:r>
        <w:rPr>
          <w:rFonts w:eastAsia="Arial" w:cs="Arial"/>
          <w:sz w:val="20"/>
          <w:szCs w:val="20"/>
        </w:rPr>
        <w:t xml:space="preserve"> the average of the highest current independent bid and lowest current independent offer determined on the basis of reasonable inquiry.</w:t>
      </w:r>
    </w:p>
    <w:p>
      <w:bookmarkEnd w:id="426"/>
      <w:bookmarkStart w:id="427" w:name="Sec_Chp_061016102251640_061016383"/>
    </w:p>
    <w:p>
      <w:pPr>
        <w:pStyle w:val="Heading4"/>
      </w:pPr>
      <w:r>
        <w:t>6.3.7.3 Compensation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not receive compensation for facilitating cross trades, including any commission or transaction-based fees, other than its ordinary advisory fee.</w:t>
      </w:r>
    </w:p>
    <w:p>
      <w:bookmarkEnd w:id="427"/>
      <w:bookmarkStart w:id="428" w:name="Sec_Chp_061016102251640_061016384"/>
    </w:p>
    <w:p>
      <w:pPr>
        <w:pStyle w:val="Heading4"/>
      </w:pPr>
      <w:r>
        <w:t>6.3.7.4 Disclosure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practice of engaging in cross trades will be disclosed in KCD's Form ADV and the client's Investment Advisory Contract. The disclosure will contain the facts necessary to alert the client to KCD's potential conflicts of interest.</w:t>
      </w:r>
    </w:p>
    <w:p>
      <w:bookmarkEnd w:id="428"/>
      <w:bookmarkStart w:id="429" w:name="Sec_Chp_061016102251640_061016385"/>
    </w:p>
    <w:p>
      <w:pPr>
        <w:pStyle w:val="Heading4"/>
      </w:pPr>
      <w:r>
        <w:t>6.3.7.5 ERISA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Since the Department of Labor may view a cross trade as a potential prohibited transaction under ERISA, KCD will not engage in such trades on behalf of ERISA clients without approval from inside or outside counsel who concludes that such approval is not necessary.</w:t>
      </w:r>
    </w:p>
    <w:p>
      <w:bookmarkEnd w:id="429"/>
      <w:bookmarkStart w:id="430" w:name="Sec_Chp_061016102251640_061016102252531"/>
    </w:p>
    <w:p>
      <w:pPr>
        <w:pStyle w:val="Heading3"/>
      </w:pPr>
      <w:bookmarkStart w:id="431" w:name="_Toc256000106"/>
      <w:r>
        <w:t>6.3.8 Principal Trades</w:t>
      </w:r>
      <w:bookmarkEnd w:id="431"/>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a principal transaction, KCD, acting on its own account (or an affiliate's account) purchases a security from, or sells a security to, an advisory client. KCD deems any pooled investment vehicle (</w:t>
      </w:r>
      <w:r>
        <w:rPr>
          <w:rFonts w:eastAsia="Arial" w:cs="Arial"/>
          <w:i/>
          <w:iCs/>
          <w:sz w:val="20"/>
          <w:szCs w:val="20"/>
        </w:rPr>
        <w:t>e.g.,</w:t>
      </w:r>
      <w:r>
        <w:rPr>
          <w:rFonts w:eastAsia="Arial" w:cs="Arial"/>
          <w:sz w:val="20"/>
          <w:szCs w:val="20"/>
        </w:rPr>
        <w:t xml:space="preserve"> a hedge fund) in which KCD and/or its controlling persons, in the aggregate, own 25% or more of the interests therein, to be an affiliate account.</w:t>
      </w:r>
    </w:p>
    <w:p>
      <w:bookmarkEnd w:id="430"/>
      <w:bookmarkStart w:id="432" w:name="Sec_Chp_061016102251640_061016102252546"/>
    </w:p>
    <w:p>
      <w:pPr>
        <w:pStyle w:val="Heading4"/>
      </w:pPr>
      <w:r>
        <w:t>6.3.8.1 Principal Trade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engage in principal transactions only if: </w:t>
      </w:r>
    </w:p>
    <w:p>
      <w:pPr>
        <w:numPr>
          <w:ilvl w:val="0"/>
          <w:numId w:val="405"/>
        </w:numPr>
        <w:spacing w:before="200"/>
        <w:ind w:left="720" w:hanging="267"/>
        <w:jc w:val="left"/>
        <w:rPr>
          <w:rFonts w:eastAsia="Arial" w:cs="Arial"/>
          <w:sz w:val="20"/>
          <w:szCs w:val="20"/>
        </w:rPr>
      </w:pPr>
      <w:r>
        <w:rPr>
          <w:rFonts w:eastAsia="Arial" w:cs="Arial"/>
          <w:sz w:val="20"/>
          <w:szCs w:val="20"/>
        </w:rPr>
        <w:t>A senior officer of KCD has provided advanced written approval to the portfolio manager, trader or other employee of KCD to engage in principal trades for clients;</w:t>
      </w:r>
    </w:p>
    <w:p>
      <w:pPr>
        <w:numPr>
          <w:ilvl w:val="0"/>
          <w:numId w:val="405"/>
        </w:numPr>
        <w:ind w:left="720" w:hanging="267"/>
        <w:jc w:val="left"/>
        <w:rPr>
          <w:rFonts w:eastAsia="Arial" w:cs="Arial"/>
          <w:sz w:val="20"/>
          <w:szCs w:val="20"/>
        </w:rPr>
      </w:pPr>
      <w:r>
        <w:rPr>
          <w:rFonts w:eastAsia="Arial" w:cs="Arial"/>
          <w:sz w:val="20"/>
          <w:szCs w:val="20"/>
        </w:rPr>
        <w:t>The client sends a letter authorizing KCD to engage in principal transactions with the client;</w:t>
      </w:r>
    </w:p>
    <w:p>
      <w:pPr>
        <w:numPr>
          <w:ilvl w:val="0"/>
          <w:numId w:val="405"/>
        </w:numPr>
        <w:ind w:left="720" w:hanging="267"/>
        <w:jc w:val="left"/>
        <w:rPr>
          <w:rFonts w:eastAsia="Arial" w:cs="Arial"/>
          <w:sz w:val="20"/>
          <w:szCs w:val="20"/>
        </w:rPr>
      </w:pPr>
      <w:r>
        <w:rPr>
          <w:rFonts w:eastAsia="Arial" w:cs="Arial"/>
          <w:sz w:val="20"/>
          <w:szCs w:val="20"/>
        </w:rPr>
        <w:t xml:space="preserve">The transaction is in the best interest of the client and fair and equitable to all participating client accounts; </w:t>
      </w:r>
    </w:p>
    <w:p>
      <w:pPr>
        <w:numPr>
          <w:ilvl w:val="0"/>
          <w:numId w:val="405"/>
        </w:numPr>
        <w:ind w:left="720" w:hanging="267"/>
        <w:jc w:val="left"/>
        <w:rPr>
          <w:rFonts w:eastAsia="Arial" w:cs="Arial"/>
          <w:sz w:val="20"/>
          <w:szCs w:val="20"/>
        </w:rPr>
      </w:pPr>
      <w:r>
        <w:rPr>
          <w:rFonts w:eastAsia="Arial" w:cs="Arial"/>
          <w:sz w:val="20"/>
          <w:szCs w:val="20"/>
        </w:rPr>
        <w:t xml:space="preserve">The practice of engaging in principal transactions is disclosed in KCD's Form ADV and the client's investment advisory contract; </w:t>
      </w:r>
    </w:p>
    <w:p>
      <w:pPr>
        <w:numPr>
          <w:ilvl w:val="0"/>
          <w:numId w:val="405"/>
        </w:numPr>
        <w:ind w:left="720" w:hanging="267"/>
        <w:jc w:val="left"/>
        <w:rPr>
          <w:rFonts w:eastAsia="Arial" w:cs="Arial"/>
          <w:sz w:val="20"/>
          <w:szCs w:val="20"/>
        </w:rPr>
      </w:pPr>
      <w:r>
        <w:rPr>
          <w:rFonts w:eastAsia="Arial" w:cs="Arial"/>
          <w:sz w:val="20"/>
          <w:szCs w:val="20"/>
        </w:rPr>
        <w:t xml:space="preserve">The nature and terms of each principal transaction is disclosed to the client in the manner required by these procedures; </w:t>
      </w:r>
    </w:p>
    <w:p>
      <w:pPr>
        <w:numPr>
          <w:ilvl w:val="0"/>
          <w:numId w:val="405"/>
        </w:numPr>
        <w:ind w:left="720" w:hanging="267"/>
        <w:jc w:val="left"/>
        <w:rPr>
          <w:rFonts w:eastAsia="Arial" w:cs="Arial"/>
          <w:sz w:val="20"/>
          <w:szCs w:val="20"/>
        </w:rPr>
      </w:pPr>
      <w:r>
        <w:rPr>
          <w:rFonts w:eastAsia="Arial" w:cs="Arial"/>
          <w:sz w:val="20"/>
          <w:szCs w:val="20"/>
        </w:rPr>
        <w:t>The client's trade receives best price and best execution as evidenced by KCD obtaining independent prices from third-party broker-dealers;</w:t>
      </w:r>
    </w:p>
    <w:p>
      <w:pPr>
        <w:numPr>
          <w:ilvl w:val="0"/>
          <w:numId w:val="405"/>
        </w:numPr>
        <w:ind w:left="720" w:hanging="267"/>
        <w:jc w:val="left"/>
        <w:rPr>
          <w:rFonts w:eastAsia="Arial" w:cs="Arial"/>
          <w:sz w:val="20"/>
          <w:szCs w:val="20"/>
        </w:rPr>
      </w:pPr>
      <w:r>
        <w:rPr>
          <w:rFonts w:eastAsia="Arial" w:cs="Arial"/>
          <w:sz w:val="20"/>
          <w:szCs w:val="20"/>
        </w:rPr>
        <w:t>The securities must only be purchased by or sold to another client when there is a need and securities meet each participating client's investment objectives;</w:t>
      </w:r>
    </w:p>
    <w:p>
      <w:pPr>
        <w:numPr>
          <w:ilvl w:val="0"/>
          <w:numId w:val="405"/>
        </w:numPr>
        <w:ind w:left="720" w:hanging="267"/>
        <w:jc w:val="left"/>
        <w:rPr>
          <w:rFonts w:eastAsia="Arial" w:cs="Arial"/>
          <w:sz w:val="20"/>
          <w:szCs w:val="20"/>
        </w:rPr>
      </w:pPr>
      <w:r>
        <w:rPr>
          <w:rFonts w:eastAsia="Arial" w:cs="Arial"/>
          <w:sz w:val="20"/>
          <w:szCs w:val="20"/>
        </w:rPr>
        <w:t>The client accounts involved in these trades are not ERISA accounts (but if so, the trades will be made to applicable procedures in this compliance manual that address ERISA's prohibited transactions rule);</w:t>
      </w:r>
    </w:p>
    <w:p>
      <w:pPr>
        <w:numPr>
          <w:ilvl w:val="0"/>
          <w:numId w:val="405"/>
        </w:numPr>
        <w:ind w:left="720" w:hanging="267"/>
        <w:jc w:val="left"/>
        <w:rPr>
          <w:rFonts w:eastAsia="Arial" w:cs="Arial"/>
          <w:sz w:val="20"/>
          <w:szCs w:val="20"/>
        </w:rPr>
      </w:pPr>
      <w:r>
        <w:rPr>
          <w:rFonts w:eastAsia="Arial" w:cs="Arial"/>
          <w:sz w:val="20"/>
          <w:szCs w:val="20"/>
        </w:rPr>
        <w:t>KCD and none of its affiliated persons or supervised persons receive commissions or any other compensation with respect to these trades; and</w:t>
      </w:r>
    </w:p>
    <w:p>
      <w:pPr>
        <w:numPr>
          <w:ilvl w:val="0"/>
          <w:numId w:val="405"/>
        </w:numPr>
        <w:spacing w:after="200"/>
        <w:ind w:left="720" w:hanging="378"/>
        <w:jc w:val="left"/>
        <w:rPr>
          <w:rFonts w:eastAsia="Arial" w:cs="Arial"/>
          <w:sz w:val="20"/>
          <w:szCs w:val="20"/>
        </w:rPr>
      </w:pPr>
      <w:r>
        <w:rPr>
          <w:rFonts w:eastAsia="Arial" w:cs="Arial"/>
          <w:sz w:val="20"/>
          <w:szCs w:val="20"/>
        </w:rPr>
        <w:t>Written consent is obtained from the client for each transaction prior to "completing the transaction."</w:t>
      </w:r>
    </w:p>
    <w:p>
      <w:bookmarkEnd w:id="432"/>
      <w:bookmarkStart w:id="433" w:name="Sec_Chp_061016102251640_6382"/>
    </w:p>
    <w:p>
      <w:pPr>
        <w:pStyle w:val="Heading4"/>
      </w:pPr>
      <w:r>
        <w:t>6.3.8.2 Principal Trades Disclosure</w:t>
      </w:r>
    </w:p>
    <w:p/>
    <w:p>
      <w:pPr>
        <w:rPr>
          <w:rFonts w:eastAsia="Arial" w:cs="Arial"/>
          <w:sz w:val="16"/>
          <w:szCs w:val="16"/>
        </w:rPr>
      </w:pPr>
    </w:p>
    <w:p>
      <w:pPr>
        <w:spacing w:after="200"/>
        <w:rPr>
          <w:rFonts w:eastAsia="Arial" w:cs="Arial"/>
          <w:sz w:val="20"/>
          <w:szCs w:val="20"/>
        </w:rPr>
      </w:pPr>
      <w:r>
        <w:rPr>
          <w:rFonts w:eastAsia="Arial" w:cs="Arial"/>
          <w:sz w:val="20"/>
          <w:szCs w:val="20"/>
        </w:rPr>
        <w:t>KCD shall engage in principal transactions only if the applicable clients receive the following disclosure in advance of the trade or around the time of the trade, as appropriate:</w:t>
      </w:r>
    </w:p>
    <w:p>
      <w:pPr>
        <w:numPr>
          <w:ilvl w:val="0"/>
          <w:numId w:val="406"/>
        </w:numPr>
        <w:spacing w:before="200"/>
        <w:ind w:left="720" w:hanging="267"/>
        <w:jc w:val="left"/>
        <w:rPr>
          <w:rFonts w:eastAsia="Arial" w:cs="Arial"/>
          <w:sz w:val="20"/>
          <w:szCs w:val="20"/>
        </w:rPr>
      </w:pPr>
      <w:r>
        <w:rPr>
          <w:rFonts w:eastAsia="Arial" w:cs="Arial"/>
          <w:sz w:val="20"/>
          <w:szCs w:val="20"/>
        </w:rPr>
        <w:t>KCD's original purchase price for the security it proposes to sell to the client;</w:t>
      </w:r>
    </w:p>
    <w:p>
      <w:pPr>
        <w:numPr>
          <w:ilvl w:val="0"/>
          <w:numId w:val="406"/>
        </w:numPr>
        <w:ind w:left="720" w:hanging="267"/>
        <w:jc w:val="left"/>
        <w:rPr>
          <w:rFonts w:eastAsia="Arial" w:cs="Arial"/>
          <w:sz w:val="20"/>
          <w:szCs w:val="20"/>
        </w:rPr>
      </w:pPr>
      <w:r>
        <w:rPr>
          <w:rFonts w:eastAsia="Arial" w:cs="Arial"/>
          <w:sz w:val="20"/>
          <w:szCs w:val="20"/>
        </w:rPr>
        <w:t>the price KCD expects to receive on resale for securities it purchases from clients;</w:t>
      </w:r>
    </w:p>
    <w:p>
      <w:pPr>
        <w:numPr>
          <w:ilvl w:val="0"/>
          <w:numId w:val="406"/>
        </w:numPr>
        <w:ind w:left="720" w:hanging="267"/>
        <w:jc w:val="left"/>
        <w:rPr>
          <w:rFonts w:eastAsia="Arial" w:cs="Arial"/>
          <w:sz w:val="20"/>
          <w:szCs w:val="20"/>
        </w:rPr>
      </w:pPr>
      <w:r>
        <w:rPr>
          <w:rFonts w:eastAsia="Arial" w:cs="Arial"/>
          <w:sz w:val="20"/>
          <w:szCs w:val="20"/>
        </w:rPr>
        <w:t>the price at which the security could be bought or sold elsewhere, in the event the client would have received a better price;</w:t>
      </w:r>
    </w:p>
    <w:p>
      <w:pPr>
        <w:numPr>
          <w:ilvl w:val="0"/>
          <w:numId w:val="406"/>
        </w:numPr>
        <w:ind w:left="720" w:hanging="267"/>
        <w:jc w:val="left"/>
        <w:rPr>
          <w:rFonts w:eastAsia="Arial" w:cs="Arial"/>
          <w:sz w:val="20"/>
          <w:szCs w:val="20"/>
        </w:rPr>
      </w:pPr>
      <w:r>
        <w:rPr>
          <w:rFonts w:eastAsia="Arial" w:cs="Arial"/>
          <w:sz w:val="20"/>
          <w:szCs w:val="20"/>
        </w:rPr>
        <w:t>the total amount of all commissions or other remuneration received or to be received by KCD or an affiliated person in connection with these transactions;</w:t>
      </w:r>
    </w:p>
    <w:p>
      <w:pPr>
        <w:numPr>
          <w:ilvl w:val="0"/>
          <w:numId w:val="406"/>
        </w:numPr>
        <w:ind w:left="720" w:hanging="267"/>
        <w:jc w:val="left"/>
        <w:rPr>
          <w:rFonts w:eastAsia="Arial" w:cs="Arial"/>
          <w:sz w:val="20"/>
          <w:szCs w:val="20"/>
        </w:rPr>
      </w:pPr>
      <w:r>
        <w:rPr>
          <w:rFonts w:eastAsia="Arial" w:cs="Arial"/>
          <w:sz w:val="20"/>
          <w:szCs w:val="20"/>
        </w:rPr>
        <w:t>the client's option to revoke his or her written blanket consent to execute principal trades without penalty and at any time by written notice to KCD;</w:t>
      </w:r>
    </w:p>
    <w:p>
      <w:pPr>
        <w:numPr>
          <w:ilvl w:val="0"/>
          <w:numId w:val="406"/>
        </w:numPr>
        <w:ind w:left="720" w:hanging="267"/>
        <w:jc w:val="left"/>
        <w:rPr>
          <w:rFonts w:eastAsia="Arial" w:cs="Arial"/>
          <w:sz w:val="20"/>
          <w:szCs w:val="20"/>
        </w:rPr>
      </w:pPr>
      <w:r>
        <w:rPr>
          <w:rFonts w:eastAsia="Arial" w:cs="Arial"/>
          <w:sz w:val="20"/>
          <w:szCs w:val="20"/>
        </w:rPr>
        <w:t>the pricing methodology used to execute the principal trade;</w:t>
      </w:r>
    </w:p>
    <w:p>
      <w:pPr>
        <w:numPr>
          <w:ilvl w:val="0"/>
          <w:numId w:val="406"/>
        </w:numPr>
        <w:ind w:left="720" w:hanging="267"/>
        <w:jc w:val="left"/>
        <w:rPr>
          <w:rFonts w:eastAsia="Arial" w:cs="Arial"/>
          <w:sz w:val="20"/>
          <w:szCs w:val="20"/>
        </w:rPr>
      </w:pPr>
      <w:r>
        <w:rPr>
          <w:rFonts w:eastAsia="Arial" w:cs="Arial"/>
          <w:sz w:val="20"/>
          <w:szCs w:val="20"/>
        </w:rPr>
        <w:t>how KCD addressed the conflicts of interest raised by the principal trade;</w:t>
      </w:r>
    </w:p>
    <w:p>
      <w:pPr>
        <w:numPr>
          <w:ilvl w:val="0"/>
          <w:numId w:val="406"/>
        </w:numPr>
        <w:ind w:left="720" w:hanging="267"/>
        <w:jc w:val="left"/>
        <w:rPr>
          <w:rFonts w:eastAsia="Arial" w:cs="Arial"/>
          <w:sz w:val="20"/>
          <w:szCs w:val="20"/>
        </w:rPr>
      </w:pPr>
      <w:r>
        <w:rPr>
          <w:rFonts w:eastAsia="Arial" w:cs="Arial"/>
          <w:sz w:val="20"/>
          <w:szCs w:val="20"/>
        </w:rPr>
        <w:t>the circumstances under which KCD may engage in these transactions;</w:t>
      </w:r>
    </w:p>
    <w:p>
      <w:pPr>
        <w:numPr>
          <w:ilvl w:val="0"/>
          <w:numId w:val="406"/>
        </w:numPr>
        <w:ind w:left="720" w:hanging="267"/>
        <w:jc w:val="left"/>
        <w:rPr>
          <w:rFonts w:eastAsia="Arial" w:cs="Arial"/>
          <w:sz w:val="20"/>
          <w:szCs w:val="20"/>
        </w:rPr>
      </w:pPr>
      <w:r>
        <w:rPr>
          <w:rFonts w:eastAsia="Arial" w:cs="Arial"/>
          <w:sz w:val="20"/>
          <w:szCs w:val="20"/>
        </w:rPr>
        <w:t xml:space="preserve">any costs to the client in connection with the trade; and </w:t>
      </w:r>
    </w:p>
    <w:p>
      <w:pPr>
        <w:numPr>
          <w:ilvl w:val="0"/>
          <w:numId w:val="406"/>
        </w:numPr>
        <w:spacing w:after="200"/>
        <w:ind w:left="720" w:hanging="378"/>
        <w:jc w:val="left"/>
        <w:rPr>
          <w:rFonts w:eastAsia="Arial" w:cs="Arial"/>
          <w:sz w:val="20"/>
          <w:szCs w:val="20"/>
        </w:rPr>
      </w:pPr>
      <w:r>
        <w:rPr>
          <w:rFonts w:eastAsia="Arial" w:cs="Arial"/>
          <w:sz w:val="20"/>
          <w:szCs w:val="20"/>
        </w:rPr>
        <w:t>the total number of principal trades entered into during the period (since the date of the last client statement or summary).</w:t>
      </w:r>
    </w:p>
    <w:p>
      <w:bookmarkEnd w:id="433"/>
      <w:bookmarkStart w:id="434" w:name="Sec_Chp_061016102251640_061016102252562"/>
    </w:p>
    <w:p>
      <w:pPr>
        <w:pStyle w:val="Heading4"/>
      </w:pPr>
      <w:r>
        <w:t>6.3.8.3 Timing of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deems a principal securities transaction to be complete upon settlement of the trade (not upon execution of the trade). Accordingly, KCD will obtain client consent </w:t>
      </w:r>
      <w:r>
        <w:rPr>
          <w:rFonts w:eastAsia="Arial" w:cs="Arial"/>
          <w:i/>
          <w:iCs/>
          <w:sz w:val="20"/>
          <w:szCs w:val="20"/>
        </w:rPr>
        <w:t>either</w:t>
      </w:r>
      <w:r>
        <w:rPr>
          <w:rFonts w:eastAsia="Arial" w:cs="Arial"/>
          <w:sz w:val="20"/>
          <w:szCs w:val="20"/>
        </w:rPr>
        <w:t xml:space="preserve">: </w:t>
      </w:r>
    </w:p>
    <w:p>
      <w:pPr>
        <w:numPr>
          <w:ilvl w:val="0"/>
          <w:numId w:val="407"/>
        </w:numPr>
        <w:spacing w:before="200"/>
        <w:ind w:left="720" w:hanging="192"/>
        <w:jc w:val="left"/>
        <w:rPr>
          <w:rFonts w:eastAsia="Arial" w:cs="Arial"/>
          <w:sz w:val="20"/>
          <w:szCs w:val="20"/>
        </w:rPr>
      </w:pPr>
      <w:r>
        <w:rPr>
          <w:rFonts w:eastAsia="Arial" w:cs="Arial"/>
          <w:sz w:val="20"/>
          <w:szCs w:val="20"/>
        </w:rPr>
        <w:t xml:space="preserve">prior to the execution of the principal trade; </w:t>
      </w:r>
      <w:r>
        <w:rPr>
          <w:rFonts w:eastAsia="Arial" w:cs="Arial"/>
          <w:i/>
          <w:iCs/>
          <w:sz w:val="20"/>
          <w:szCs w:val="20"/>
        </w:rPr>
        <w:t>or</w:t>
      </w:r>
    </w:p>
    <w:p>
      <w:pPr>
        <w:numPr>
          <w:ilvl w:val="0"/>
          <w:numId w:val="407"/>
        </w:numPr>
        <w:spacing w:after="200"/>
        <w:ind w:left="720" w:hanging="192"/>
        <w:jc w:val="left"/>
        <w:rPr>
          <w:rFonts w:eastAsia="Arial" w:cs="Arial"/>
          <w:sz w:val="20"/>
          <w:szCs w:val="20"/>
        </w:rPr>
      </w:pPr>
      <w:r>
        <w:rPr>
          <w:rFonts w:eastAsia="Arial" w:cs="Arial"/>
          <w:sz w:val="20"/>
          <w:szCs w:val="20"/>
        </w:rPr>
        <w:t>after the execution (but prior to the settlement) of the principal trade.</w:t>
      </w:r>
    </w:p>
    <w:p>
      <w:pPr>
        <w:pStyle w:val="normal0"/>
        <w:spacing w:before="200" w:after="200"/>
        <w:rPr>
          <w:rFonts w:eastAsia="Arial" w:cs="Arial"/>
          <w:sz w:val="20"/>
          <w:szCs w:val="20"/>
        </w:rPr>
      </w:pPr>
      <w:r>
        <w:rPr>
          <w:rFonts w:eastAsia="Arial" w:cs="Arial"/>
          <w:sz w:val="20"/>
          <w:szCs w:val="20"/>
        </w:rPr>
        <w:t xml:space="preserve">KCD may obtain consent after the execution of the transaction, but before the settlement of the transaction (i.e., when the actual exchange of the securities and payment occur), if the following conditions are met: </w:t>
      </w:r>
    </w:p>
    <w:p>
      <w:pPr>
        <w:numPr>
          <w:ilvl w:val="0"/>
          <w:numId w:val="408"/>
        </w:numPr>
        <w:spacing w:before="200"/>
        <w:ind w:left="720" w:hanging="192"/>
        <w:jc w:val="left"/>
        <w:rPr>
          <w:rFonts w:eastAsia="Arial" w:cs="Arial"/>
          <w:sz w:val="20"/>
          <w:szCs w:val="20"/>
        </w:rPr>
      </w:pPr>
      <w:r>
        <w:rPr>
          <w:rFonts w:eastAsia="Arial" w:cs="Arial"/>
          <w:sz w:val="20"/>
          <w:szCs w:val="20"/>
        </w:rPr>
        <w:t>KCD transmits the current quoted price for a proposed transaction to the client;</w:t>
      </w:r>
    </w:p>
    <w:p>
      <w:pPr>
        <w:numPr>
          <w:ilvl w:val="0"/>
          <w:numId w:val="408"/>
        </w:numPr>
        <w:ind w:left="720" w:hanging="192"/>
        <w:jc w:val="left"/>
        <w:rPr>
          <w:rFonts w:eastAsia="Arial" w:cs="Arial"/>
          <w:sz w:val="20"/>
          <w:szCs w:val="20"/>
        </w:rPr>
      </w:pPr>
      <w:r>
        <w:rPr>
          <w:rFonts w:eastAsia="Arial" w:cs="Arial"/>
          <w:sz w:val="20"/>
          <w:szCs w:val="20"/>
        </w:rPr>
        <w:t>KCD discloses the proposed commission charges; and</w:t>
      </w:r>
    </w:p>
    <w:p>
      <w:pPr>
        <w:numPr>
          <w:ilvl w:val="0"/>
          <w:numId w:val="408"/>
        </w:numPr>
        <w:spacing w:after="200"/>
        <w:ind w:left="720" w:hanging="192"/>
        <w:jc w:val="left"/>
        <w:rPr>
          <w:rFonts w:eastAsia="Arial" w:cs="Arial"/>
          <w:sz w:val="20"/>
          <w:szCs w:val="20"/>
        </w:rPr>
      </w:pPr>
      <w:r>
        <w:rPr>
          <w:rFonts w:eastAsia="Arial" w:cs="Arial"/>
          <w:sz w:val="20"/>
          <w:szCs w:val="20"/>
        </w:rPr>
        <w:t>KCD informs the clients that they may opt out of the transaction.</w:t>
      </w:r>
    </w:p>
    <w:p>
      <w:bookmarkEnd w:id="434"/>
      <w:bookmarkStart w:id="435" w:name="Sec_Chp_061016102251640_061016102252578"/>
    </w:p>
    <w:p>
      <w:pPr>
        <w:pStyle w:val="Heading4"/>
      </w:pPr>
      <w:r>
        <w:t>6.3.8.4 Form of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draft the consent in a manner so that the client is informed about the nature of the principal trade. The consent will not be drafted in a manner that gives the client no choice but to consent. Therefore, the consent should disclose: </w:t>
      </w:r>
    </w:p>
    <w:p>
      <w:pPr>
        <w:numPr>
          <w:ilvl w:val="0"/>
          <w:numId w:val="409"/>
        </w:numPr>
        <w:spacing w:before="200"/>
        <w:ind w:left="720" w:hanging="192"/>
        <w:jc w:val="left"/>
        <w:rPr>
          <w:rFonts w:eastAsia="Arial" w:cs="Arial"/>
          <w:sz w:val="20"/>
          <w:szCs w:val="20"/>
        </w:rPr>
      </w:pPr>
      <w:r>
        <w:rPr>
          <w:rFonts w:eastAsia="Arial" w:cs="Arial"/>
          <w:sz w:val="20"/>
          <w:szCs w:val="20"/>
        </w:rPr>
        <w:t xml:space="preserve">the capacity in which KCD proposes to act; </w:t>
      </w:r>
    </w:p>
    <w:p>
      <w:pPr>
        <w:numPr>
          <w:ilvl w:val="0"/>
          <w:numId w:val="409"/>
        </w:numPr>
        <w:ind w:left="720" w:hanging="192"/>
        <w:jc w:val="left"/>
        <w:rPr>
          <w:rFonts w:eastAsia="Arial" w:cs="Arial"/>
          <w:sz w:val="20"/>
          <w:szCs w:val="20"/>
        </w:rPr>
      </w:pPr>
      <w:r>
        <w:rPr>
          <w:rFonts w:eastAsia="Arial" w:cs="Arial"/>
          <w:sz w:val="20"/>
          <w:szCs w:val="20"/>
        </w:rPr>
        <w:t xml:space="preserve">the facts necessary to alert the client to the adviser's potential conflicts of interest; </w:t>
      </w:r>
    </w:p>
    <w:p>
      <w:pPr>
        <w:numPr>
          <w:ilvl w:val="0"/>
          <w:numId w:val="409"/>
        </w:numPr>
        <w:ind w:left="720" w:hanging="192"/>
        <w:jc w:val="left"/>
        <w:rPr>
          <w:rFonts w:eastAsia="Arial" w:cs="Arial"/>
          <w:sz w:val="20"/>
          <w:szCs w:val="20"/>
        </w:rPr>
      </w:pPr>
      <w:r>
        <w:rPr>
          <w:rFonts w:eastAsia="Arial" w:cs="Arial"/>
          <w:sz w:val="20"/>
          <w:szCs w:val="20"/>
        </w:rPr>
        <w:t xml:space="preserve">the cost to KCD of any security that it proposes to sell to the client, or the resale price of any security that KCD proposes to buy from the client; and </w:t>
      </w:r>
    </w:p>
    <w:p>
      <w:pPr>
        <w:numPr>
          <w:ilvl w:val="0"/>
          <w:numId w:val="409"/>
        </w:numPr>
        <w:spacing w:after="200"/>
        <w:ind w:left="720" w:hanging="192"/>
        <w:jc w:val="left"/>
        <w:rPr>
          <w:rFonts w:eastAsia="Arial" w:cs="Arial"/>
          <w:sz w:val="20"/>
          <w:szCs w:val="20"/>
        </w:rPr>
      </w:pPr>
      <w:r>
        <w:rPr>
          <w:rFonts w:eastAsia="Arial" w:cs="Arial"/>
          <w:sz w:val="20"/>
          <w:szCs w:val="20"/>
        </w:rPr>
        <w:t>the best price at which the transaction could be effected by, or for, the client elsewhere if that price is more advantageous to the client than the actual purchase or sale price.</w:t>
      </w:r>
    </w:p>
    <w:p>
      <w:bookmarkEnd w:id="435"/>
      <w:bookmarkStart w:id="436" w:name="Sec_Chp_061016102251640_061016102252593"/>
    </w:p>
    <w:p>
      <w:pPr>
        <w:pStyle w:val="Heading4"/>
      </w:pPr>
      <w:r>
        <w:t>6.3.8.5 Method of Consent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may obtain client's written consent in hard copy, by facsimile or by electronic means. </w:t>
      </w:r>
    </w:p>
    <w:p>
      <w:bookmarkEnd w:id="436"/>
      <w:bookmarkStart w:id="437" w:name="Sec_Chp_061016102251640_6386"/>
    </w:p>
    <w:p>
      <w:pPr>
        <w:pStyle w:val="Heading4"/>
      </w:pPr>
      <w:r>
        <w:t>6.3.8.6 Principal Trade Testing</w:t>
      </w:r>
    </w:p>
    <w:p/>
    <w:p>
      <w:pPr>
        <w:rPr>
          <w:rFonts w:eastAsia="Arial" w:cs="Arial"/>
          <w:sz w:val="16"/>
          <w:szCs w:val="16"/>
        </w:rPr>
      </w:pPr>
    </w:p>
    <w:p>
      <w:pPr>
        <w:spacing w:after="200"/>
        <w:rPr>
          <w:rFonts w:eastAsia="Arial" w:cs="Arial"/>
          <w:sz w:val="20"/>
          <w:szCs w:val="20"/>
        </w:rPr>
      </w:pPr>
      <w:r>
        <w:rPr>
          <w:rFonts w:eastAsia="Arial" w:cs="Arial"/>
          <w:sz w:val="20"/>
          <w:szCs w:val="20"/>
        </w:rPr>
        <w:t>KCD shall periodically test compliance with its principal trade procedures. The CCO from time to time will:</w:t>
      </w:r>
    </w:p>
    <w:p>
      <w:pPr>
        <w:numPr>
          <w:ilvl w:val="0"/>
          <w:numId w:val="410"/>
        </w:numPr>
        <w:spacing w:before="200"/>
        <w:ind w:left="720" w:hanging="267"/>
        <w:jc w:val="left"/>
        <w:rPr>
          <w:rFonts w:eastAsia="Arial" w:cs="Arial"/>
          <w:sz w:val="20"/>
          <w:szCs w:val="20"/>
        </w:rPr>
      </w:pPr>
      <w:r>
        <w:rPr>
          <w:rFonts w:eastAsia="Arial" w:cs="Arial"/>
          <w:sz w:val="20"/>
          <w:szCs w:val="20"/>
        </w:rPr>
        <w:t xml:space="preserve">analyze KCD's books and records to identify undisclosed principal trades, undisclosed conflicts of interest and possible other issues; </w:t>
      </w:r>
    </w:p>
    <w:p>
      <w:pPr>
        <w:numPr>
          <w:ilvl w:val="0"/>
          <w:numId w:val="410"/>
        </w:numPr>
        <w:ind w:left="720" w:hanging="267"/>
        <w:jc w:val="left"/>
        <w:rPr>
          <w:rFonts w:eastAsia="Arial" w:cs="Arial"/>
          <w:sz w:val="20"/>
          <w:szCs w:val="20"/>
        </w:rPr>
      </w:pPr>
      <w:r>
        <w:rPr>
          <w:rFonts w:eastAsia="Arial" w:cs="Arial"/>
          <w:sz w:val="20"/>
          <w:szCs w:val="20"/>
        </w:rPr>
        <w:t>confirm there is documentation or information regarding the trade that among other things shows the determination that a fair and equitable price was used and best execution was achieved;</w:t>
      </w:r>
    </w:p>
    <w:p>
      <w:pPr>
        <w:numPr>
          <w:ilvl w:val="0"/>
          <w:numId w:val="410"/>
        </w:numPr>
        <w:ind w:left="720" w:hanging="267"/>
        <w:jc w:val="left"/>
        <w:rPr>
          <w:rFonts w:eastAsia="Arial" w:cs="Arial"/>
          <w:sz w:val="20"/>
          <w:szCs w:val="20"/>
        </w:rPr>
      </w:pPr>
      <w:r>
        <w:rPr>
          <w:rFonts w:eastAsia="Arial" w:cs="Arial"/>
          <w:sz w:val="20"/>
          <w:szCs w:val="20"/>
        </w:rPr>
        <w:t>ensure that full and fair disclosure regarding the trades was made to clients, and/or that KCD sought and obtained consent from clients; and</w:t>
      </w:r>
    </w:p>
    <w:p>
      <w:pPr>
        <w:numPr>
          <w:ilvl w:val="0"/>
          <w:numId w:val="410"/>
        </w:numPr>
        <w:spacing w:after="200"/>
        <w:ind w:left="720" w:hanging="267"/>
        <w:jc w:val="left"/>
        <w:rPr>
          <w:rFonts w:eastAsia="Arial" w:cs="Arial"/>
          <w:sz w:val="20"/>
          <w:szCs w:val="20"/>
        </w:rPr>
      </w:pPr>
      <w:r>
        <w:rPr>
          <w:rFonts w:eastAsia="Arial" w:cs="Arial"/>
          <w:sz w:val="20"/>
          <w:szCs w:val="20"/>
        </w:rPr>
        <w:t>check to see that no impermissible trades or trades involving prohibited accounts (</w:t>
      </w:r>
      <w:r>
        <w:rPr>
          <w:rFonts w:eastAsia="Arial" w:cs="Arial"/>
          <w:i/>
          <w:iCs/>
          <w:sz w:val="20"/>
          <w:szCs w:val="20"/>
        </w:rPr>
        <w:t>e.g.,</w:t>
      </w:r>
      <w:r>
        <w:rPr>
          <w:rFonts w:eastAsia="Arial" w:cs="Arial"/>
          <w:sz w:val="20"/>
          <w:szCs w:val="20"/>
        </w:rPr>
        <w:t xml:space="preserve"> ERISA accounts) occurred.</w:t>
      </w:r>
    </w:p>
    <w:p>
      <w:bookmarkEnd w:id="437"/>
      <w:bookmarkStart w:id="438" w:name="Sec_Chp_061016102251640_061016102252609"/>
    </w:p>
    <w:p>
      <w:pPr>
        <w:pStyle w:val="Heading4"/>
      </w:pPr>
      <w:r>
        <w:t>6.3.8.7 Acting as a Broker-Dealer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 any trade of securities with the client in which KCD acts as a principal and in the capacity as a broker-dealer, KCD will comply with Section 206(3) of the Advisers Act when acting in a principal capacity in transactions with certain clients, including being subject to the transaction-by-transaction written disclosure and consent requirements of the Section. If KCD desires to have the relief provided in the former Rule, it can file an application for an exemptive order from the Advisers Act for such relief.</w:t>
      </w:r>
    </w:p>
    <w:p>
      <w:bookmarkEnd w:id="438"/>
      <w:bookmarkStart w:id="439" w:name="Sec_Chp_061016102251640_061016102252625"/>
    </w:p>
    <w:p>
      <w:pPr>
        <w:pStyle w:val="Heading4"/>
      </w:pPr>
      <w:r>
        <w:t>6.3.8.8 Wrap Fee Program</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For any principal trade of securities with a wrap fee client in which KCD acts as a principal and in the capacity as a broker-dealer in connection with a wrap fee program, the above conditions do not apply to that arrangement, provided: </w:t>
      </w:r>
    </w:p>
    <w:p>
      <w:pPr>
        <w:numPr>
          <w:ilvl w:val="0"/>
          <w:numId w:val="411"/>
        </w:numPr>
        <w:spacing w:before="200"/>
        <w:ind w:left="720" w:hanging="192"/>
        <w:jc w:val="left"/>
        <w:rPr>
          <w:rFonts w:eastAsia="Arial" w:cs="Arial"/>
          <w:sz w:val="20"/>
          <w:szCs w:val="20"/>
        </w:rPr>
      </w:pPr>
      <w:r>
        <w:rPr>
          <w:rFonts w:eastAsia="Arial" w:cs="Arial"/>
          <w:sz w:val="20"/>
          <w:szCs w:val="20"/>
        </w:rPr>
        <w:t xml:space="preserve">the trade is directed to KCD by a portfolio manager with investment management authority over the wrap fee client's account; </w:t>
      </w:r>
    </w:p>
    <w:p>
      <w:pPr>
        <w:numPr>
          <w:ilvl w:val="0"/>
          <w:numId w:val="411"/>
        </w:numPr>
        <w:ind w:left="720" w:hanging="192"/>
        <w:jc w:val="left"/>
        <w:rPr>
          <w:rFonts w:eastAsia="Arial" w:cs="Arial"/>
          <w:sz w:val="20"/>
          <w:szCs w:val="20"/>
        </w:rPr>
      </w:pPr>
      <w:r>
        <w:rPr>
          <w:rFonts w:eastAsia="Arial" w:cs="Arial"/>
          <w:sz w:val="20"/>
          <w:szCs w:val="20"/>
        </w:rPr>
        <w:t xml:space="preserve">KCD does not recommend, select or play any role in that portfolio manager's selection of particular securities to be purchased for or sold on behalf of the wrap fee client; and </w:t>
      </w:r>
    </w:p>
    <w:p>
      <w:pPr>
        <w:numPr>
          <w:ilvl w:val="0"/>
          <w:numId w:val="411"/>
        </w:numPr>
        <w:spacing w:after="200"/>
        <w:ind w:left="720" w:hanging="192"/>
        <w:jc w:val="left"/>
        <w:rPr>
          <w:rFonts w:eastAsia="Arial" w:cs="Arial"/>
          <w:sz w:val="20"/>
          <w:szCs w:val="20"/>
        </w:rPr>
      </w:pPr>
      <w:r>
        <w:rPr>
          <w:rFonts w:eastAsia="Arial" w:cs="Arial"/>
          <w:sz w:val="20"/>
          <w:szCs w:val="20"/>
        </w:rPr>
        <w:t xml:space="preserve">KCD complies with the conditions set forth by the SEC in </w:t>
      </w:r>
      <w:r>
        <w:rPr>
          <w:rFonts w:eastAsia="Arial" w:cs="Arial"/>
          <w:i/>
          <w:iCs/>
          <w:sz w:val="20"/>
          <w:szCs w:val="20"/>
        </w:rPr>
        <w:t>Morgan Lewis &amp; Bockius, SEC No-Action Letter (pub. avail. Apr. 16, 1997)</w:t>
      </w:r>
      <w:r>
        <w:rPr>
          <w:rFonts w:eastAsia="Arial" w:cs="Arial"/>
          <w:sz w:val="20"/>
          <w:szCs w:val="20"/>
        </w:rPr>
        <w:t xml:space="preserve">. </w:t>
      </w:r>
    </w:p>
    <w:p>
      <w:pPr>
        <w:pStyle w:val="normal0"/>
        <w:spacing w:before="200" w:after="200"/>
        <w:rPr>
          <w:rFonts w:eastAsia="Arial" w:cs="Arial"/>
          <w:sz w:val="20"/>
          <w:szCs w:val="20"/>
        </w:rPr>
      </w:pPr>
      <w:r>
        <w:rPr>
          <w:rFonts w:eastAsia="Arial" w:cs="Arial"/>
          <w:sz w:val="20"/>
          <w:szCs w:val="20"/>
        </w:rPr>
        <w:t xml:space="preserve">If KCD indirectly participates in the selection of specific securities on behalf of such wrap fee program client because KCD provides certain services and products to a portfolio manager with investment management responsibility over the wrap fee client's account, the above conditions do not apply, provided that the services or products provided by KCD: </w:t>
      </w:r>
    </w:p>
    <w:p>
      <w:pPr>
        <w:numPr>
          <w:ilvl w:val="0"/>
          <w:numId w:val="412"/>
        </w:numPr>
        <w:spacing w:before="200"/>
        <w:ind w:left="720" w:hanging="192"/>
        <w:jc w:val="left"/>
        <w:rPr>
          <w:rFonts w:eastAsia="Arial" w:cs="Arial"/>
          <w:sz w:val="20"/>
          <w:szCs w:val="20"/>
        </w:rPr>
      </w:pPr>
      <w:r>
        <w:rPr>
          <w:rFonts w:eastAsia="Arial" w:cs="Arial"/>
          <w:sz w:val="20"/>
          <w:szCs w:val="20"/>
        </w:rPr>
        <w:t xml:space="preserve">are distributed in the ordinary course of KCD's business as a broker-dealer; </w:t>
      </w:r>
    </w:p>
    <w:p>
      <w:pPr>
        <w:numPr>
          <w:ilvl w:val="0"/>
          <w:numId w:val="412"/>
        </w:numPr>
        <w:ind w:left="720" w:hanging="192"/>
        <w:jc w:val="left"/>
        <w:rPr>
          <w:rFonts w:eastAsia="Arial" w:cs="Arial"/>
          <w:sz w:val="20"/>
          <w:szCs w:val="20"/>
        </w:rPr>
      </w:pPr>
      <w:r>
        <w:rPr>
          <w:rFonts w:eastAsia="Arial" w:cs="Arial"/>
          <w:sz w:val="20"/>
          <w:szCs w:val="20"/>
        </w:rPr>
        <w:t>are not directed primarily to the wrap fee program portfolio managers;</w:t>
      </w:r>
    </w:p>
    <w:p>
      <w:pPr>
        <w:numPr>
          <w:ilvl w:val="0"/>
          <w:numId w:val="412"/>
        </w:numPr>
        <w:ind w:left="720" w:hanging="192"/>
        <w:jc w:val="left"/>
        <w:rPr>
          <w:rFonts w:eastAsia="Arial" w:cs="Arial"/>
          <w:sz w:val="20"/>
          <w:szCs w:val="20"/>
        </w:rPr>
      </w:pPr>
      <w:r>
        <w:rPr>
          <w:rFonts w:eastAsia="Arial" w:cs="Arial"/>
          <w:sz w:val="20"/>
          <w:szCs w:val="20"/>
        </w:rPr>
        <w:t>do not give greater emphasis to recommendations, information or an opinion about securities held in KCD's inventory as compared to securities not held in such inventory; and</w:t>
      </w:r>
    </w:p>
    <w:p>
      <w:pPr>
        <w:numPr>
          <w:ilvl w:val="0"/>
          <w:numId w:val="412"/>
        </w:numPr>
        <w:spacing w:after="200"/>
        <w:ind w:left="720" w:hanging="192"/>
        <w:jc w:val="left"/>
        <w:rPr>
          <w:rFonts w:eastAsia="Arial" w:cs="Arial"/>
          <w:sz w:val="20"/>
          <w:szCs w:val="20"/>
        </w:rPr>
      </w:pPr>
      <w:r>
        <w:rPr>
          <w:rFonts w:eastAsia="Arial" w:cs="Arial"/>
          <w:sz w:val="20"/>
          <w:szCs w:val="20"/>
        </w:rPr>
        <w:t xml:space="preserve">KCD complies with the conditions set forth by the SEC in </w:t>
      </w:r>
      <w:r>
        <w:rPr>
          <w:rFonts w:eastAsia="Arial" w:cs="Arial"/>
          <w:i/>
          <w:iCs/>
          <w:sz w:val="20"/>
          <w:szCs w:val="20"/>
        </w:rPr>
        <w:t>Morgan Lewis &amp; Bockius, SEC No-Action Letter (pub. avail. Apr. 16, 1997)</w:t>
      </w:r>
      <w:r>
        <w:rPr>
          <w:rFonts w:eastAsia="Arial" w:cs="Arial"/>
          <w:sz w:val="20"/>
          <w:szCs w:val="20"/>
        </w:rPr>
        <w:t xml:space="preserve">. </w:t>
      </w:r>
    </w:p>
    <w:p>
      <w:bookmarkEnd w:id="439"/>
      <w:bookmarkStart w:id="440" w:name="Sec_Chp_061016102251640_061016102252640"/>
    </w:p>
    <w:p>
      <w:pPr>
        <w:pStyle w:val="Heading3"/>
      </w:pPr>
      <w:bookmarkStart w:id="441" w:name="_Toc256000107"/>
      <w:r>
        <w:t>6.3.9 Aggregation of Securities Trades</w:t>
      </w:r>
      <w:bookmarkEnd w:id="441"/>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These Trade Aggregation Procedures govern the parallel investments of client accounts in securities of the same issuer. The aggregation is designed to promote fairness among the client accounts managed by KCD and to conform to applicable laws and regulatory principles. </w:t>
      </w:r>
      <w:r>
        <w:rPr>
          <w:rFonts w:eastAsia="Arial" w:cs="Arial"/>
          <w:i/>
          <w:iCs/>
          <w:sz w:val="20"/>
          <w:szCs w:val="20"/>
        </w:rPr>
        <w:t>See SMC Capital Inc., SEC No-Action Letter (pub. avail. Sept. 5. 1995).</w:t>
      </w:r>
    </w:p>
    <w:p>
      <w:bookmarkEnd w:id="440"/>
      <w:bookmarkStart w:id="442" w:name="Sec_Chp_061016102251640_061016102252656"/>
    </w:p>
    <w:p>
      <w:pPr>
        <w:pStyle w:val="Heading4"/>
      </w:pPr>
      <w:r>
        <w:t>6.3.9.1 Order Aggregation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Whenever feasible, trade orders will be aggregated when Adviser Representatives desire to purchase or sell the same security for multiple clients.</w:t>
      </w:r>
    </w:p>
    <w:p>
      <w:pPr>
        <w:numPr>
          <w:ilvl w:val="0"/>
          <w:numId w:val="413"/>
        </w:numPr>
        <w:spacing w:before="200"/>
        <w:ind w:left="720" w:hanging="192"/>
        <w:jc w:val="left"/>
        <w:rPr>
          <w:rFonts w:eastAsia="Arial" w:cs="Arial"/>
          <w:sz w:val="20"/>
          <w:szCs w:val="20"/>
        </w:rPr>
      </w:pPr>
      <w:r>
        <w:rPr>
          <w:rFonts w:eastAsia="Arial" w:cs="Arial"/>
          <w:sz w:val="20"/>
          <w:szCs w:val="20"/>
        </w:rPr>
        <w:t xml:space="preserve">The Registered Investment Advisor or a designee will cause KCD to obtain consent from a client before aggregating his or her trades with those of other clients. Such consent shall be obtained in the Investment Advisory Contract or in a separately written agreement. </w:t>
      </w:r>
    </w:p>
    <w:p>
      <w:pPr>
        <w:numPr>
          <w:ilvl w:val="0"/>
          <w:numId w:val="413"/>
        </w:numPr>
        <w:ind w:left="720" w:hanging="192"/>
        <w:jc w:val="left"/>
        <w:rPr>
          <w:rFonts w:eastAsia="Arial" w:cs="Arial"/>
          <w:sz w:val="20"/>
          <w:szCs w:val="20"/>
        </w:rPr>
      </w:pPr>
      <w:r>
        <w:rPr>
          <w:rFonts w:eastAsia="Arial" w:cs="Arial"/>
          <w:sz w:val="20"/>
          <w:szCs w:val="20"/>
        </w:rPr>
        <w:t>All Adviser Representatives who desire their client trades to be aggregated will communicate such desire to the Registered Investment Advisor. If two or more Adviser Representatives submit Trade Tickets for the same security unbeknownst to one another, the Registered Investment Advisor will inform the Adviser Representatives of the situation. If the Registered Investment Advisor determines that such orders should be aggregated, he or she will notify the Adviser Representatives that placed such orders, and the Trade Tickets will be revised to reflect the aggregation. Prior to such aggregation, orders will be pre-allocated among specific clients prior to execution and such pre-allocation will be set forth on the Trade Ticket.</w:t>
      </w:r>
    </w:p>
    <w:p>
      <w:pPr>
        <w:numPr>
          <w:ilvl w:val="0"/>
          <w:numId w:val="413"/>
        </w:numPr>
        <w:ind w:left="720" w:hanging="192"/>
        <w:jc w:val="left"/>
        <w:rPr>
          <w:rFonts w:eastAsia="Arial" w:cs="Arial"/>
          <w:sz w:val="20"/>
          <w:szCs w:val="20"/>
        </w:rPr>
      </w:pPr>
      <w:r>
        <w:rPr>
          <w:rFonts w:eastAsia="Arial" w:cs="Arial"/>
          <w:sz w:val="20"/>
          <w:szCs w:val="20"/>
        </w:rPr>
        <w:t xml:space="preserve">Orders of two or more clients may be aggregated only if the Registered Investment Advisor determines, on an individual client basis that the securities order is: </w:t>
      </w:r>
    </w:p>
    <w:p>
      <w:pPr>
        <w:numPr>
          <w:ilvl w:val="1"/>
          <w:numId w:val="413"/>
        </w:numPr>
        <w:ind w:left="1440" w:hanging="220"/>
        <w:jc w:val="left"/>
        <w:rPr>
          <w:rFonts w:eastAsia="Arial" w:cs="Arial"/>
          <w:sz w:val="20"/>
          <w:szCs w:val="20"/>
        </w:rPr>
      </w:pPr>
      <w:r>
        <w:rPr>
          <w:rFonts w:eastAsia="Arial" w:cs="Arial"/>
          <w:sz w:val="20"/>
          <w:szCs w:val="20"/>
        </w:rPr>
        <w:t xml:space="preserve">in the best interests of each client participating in the order; </w:t>
      </w:r>
    </w:p>
    <w:p>
      <w:pPr>
        <w:numPr>
          <w:ilvl w:val="1"/>
          <w:numId w:val="413"/>
        </w:numPr>
        <w:ind w:left="1440" w:hanging="220"/>
        <w:jc w:val="left"/>
        <w:rPr>
          <w:rFonts w:eastAsia="Arial" w:cs="Arial"/>
          <w:sz w:val="20"/>
          <w:szCs w:val="20"/>
        </w:rPr>
      </w:pPr>
      <w:r>
        <w:rPr>
          <w:rFonts w:eastAsia="Arial" w:cs="Arial"/>
          <w:sz w:val="20"/>
          <w:szCs w:val="20"/>
        </w:rPr>
        <w:t xml:space="preserve">consistent with KCD's duty to obtain best execution; and </w:t>
      </w:r>
    </w:p>
    <w:p>
      <w:pPr>
        <w:numPr>
          <w:ilvl w:val="1"/>
          <w:numId w:val="413"/>
        </w:numPr>
        <w:ind w:left="1440" w:hanging="220"/>
        <w:jc w:val="left"/>
        <w:rPr>
          <w:rFonts w:eastAsia="Arial" w:cs="Arial"/>
          <w:sz w:val="20"/>
          <w:szCs w:val="20"/>
        </w:rPr>
      </w:pPr>
      <w:r>
        <w:rPr>
          <w:rFonts w:eastAsia="Arial" w:cs="Arial"/>
          <w:sz w:val="20"/>
          <w:szCs w:val="20"/>
        </w:rPr>
        <w:t xml:space="preserve">consistent with the terms of the Investment Advisory Contract of each participating client. </w:t>
      </w:r>
    </w:p>
    <w:p>
      <w:pPr>
        <w:numPr>
          <w:ilvl w:val="0"/>
          <w:numId w:val="413"/>
        </w:numPr>
        <w:ind w:left="720" w:hanging="192"/>
        <w:jc w:val="left"/>
        <w:rPr>
          <w:rFonts w:eastAsia="Arial" w:cs="Arial"/>
          <w:sz w:val="20"/>
          <w:szCs w:val="20"/>
        </w:rPr>
      </w:pPr>
      <w:r>
        <w:rPr>
          <w:rFonts w:eastAsia="Arial" w:cs="Arial"/>
          <w:sz w:val="20"/>
          <w:szCs w:val="20"/>
        </w:rPr>
        <w:t xml:space="preserve">Any investment by one client shall not be dependent or contingent upon the willingness or ability of another client to participate in such order. </w:t>
      </w:r>
    </w:p>
    <w:p>
      <w:pPr>
        <w:numPr>
          <w:ilvl w:val="0"/>
          <w:numId w:val="413"/>
        </w:numPr>
        <w:ind w:left="720" w:hanging="192"/>
        <w:jc w:val="left"/>
        <w:rPr>
          <w:rFonts w:eastAsia="Arial" w:cs="Arial"/>
          <w:sz w:val="20"/>
          <w:szCs w:val="20"/>
        </w:rPr>
      </w:pPr>
      <w:r>
        <w:rPr>
          <w:rFonts w:eastAsia="Arial" w:cs="Arial"/>
          <w:sz w:val="20"/>
          <w:szCs w:val="20"/>
        </w:rPr>
        <w:t xml:space="preserve">Separate documentation relating to the order will be generated and maintained for each client participating in the aggregated order. </w:t>
      </w:r>
    </w:p>
    <w:p>
      <w:pPr>
        <w:numPr>
          <w:ilvl w:val="0"/>
          <w:numId w:val="413"/>
        </w:numPr>
        <w:ind w:left="720" w:hanging="192"/>
        <w:jc w:val="left"/>
        <w:rPr>
          <w:rFonts w:eastAsia="Arial" w:cs="Arial"/>
          <w:sz w:val="20"/>
          <w:szCs w:val="20"/>
        </w:rPr>
      </w:pPr>
      <w:r>
        <w:rPr>
          <w:rFonts w:eastAsia="Arial" w:cs="Arial"/>
          <w:sz w:val="20"/>
          <w:szCs w:val="20"/>
        </w:rPr>
        <w:t>After the receipt of the Trade Tickets, the Registered Investment Advisor will take the Trade Tickets and seek to place the aggregated order with the broker-dealer that offers the most favorable terms under the prevailing market conditions, consistent with the procedures set forth in the "Brokerage" chapter of this Compliance Manual.</w:t>
      </w:r>
    </w:p>
    <w:p>
      <w:pPr>
        <w:numPr>
          <w:ilvl w:val="0"/>
          <w:numId w:val="413"/>
        </w:numPr>
        <w:ind w:left="720" w:hanging="192"/>
        <w:jc w:val="left"/>
        <w:rPr>
          <w:rFonts w:eastAsia="Arial" w:cs="Arial"/>
          <w:sz w:val="20"/>
          <w:szCs w:val="20"/>
        </w:rPr>
      </w:pPr>
      <w:r>
        <w:rPr>
          <w:rFonts w:eastAsia="Arial" w:cs="Arial"/>
          <w:sz w:val="20"/>
          <w:szCs w:val="20"/>
        </w:rPr>
        <w:t xml:space="preserve">The terms negotiated for the aggregated order will apply equally to each participating client. </w:t>
      </w:r>
    </w:p>
    <w:p>
      <w:pPr>
        <w:numPr>
          <w:ilvl w:val="0"/>
          <w:numId w:val="413"/>
        </w:numPr>
        <w:ind w:left="720" w:hanging="192"/>
        <w:jc w:val="left"/>
        <w:rPr>
          <w:rFonts w:eastAsia="Arial" w:cs="Arial"/>
          <w:sz w:val="20"/>
          <w:szCs w:val="20"/>
        </w:rPr>
      </w:pPr>
      <w:r>
        <w:rPr>
          <w:rFonts w:eastAsia="Arial" w:cs="Arial"/>
          <w:sz w:val="20"/>
          <w:szCs w:val="20"/>
        </w:rPr>
        <w:t xml:space="preserve">The price of the securities purchased or sold in an aggregated order will be at the average share price for all transactions of the clients in that security on a given day, with all transaction costs shared on a pro rata basis. </w:t>
      </w:r>
    </w:p>
    <w:p>
      <w:pPr>
        <w:numPr>
          <w:ilvl w:val="0"/>
          <w:numId w:val="413"/>
        </w:numPr>
        <w:ind w:left="720" w:hanging="192"/>
        <w:jc w:val="left"/>
        <w:rPr>
          <w:rFonts w:eastAsia="Arial" w:cs="Arial"/>
          <w:sz w:val="20"/>
          <w:szCs w:val="20"/>
        </w:rPr>
      </w:pPr>
      <w:r>
        <w:rPr>
          <w:rFonts w:eastAsia="Arial" w:cs="Arial"/>
          <w:sz w:val="20"/>
          <w:szCs w:val="20"/>
        </w:rPr>
        <w:t xml:space="preserve">KCD will avoid holding cash and securities involved in an aggregated trade longer than necessary. </w:t>
      </w:r>
    </w:p>
    <w:p>
      <w:pPr>
        <w:numPr>
          <w:ilvl w:val="0"/>
          <w:numId w:val="413"/>
        </w:numPr>
        <w:ind w:left="720" w:hanging="192"/>
        <w:jc w:val="left"/>
        <w:rPr>
          <w:rFonts w:eastAsia="Arial" w:cs="Arial"/>
          <w:sz w:val="20"/>
          <w:szCs w:val="20"/>
        </w:rPr>
      </w:pPr>
      <w:r>
        <w:rPr>
          <w:rFonts w:eastAsia="Arial" w:cs="Arial"/>
          <w:sz w:val="20"/>
          <w:szCs w:val="20"/>
        </w:rPr>
        <w:t xml:space="preserve">KCD will avoid receiving additional compensation as a result of the aggregation. </w:t>
      </w:r>
    </w:p>
    <w:p>
      <w:pPr>
        <w:numPr>
          <w:ilvl w:val="0"/>
          <w:numId w:val="413"/>
        </w:numPr>
        <w:spacing w:after="200"/>
        <w:ind w:left="720" w:hanging="192"/>
        <w:jc w:val="left"/>
        <w:rPr>
          <w:rFonts w:eastAsia="Arial" w:cs="Arial"/>
          <w:sz w:val="20"/>
          <w:szCs w:val="20"/>
        </w:rPr>
      </w:pPr>
      <w:r>
        <w:rPr>
          <w:rFonts w:eastAsia="Arial" w:cs="Arial"/>
          <w:sz w:val="20"/>
          <w:szCs w:val="20"/>
        </w:rPr>
        <w:t>The allocation of securities obtained in an aggregated securities order will be made in accordance with KCD's Trade Allocation Procedures.</w:t>
      </w:r>
    </w:p>
    <w:p>
      <w:bookmarkEnd w:id="442"/>
      <w:bookmarkStart w:id="443" w:name="Sec_Chp_061016102251640_061016102252671"/>
    </w:p>
    <w:p>
      <w:pPr>
        <w:pStyle w:val="Heading4"/>
      </w:pPr>
      <w:r>
        <w:t xml:space="preserve">6.3.9.2 Review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Registered Investment Advisor will review periodically all aggregated trades to ensure that KCD's policies and procedures are being followed and to verify that no client account is systematically being disadvantaged by being included in the aggregated trades. </w:t>
      </w:r>
    </w:p>
    <w:p>
      <w:bookmarkEnd w:id="443"/>
      <w:bookmarkStart w:id="444" w:name="Sec_Chp_061016102251640_061016102252687"/>
    </w:p>
    <w:p>
      <w:pPr>
        <w:pStyle w:val="Heading4"/>
      </w:pPr>
      <w:r>
        <w:t xml:space="preserve">6.3.9.3 Aggregating of Client Trades with Employee Trades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 client trade will be aggregated with an employee trade or trade by an affiliated account only if the following conditions are met: </w:t>
      </w:r>
    </w:p>
    <w:p>
      <w:pPr>
        <w:numPr>
          <w:ilvl w:val="0"/>
          <w:numId w:val="414"/>
        </w:numPr>
        <w:spacing w:before="200"/>
        <w:ind w:left="720" w:hanging="267"/>
        <w:jc w:val="left"/>
        <w:rPr>
          <w:rFonts w:eastAsia="Arial" w:cs="Arial"/>
          <w:sz w:val="20"/>
          <w:szCs w:val="20"/>
        </w:rPr>
      </w:pPr>
      <w:r>
        <w:rPr>
          <w:rFonts w:eastAsia="Arial" w:cs="Arial"/>
          <w:sz w:val="20"/>
          <w:szCs w:val="20"/>
        </w:rPr>
        <w:t xml:space="preserve">Client trades are treated equally with employee and affiliated account trades; </w:t>
      </w:r>
    </w:p>
    <w:p>
      <w:pPr>
        <w:numPr>
          <w:ilvl w:val="0"/>
          <w:numId w:val="414"/>
        </w:numPr>
        <w:ind w:left="720" w:hanging="267"/>
        <w:jc w:val="left"/>
        <w:rPr>
          <w:rFonts w:eastAsia="Arial" w:cs="Arial"/>
          <w:sz w:val="20"/>
          <w:szCs w:val="20"/>
        </w:rPr>
      </w:pPr>
      <w:r>
        <w:rPr>
          <w:rFonts w:eastAsia="Arial" w:cs="Arial"/>
          <w:sz w:val="20"/>
          <w:szCs w:val="20"/>
        </w:rPr>
        <w:t xml:space="preserve">Each affiliated and non-affiliated participant in the trade will receive average execution and average commissions; </w:t>
      </w:r>
    </w:p>
    <w:p>
      <w:pPr>
        <w:numPr>
          <w:ilvl w:val="0"/>
          <w:numId w:val="414"/>
        </w:numPr>
        <w:ind w:left="720" w:hanging="267"/>
        <w:jc w:val="left"/>
        <w:rPr>
          <w:rFonts w:eastAsia="Arial" w:cs="Arial"/>
          <w:sz w:val="20"/>
          <w:szCs w:val="20"/>
        </w:rPr>
      </w:pPr>
      <w:r>
        <w:rPr>
          <w:rFonts w:eastAsia="Arial" w:cs="Arial"/>
          <w:sz w:val="20"/>
          <w:szCs w:val="20"/>
        </w:rPr>
        <w:t xml:space="preserve">Securities purchased or sold will be allocated pro rata; and </w:t>
      </w:r>
    </w:p>
    <w:p>
      <w:pPr>
        <w:numPr>
          <w:ilvl w:val="0"/>
          <w:numId w:val="414"/>
        </w:numPr>
        <w:spacing w:after="200"/>
        <w:ind w:left="720" w:hanging="267"/>
        <w:jc w:val="left"/>
        <w:rPr>
          <w:rFonts w:eastAsia="Arial" w:cs="Arial"/>
          <w:sz w:val="20"/>
          <w:szCs w:val="20"/>
        </w:rPr>
      </w:pPr>
      <w:r>
        <w:rPr>
          <w:rFonts w:eastAsia="Arial" w:cs="Arial"/>
          <w:sz w:val="20"/>
          <w:szCs w:val="20"/>
        </w:rPr>
        <w:t xml:space="preserve">The practice of aggregating client trades with those of KCD employees and affiliated accounts will be fully disclosed in the Form ADV of KCD and each client's Investment Advisory Contract. </w:t>
      </w:r>
    </w:p>
    <w:p>
      <w:bookmarkEnd w:id="444"/>
      <w:bookmarkStart w:id="445" w:name="Sec_Chp_061016102251640_061016102252703"/>
    </w:p>
    <w:p>
      <w:pPr>
        <w:pStyle w:val="Heading4"/>
      </w:pPr>
      <w:r>
        <w:t>6.3.9.4 ERISA Block Trades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aggregate a trade ("Block Trade") by a plan and a Party In Interest (as defined herein), provided the following conditions are met:</w:t>
      </w:r>
    </w:p>
    <w:p>
      <w:pPr>
        <w:numPr>
          <w:ilvl w:val="0"/>
          <w:numId w:val="415"/>
        </w:numPr>
        <w:spacing w:before="200"/>
        <w:ind w:left="720" w:hanging="267"/>
        <w:jc w:val="left"/>
        <w:rPr>
          <w:rFonts w:eastAsia="Arial" w:cs="Arial"/>
          <w:sz w:val="20"/>
          <w:szCs w:val="20"/>
        </w:rPr>
      </w:pPr>
      <w:r>
        <w:rPr>
          <w:rFonts w:eastAsia="Arial" w:cs="Arial"/>
          <w:sz w:val="20"/>
          <w:szCs w:val="20"/>
        </w:rPr>
        <w:t xml:space="preserve">at the time of the Block Trade, the interest of the plan (together with the interests of any other plans maintained by the same plan sponsor), does not exceed 10 percent of the aggregate size of the Block Trade, </w:t>
      </w:r>
    </w:p>
    <w:p>
      <w:pPr>
        <w:numPr>
          <w:ilvl w:val="0"/>
          <w:numId w:val="415"/>
        </w:numPr>
        <w:ind w:left="720" w:hanging="267"/>
        <w:jc w:val="left"/>
        <w:rPr>
          <w:rFonts w:eastAsia="Arial" w:cs="Arial"/>
          <w:sz w:val="20"/>
          <w:szCs w:val="20"/>
        </w:rPr>
      </w:pPr>
      <w:r>
        <w:rPr>
          <w:rFonts w:eastAsia="Arial" w:cs="Arial"/>
          <w:sz w:val="20"/>
          <w:szCs w:val="20"/>
        </w:rPr>
        <w:t xml:space="preserve">the terms of the Block Trade, including the price, are at least as favorable to the plan as an arm's length transaction, </w:t>
      </w:r>
    </w:p>
    <w:p>
      <w:pPr>
        <w:numPr>
          <w:ilvl w:val="0"/>
          <w:numId w:val="415"/>
        </w:numPr>
        <w:ind w:left="720" w:hanging="267"/>
        <w:jc w:val="left"/>
        <w:rPr>
          <w:rFonts w:eastAsia="Arial" w:cs="Arial"/>
          <w:sz w:val="20"/>
          <w:szCs w:val="20"/>
        </w:rPr>
      </w:pPr>
      <w:r>
        <w:rPr>
          <w:rFonts w:eastAsia="Arial" w:cs="Arial"/>
          <w:sz w:val="20"/>
          <w:szCs w:val="20"/>
        </w:rPr>
        <w:t xml:space="preserve">the compensation associated with the purchase and sale is not greater than the compensation associated with an arm's length transaction with an unrelated party, and </w:t>
      </w:r>
    </w:p>
    <w:p>
      <w:pPr>
        <w:numPr>
          <w:ilvl w:val="0"/>
          <w:numId w:val="415"/>
        </w:numPr>
        <w:spacing w:after="200"/>
        <w:ind w:left="720" w:hanging="267"/>
        <w:jc w:val="left"/>
        <w:rPr>
          <w:rFonts w:eastAsia="Arial" w:cs="Arial"/>
          <w:sz w:val="20"/>
          <w:szCs w:val="20"/>
        </w:rPr>
      </w:pPr>
      <w:r>
        <w:rPr>
          <w:rFonts w:eastAsia="Arial" w:cs="Arial"/>
          <w:sz w:val="20"/>
          <w:szCs w:val="20"/>
        </w:rPr>
        <w:t>the Block Trade is of at least 10,000 shares or with a market value of at least $200,000.</w:t>
      </w:r>
    </w:p>
    <w:p>
      <w:bookmarkEnd w:id="445"/>
      <w:bookmarkStart w:id="446" w:name="Sec_Chp_061016102251640_061016102252718"/>
    </w:p>
    <w:p>
      <w:pPr>
        <w:pStyle w:val="Heading3"/>
      </w:pPr>
      <w:bookmarkStart w:id="447" w:name="_Toc256000108"/>
      <w:r>
        <w:t>6.3.10 Trade Allocation</w:t>
      </w:r>
      <w:bookmarkEnd w:id="447"/>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Trade Allocation Procedures govern the allocation of aggregated trades in securities placed on behalf of multiple clients. The Trade Allocation Procedures are designed to promote fairness among the client accounts managed by KCD and to conform to applicable laws and regulatory principles. Trade allocation is particularly important if the security being allocated is unusually attractive (such as an Initial Public Offering (IPO)).</w:t>
      </w:r>
    </w:p>
    <w:p>
      <w:bookmarkEnd w:id="446"/>
      <w:bookmarkStart w:id="448" w:name="Sec_Chp_061016102251640_0610161022527181"/>
    </w:p>
    <w:p>
      <w:pPr>
        <w:pStyle w:val="Heading4"/>
      </w:pPr>
      <w:r>
        <w:t>6.3.10.1 General Principal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owes a fiduciary duty to each client that it advises. These Trade Allocation Procedures are designed to ensure that the principals of KCD will not favor one client over other clients through the allocation of investment opportunities among them.</w:t>
      </w:r>
    </w:p>
    <w:p>
      <w:pPr>
        <w:pStyle w:val="normal0"/>
        <w:spacing w:before="200" w:after="200"/>
        <w:rPr>
          <w:rFonts w:eastAsia="Arial" w:cs="Arial"/>
          <w:sz w:val="20"/>
          <w:szCs w:val="20"/>
        </w:rPr>
      </w:pPr>
      <w:r>
        <w:rPr>
          <w:rFonts w:eastAsia="Arial" w:cs="Arial"/>
          <w:sz w:val="20"/>
          <w:szCs w:val="20"/>
        </w:rPr>
        <w:t>As a fiduciary, KCD owes each client the duty of loyalty. In essence, this duty requires KCD to act primarily for the clients' benefit and to treat each client fairly. No client is owed a greater or lesser degree of fiduciary duty and, therefore, no client or groups of clients may be given preferential treatment in the allocation of investment opportunities. KCD's duty of loyalty and the equitable treatment of client accounts are the basic principles underlying these procedures.</w:t>
      </w:r>
    </w:p>
    <w:p>
      <w:pPr>
        <w:pStyle w:val="normal0"/>
        <w:spacing w:before="200" w:after="200"/>
        <w:rPr>
          <w:rFonts w:eastAsia="Arial" w:cs="Arial"/>
          <w:sz w:val="20"/>
          <w:szCs w:val="20"/>
        </w:rPr>
      </w:pPr>
      <w:r>
        <w:rPr>
          <w:rFonts w:eastAsia="Arial" w:cs="Arial"/>
          <w:sz w:val="20"/>
          <w:szCs w:val="20"/>
        </w:rPr>
        <w:t>In general, investment decisions for each client are made independently from those of other clients and are made with specific reference to the individual needs and objectives of each client. Because investment decisions may affect more than one client, it is inevitable that at times it will be desirable to acquire or dispose of the same securities for more than one client account at the same time and that there will be investment opportunities that are appropriate for more than one client.</w:t>
      </w:r>
    </w:p>
    <w:p>
      <w:pPr>
        <w:pStyle w:val="normal0"/>
        <w:spacing w:before="200" w:after="200"/>
        <w:rPr>
          <w:rFonts w:eastAsia="Arial" w:cs="Arial"/>
          <w:sz w:val="20"/>
          <w:szCs w:val="20"/>
        </w:rPr>
      </w:pPr>
      <w:r>
        <w:rPr>
          <w:rFonts w:eastAsia="Arial" w:cs="Arial"/>
          <w:sz w:val="20"/>
          <w:szCs w:val="20"/>
        </w:rPr>
        <w:t>It should be noted that while the goal of these Procedures is to achieve equitable allocation of investment opportunities and trades, each client cannot be treated exactly alike and that all allocations cannot be done on the basis of a pre-determined formula. There are differences in each client's needs, investment criteria, investment objectives, size and fee levels. To the extent more than one client seeks to acquire the same security at the same time, it may not be possible to acquire a sufficiently large quantity of the same security, or KCD may have to pay a higher price or obtain a lower yield for the security. Similarly, clients may not be able to obtain as high a price for, or as large an execution of, an order to sell (including short sales) a particular security when KCD is acting for more than one client at the same time. It also may not be feasible to make every limited investment opportunity available to all clients.</w:t>
      </w:r>
    </w:p>
    <w:p>
      <w:pPr>
        <w:pStyle w:val="normal0"/>
        <w:spacing w:before="200" w:after="200"/>
        <w:rPr>
          <w:rFonts w:eastAsia="Arial" w:cs="Arial"/>
          <w:sz w:val="20"/>
          <w:szCs w:val="20"/>
        </w:rPr>
      </w:pPr>
      <w:r>
        <w:rPr>
          <w:rFonts w:eastAsia="Arial" w:cs="Arial"/>
          <w:sz w:val="20"/>
          <w:szCs w:val="20"/>
        </w:rPr>
        <w:t>These Procedures have been designed to ensure that buy and sell opportunities are allocated fairly among the clients and that, over time, all clients are treated equitably, and that any differences in trades are not intended to give preferential treatment to any particular client. These procedures also seek to ensure reasonable efficiency in client transactions and to provide portfolio managers of KCD with the flexibility to use allocation methodologies appropriate to their investment discipline and the client's investor base.</w:t>
      </w:r>
    </w:p>
    <w:p>
      <w:pPr>
        <w:pStyle w:val="normal0"/>
        <w:spacing w:before="200" w:after="200"/>
        <w:rPr>
          <w:rFonts w:eastAsia="Arial" w:cs="Arial"/>
          <w:sz w:val="20"/>
          <w:szCs w:val="20"/>
        </w:rPr>
      </w:pPr>
      <w:r>
        <w:rPr>
          <w:rFonts w:eastAsia="Arial" w:cs="Arial"/>
          <w:sz w:val="20"/>
          <w:szCs w:val="20"/>
        </w:rPr>
        <w:t>The Chief Compliance Officer shall be responsible for ensuring that aggregated trades (</w:t>
      </w:r>
      <w:r>
        <w:rPr>
          <w:rFonts w:eastAsia="Arial" w:cs="Arial"/>
          <w:i/>
          <w:iCs/>
          <w:sz w:val="20"/>
          <w:szCs w:val="20"/>
        </w:rPr>
        <w:t>i.e.,</w:t>
      </w:r>
      <w:r>
        <w:rPr>
          <w:rFonts w:eastAsia="Arial" w:cs="Arial"/>
          <w:sz w:val="20"/>
          <w:szCs w:val="20"/>
        </w:rPr>
        <w:t xml:space="preserve"> securities acquired in a single trade for multiple client accounts) are allocated to the multiple client accounts in a fair and equitable way and in accordance with the following procedures. From time to time, the Chief Compliance Officer will review aggregated trades in an attempt to ensure that these procedures were followed.</w:t>
      </w:r>
    </w:p>
    <w:p>
      <w:bookmarkEnd w:id="448"/>
      <w:bookmarkStart w:id="449" w:name="Sec_Chp_061016102251640_061016102252734"/>
    </w:p>
    <w:p>
      <w:pPr>
        <w:pStyle w:val="Heading4"/>
      </w:pPr>
      <w:r>
        <w:t>6.3.10.2 Allocation Sheet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employee of KCD responsible for trading will prepare an Allocation Sheet that will set forth the size of each client's order, proposed allocation of the aggregated orders based on the size of each client's order, the type of client orders and other relevant information about the aggregated order.</w:t>
      </w:r>
    </w:p>
    <w:p>
      <w:bookmarkEnd w:id="449"/>
      <w:bookmarkStart w:id="450" w:name="Sec_Chp_061016102251640_061016102252750"/>
    </w:p>
    <w:p>
      <w:pPr>
        <w:pStyle w:val="Heading4"/>
      </w:pPr>
      <w:r>
        <w:t>6.3.10.3 Pro Rata Allocation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Aggregated orders will be allocated on the Allocation Sheet by order size on a pro rata basis. For example, Client X is a buyer of 200 shares and Client Y is a buyer of 100 shares and the investment adviser is only able to acquire 150 shares. Client X receives 100 shares and Client Y receives 50 shares. </w:t>
      </w:r>
    </w:p>
    <w:p>
      <w:bookmarkEnd w:id="450"/>
      <w:bookmarkStart w:id="451" w:name="Sec_Chp_061016102251640_061016102252765"/>
    </w:p>
    <w:p>
      <w:pPr>
        <w:pStyle w:val="Heading4"/>
      </w:pPr>
      <w:r>
        <w:t>6.3.10.4 Exceptions to Pro Rata Allocation</w:t>
      </w:r>
    </w:p>
    <w:p/>
    <w:p>
      <w:pPr>
        <w:rPr>
          <w:rFonts w:eastAsia="Arial" w:cs="Arial"/>
          <w:sz w:val="16"/>
          <w:szCs w:val="16"/>
        </w:rPr>
      </w:pPr>
    </w:p>
    <w:p>
      <w:bookmarkEnd w:id="451"/>
      <w:bookmarkStart w:id="452" w:name="Sec_Chp_061016102251640_061016102252781"/>
    </w:p>
    <w:p>
      <w:pPr>
        <w:pStyle w:val="Heading5"/>
      </w:pPr>
      <w:r>
        <w:t>6.3.10.4.1 Partial Fills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not able to completely fill an aggregated order for a security, the completed orders are generally allocated pro rata based on the order size set forth in the Allocation Sheet. If KCD is unable to execute limit orders, the market orders are filled, with allocation pro rata among only the clients submitting market orders.</w:t>
      </w:r>
    </w:p>
    <w:p>
      <w:bookmarkEnd w:id="452"/>
      <w:bookmarkStart w:id="453" w:name="Sec_Chp_061016102251640_061016102252796"/>
    </w:p>
    <w:p>
      <w:pPr>
        <w:pStyle w:val="Heading5"/>
      </w:pPr>
      <w:r>
        <w:t>6.3.10.4.2 Unlimited Orders</w:t>
      </w:r>
    </w:p>
    <w:p/>
    <w:p>
      <w:pPr>
        <w:rPr>
          <w:rFonts w:eastAsia="Arial" w:cs="Arial"/>
          <w:sz w:val="16"/>
          <w:szCs w:val="16"/>
        </w:rPr>
      </w:pPr>
    </w:p>
    <w:p>
      <w:pPr>
        <w:numPr>
          <w:ilvl w:val="0"/>
          <w:numId w:val="416"/>
        </w:numPr>
        <w:ind w:left="720" w:hanging="192"/>
        <w:jc w:val="left"/>
        <w:rPr>
          <w:rFonts w:eastAsia="Arial" w:cs="Arial"/>
          <w:sz w:val="20"/>
          <w:szCs w:val="20"/>
        </w:rPr>
      </w:pPr>
      <w:r>
        <w:rPr>
          <w:rFonts w:eastAsia="Arial" w:cs="Arial"/>
          <w:b/>
          <w:bCs/>
          <w:sz w:val="20"/>
          <w:szCs w:val="20"/>
        </w:rPr>
        <w:t>Buy Orders.</w:t>
      </w:r>
      <w:r>
        <w:rPr>
          <w:rFonts w:eastAsia="Arial" w:cs="Arial"/>
          <w:sz w:val="20"/>
          <w:szCs w:val="20"/>
        </w:rPr>
        <w:t xml:space="preserve"> If several clients seek to buy as many securities of the same issuer as they can, KCD will allocate the securities acquired by the size of assets of each client's account. </w:t>
      </w:r>
    </w:p>
    <w:p>
      <w:pPr>
        <w:numPr>
          <w:ilvl w:val="0"/>
          <w:numId w:val="416"/>
        </w:numPr>
        <w:spacing w:after="200"/>
        <w:ind w:left="720" w:hanging="192"/>
        <w:jc w:val="left"/>
        <w:rPr>
          <w:rFonts w:eastAsia="Arial" w:cs="Arial"/>
          <w:sz w:val="20"/>
          <w:szCs w:val="20"/>
        </w:rPr>
      </w:pPr>
      <w:r>
        <w:rPr>
          <w:rFonts w:eastAsia="Arial" w:cs="Arial"/>
          <w:b/>
          <w:bCs/>
          <w:sz w:val="20"/>
          <w:szCs w:val="20"/>
        </w:rPr>
        <w:t>Sell Orders.</w:t>
      </w:r>
      <w:r>
        <w:rPr>
          <w:rFonts w:eastAsia="Arial" w:cs="Arial"/>
          <w:sz w:val="20"/>
          <w:szCs w:val="20"/>
        </w:rPr>
        <w:t xml:space="preserve"> If several clients seek to sell as many securities of the same issuer as they can, KCD will allocate the securities sold based on the total size of each client's position in that security.</w:t>
      </w:r>
    </w:p>
    <w:p>
      <w:bookmarkEnd w:id="453"/>
      <w:bookmarkStart w:id="454" w:name="Sec_Chp_061016102251640_061016102252812"/>
    </w:p>
    <w:p>
      <w:pPr>
        <w:pStyle w:val="Heading5"/>
      </w:pPr>
      <w:r>
        <w:t>6.3.10.4.3 Random Allocations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cases where client accounts would receive less than the desirable number of shares as judged by KCD, the aggregated trade may be allocated by KCD to client accounts on a random basis. KCD shall use a computer software program or other fair system to allocate such trades on a random basis. Client accounts that receive random allocations generally will not be eligible for the next random allocation.</w:t>
      </w:r>
    </w:p>
    <w:p>
      <w:bookmarkEnd w:id="454"/>
      <w:bookmarkStart w:id="455" w:name="Sec_Chp_061016102251640_061016102252828"/>
    </w:p>
    <w:p>
      <w:pPr>
        <w:pStyle w:val="Heading5"/>
      </w:pPr>
      <w:r>
        <w:t>6.3.10.4.4 Documenting Exceptions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a portfolio manager or trader may make an allocation of an aggregated trade on a basis other than pro rata if:</w:t>
      </w:r>
    </w:p>
    <w:p>
      <w:pPr>
        <w:numPr>
          <w:ilvl w:val="0"/>
          <w:numId w:val="417"/>
        </w:numPr>
        <w:spacing w:before="200"/>
        <w:ind w:left="720" w:hanging="192"/>
        <w:jc w:val="left"/>
        <w:rPr>
          <w:rFonts w:eastAsia="Arial" w:cs="Arial"/>
          <w:sz w:val="20"/>
          <w:szCs w:val="20"/>
        </w:rPr>
      </w:pPr>
      <w:r>
        <w:rPr>
          <w:rFonts w:eastAsia="Arial" w:cs="Arial"/>
          <w:sz w:val="20"/>
          <w:szCs w:val="20"/>
        </w:rPr>
        <w:t xml:space="preserve">It is in the best interests of clients; </w:t>
      </w:r>
    </w:p>
    <w:p>
      <w:pPr>
        <w:numPr>
          <w:ilvl w:val="0"/>
          <w:numId w:val="417"/>
        </w:numPr>
        <w:ind w:left="720" w:hanging="192"/>
        <w:jc w:val="left"/>
        <w:rPr>
          <w:rFonts w:eastAsia="Arial" w:cs="Arial"/>
          <w:sz w:val="20"/>
          <w:szCs w:val="20"/>
        </w:rPr>
      </w:pPr>
      <w:r>
        <w:rPr>
          <w:rFonts w:eastAsia="Arial" w:cs="Arial"/>
          <w:sz w:val="20"/>
          <w:szCs w:val="20"/>
        </w:rPr>
        <w:t xml:space="preserve">An appropriate reason for the deviation from pro rata allocation exists, including: </w:t>
      </w:r>
    </w:p>
    <w:p>
      <w:pPr>
        <w:numPr>
          <w:ilvl w:val="1"/>
          <w:numId w:val="417"/>
        </w:numPr>
        <w:ind w:left="1440" w:hanging="220"/>
        <w:jc w:val="left"/>
        <w:rPr>
          <w:rFonts w:eastAsia="Arial" w:cs="Arial"/>
          <w:sz w:val="20"/>
          <w:szCs w:val="20"/>
        </w:rPr>
      </w:pPr>
      <w:r>
        <w:rPr>
          <w:rFonts w:eastAsia="Arial" w:cs="Arial"/>
          <w:sz w:val="20"/>
          <w:szCs w:val="20"/>
        </w:rPr>
        <w:t xml:space="preserve">A client has a unique or specialized investment objective that emphasizes investment in a particular category of securities and the security being acquired meets that investment objective and falls within that category; </w:t>
      </w:r>
    </w:p>
    <w:p>
      <w:pPr>
        <w:numPr>
          <w:ilvl w:val="1"/>
          <w:numId w:val="417"/>
        </w:numPr>
        <w:ind w:left="1440" w:hanging="220"/>
        <w:jc w:val="left"/>
        <w:rPr>
          <w:rFonts w:eastAsia="Arial" w:cs="Arial"/>
          <w:sz w:val="20"/>
          <w:szCs w:val="20"/>
        </w:rPr>
      </w:pPr>
      <w:r>
        <w:rPr>
          <w:rFonts w:eastAsia="Arial" w:cs="Arial"/>
          <w:sz w:val="20"/>
          <w:szCs w:val="20"/>
        </w:rPr>
        <w:t xml:space="preserve">The allocation would be too small to establish a meaningful position for the client in that security; or </w:t>
      </w:r>
    </w:p>
    <w:p>
      <w:pPr>
        <w:numPr>
          <w:ilvl w:val="1"/>
          <w:numId w:val="417"/>
        </w:numPr>
        <w:ind w:left="1440" w:hanging="220"/>
        <w:jc w:val="left"/>
        <w:rPr>
          <w:rFonts w:eastAsia="Arial" w:cs="Arial"/>
          <w:sz w:val="20"/>
          <w:szCs w:val="20"/>
        </w:rPr>
      </w:pPr>
      <w:r>
        <w:rPr>
          <w:rFonts w:eastAsia="Arial" w:cs="Arial"/>
          <w:sz w:val="20"/>
          <w:szCs w:val="20"/>
        </w:rPr>
        <w:t>The allocation would result in an account receiving an odd lot.</w:t>
      </w:r>
    </w:p>
    <w:p>
      <w:pPr>
        <w:numPr>
          <w:ilvl w:val="0"/>
          <w:numId w:val="417"/>
        </w:numPr>
        <w:ind w:left="720" w:hanging="192"/>
        <w:jc w:val="left"/>
        <w:rPr>
          <w:rFonts w:eastAsia="Arial" w:cs="Arial"/>
          <w:sz w:val="20"/>
          <w:szCs w:val="20"/>
        </w:rPr>
      </w:pPr>
      <w:r>
        <w:rPr>
          <w:rFonts w:eastAsia="Arial" w:cs="Arial"/>
          <w:sz w:val="20"/>
          <w:szCs w:val="20"/>
        </w:rPr>
        <w:t xml:space="preserve">All participating clients in the aggregated order are treated fairly and the variation from a pro rata allocation does not result in an unfair advantage or disadvantage to a client, or unfairly advantage KCD; and </w:t>
      </w:r>
    </w:p>
    <w:p>
      <w:pPr>
        <w:numPr>
          <w:ilvl w:val="0"/>
          <w:numId w:val="417"/>
        </w:numPr>
        <w:spacing w:after="200"/>
        <w:ind w:left="720" w:hanging="192"/>
        <w:jc w:val="left"/>
        <w:rPr>
          <w:rFonts w:eastAsia="Arial" w:cs="Arial"/>
          <w:sz w:val="20"/>
          <w:szCs w:val="20"/>
        </w:rPr>
      </w:pPr>
      <w:r>
        <w:rPr>
          <w:rFonts w:eastAsia="Arial" w:cs="Arial"/>
          <w:sz w:val="20"/>
          <w:szCs w:val="20"/>
        </w:rPr>
        <w:t xml:space="preserve">The portfolio manager or trader responsible for the deviated allocation describes in writing an explanation for the deviation on the order's trade ticket. </w:t>
      </w:r>
    </w:p>
    <w:p>
      <w:bookmarkEnd w:id="455"/>
      <w:bookmarkStart w:id="456" w:name="Sec_Chp_061016102251640_061016102252843"/>
    </w:p>
    <w:p>
      <w:pPr>
        <w:pStyle w:val="Heading4"/>
      </w:pPr>
      <w:r>
        <w:t>6.3.10.5 Price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price of the securities allocated shall be the average share price for all transactions of the clients in that security on a given day, with all transaction costs shared on a pro rata basis.</w:t>
      </w:r>
    </w:p>
    <w:p>
      <w:bookmarkEnd w:id="456"/>
      <w:bookmarkStart w:id="457" w:name="Sec_Chp_061016102251640_061016102252859"/>
    </w:p>
    <w:p>
      <w:pPr>
        <w:pStyle w:val="Heading4"/>
      </w:pPr>
      <w:r>
        <w:t>6.3.10.6 Settlement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Neither cash nor securities will be held longer than necessary to settle the purchase and sale of aggregated orders. Any cash or securities held collectively for client accounts shall be delivered as soon as practicable after settlement.</w:t>
      </w:r>
    </w:p>
    <w:p>
      <w:bookmarkEnd w:id="457"/>
      <w:bookmarkStart w:id="458" w:name="Sec_Chp_061016102251640_061016102252875"/>
    </w:p>
    <w:p>
      <w:pPr>
        <w:pStyle w:val="Heading4"/>
      </w:pPr>
      <w:r>
        <w:t>6.3.10.7 Prohibited Trade Allocations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allocate trades:</w:t>
      </w:r>
    </w:p>
    <w:p>
      <w:pPr>
        <w:numPr>
          <w:ilvl w:val="0"/>
          <w:numId w:val="418"/>
        </w:numPr>
        <w:spacing w:before="200"/>
        <w:ind w:left="720" w:hanging="192"/>
        <w:jc w:val="left"/>
        <w:rPr>
          <w:rFonts w:eastAsia="Arial" w:cs="Arial"/>
          <w:sz w:val="20"/>
          <w:szCs w:val="20"/>
        </w:rPr>
      </w:pPr>
      <w:r>
        <w:rPr>
          <w:rFonts w:eastAsia="Arial" w:cs="Arial"/>
          <w:sz w:val="20"/>
          <w:szCs w:val="20"/>
        </w:rPr>
        <w:t xml:space="preserve">for the purpose of benefiting KCD or any of its officers or its employees; </w:t>
      </w:r>
    </w:p>
    <w:p>
      <w:pPr>
        <w:numPr>
          <w:ilvl w:val="0"/>
          <w:numId w:val="418"/>
        </w:numPr>
        <w:ind w:left="720" w:hanging="192"/>
        <w:jc w:val="left"/>
        <w:rPr>
          <w:rFonts w:eastAsia="Arial" w:cs="Arial"/>
          <w:sz w:val="20"/>
          <w:szCs w:val="20"/>
        </w:rPr>
      </w:pPr>
      <w:r>
        <w:rPr>
          <w:rFonts w:eastAsia="Arial" w:cs="Arial"/>
          <w:sz w:val="20"/>
          <w:szCs w:val="20"/>
        </w:rPr>
        <w:t>if KCD receives any additional compensation or remuneration of any kind as a result of the aggregated orders; or</w:t>
      </w:r>
    </w:p>
    <w:p>
      <w:pPr>
        <w:numPr>
          <w:ilvl w:val="0"/>
          <w:numId w:val="418"/>
        </w:numPr>
        <w:spacing w:after="200"/>
        <w:ind w:left="720" w:hanging="192"/>
        <w:jc w:val="left"/>
        <w:rPr>
          <w:rFonts w:eastAsia="Arial" w:cs="Arial"/>
          <w:sz w:val="20"/>
          <w:szCs w:val="20"/>
        </w:rPr>
      </w:pPr>
      <w:r>
        <w:rPr>
          <w:rFonts w:eastAsia="Arial" w:cs="Arial"/>
          <w:sz w:val="20"/>
          <w:szCs w:val="20"/>
        </w:rPr>
        <w:t>to the accounts of business associates, friends or relatives while excluding advisory clients from the allocation of any securities.</w:t>
      </w:r>
    </w:p>
    <w:p>
      <w:pPr>
        <w:pStyle w:val="normal0"/>
        <w:spacing w:before="200" w:after="200"/>
        <w:rPr>
          <w:rFonts w:eastAsia="Arial" w:cs="Arial"/>
          <w:sz w:val="20"/>
          <w:szCs w:val="20"/>
        </w:rPr>
      </w:pPr>
      <w:r>
        <w:rPr>
          <w:rFonts w:eastAsia="Arial" w:cs="Arial"/>
          <w:sz w:val="20"/>
          <w:szCs w:val="20"/>
        </w:rPr>
        <w:t>In cases where KCD places block trades on a pro rata basis amongst two or more clients that are participating in a block trade on a pro rata basis, KCD will not apply or cause to be applied lower commission rates to certain participating clients and higher commission rates to other clients participating in the same block trade, including in situations where limitations have been placed on trading commissions for certain clients and not other clients.</w:t>
      </w:r>
    </w:p>
    <w:p>
      <w:bookmarkEnd w:id="458"/>
      <w:bookmarkStart w:id="459" w:name="Sec_Chp_061016102251640_061016102252890"/>
    </w:p>
    <w:p>
      <w:pPr>
        <w:pStyle w:val="Heading4"/>
      </w:pPr>
      <w:r>
        <w:t>6.3.10.8 Timing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Allocations will be made on the same day. Under no circumstances will KCD delay allocation so that it can allocate the more favorable prices received during the day to one account and the less favorable prices to another account. In the event KCD receives notice from the custodian of client accounts of unallocated block trading, KCD shall take immediate action to allocate such trades and perform an analysis of why the aggregated trades were not allocated promptly after the trades were placed.</w:t>
      </w:r>
    </w:p>
    <w:p>
      <w:bookmarkEnd w:id="459"/>
      <w:bookmarkStart w:id="460" w:name="Sec_Chp_061016102251640_061016102252906"/>
    </w:p>
    <w:p>
      <w:pPr>
        <w:pStyle w:val="Heading4"/>
      </w:pPr>
      <w:r>
        <w:t>6.3.10.9 Performance-Fee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allocate "hot" trades or other favorable trades disproportionately to performance-fee accounts in an attempt to earn higher performance fees.</w:t>
      </w:r>
    </w:p>
    <w:p>
      <w:bookmarkEnd w:id="460"/>
      <w:bookmarkStart w:id="461" w:name="Sec_Chp_061016102251640_061016102252921"/>
    </w:p>
    <w:p>
      <w:pPr>
        <w:pStyle w:val="Heading4"/>
      </w:pPr>
      <w:r>
        <w:t>6.3.10.10 IPOs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Securities acquired in initial public offerings (IPOs) are allocated only to Eligible Accounts (as defined below) and such allocation is based on the total size of each client's investment portfolio. A client account shall be an "Eligible" Account only if the following conditions are met:</w:t>
      </w:r>
    </w:p>
    <w:p>
      <w:pPr>
        <w:numPr>
          <w:ilvl w:val="0"/>
          <w:numId w:val="419"/>
        </w:numPr>
        <w:spacing w:before="200"/>
        <w:ind w:left="720" w:hanging="192"/>
        <w:jc w:val="left"/>
        <w:rPr>
          <w:rFonts w:eastAsia="Arial" w:cs="Arial"/>
          <w:sz w:val="20"/>
          <w:szCs w:val="20"/>
        </w:rPr>
      </w:pPr>
      <w:r>
        <w:rPr>
          <w:rFonts w:eastAsia="Arial" w:cs="Arial"/>
          <w:sz w:val="20"/>
          <w:szCs w:val="20"/>
        </w:rPr>
        <w:t xml:space="preserve">KCD has concluded that the client of the account can accept the increase risk associated with IPOs; </w:t>
      </w:r>
    </w:p>
    <w:p>
      <w:pPr>
        <w:numPr>
          <w:ilvl w:val="0"/>
          <w:numId w:val="419"/>
        </w:numPr>
        <w:ind w:left="720" w:hanging="192"/>
        <w:jc w:val="left"/>
        <w:rPr>
          <w:rFonts w:eastAsia="Arial" w:cs="Arial"/>
          <w:sz w:val="20"/>
          <w:szCs w:val="20"/>
        </w:rPr>
      </w:pPr>
      <w:r>
        <w:rPr>
          <w:rFonts w:eastAsia="Arial" w:cs="Arial"/>
          <w:sz w:val="20"/>
          <w:szCs w:val="20"/>
        </w:rPr>
        <w:t xml:space="preserve">The client requests in writing to participate in IPOs when available; </w:t>
      </w:r>
    </w:p>
    <w:p>
      <w:pPr>
        <w:numPr>
          <w:ilvl w:val="0"/>
          <w:numId w:val="419"/>
        </w:numPr>
        <w:ind w:left="720" w:hanging="192"/>
        <w:jc w:val="left"/>
        <w:rPr>
          <w:rFonts w:eastAsia="Arial" w:cs="Arial"/>
          <w:sz w:val="20"/>
          <w:szCs w:val="20"/>
        </w:rPr>
      </w:pPr>
      <w:r>
        <w:rPr>
          <w:rFonts w:eastAsia="Arial" w:cs="Arial"/>
          <w:sz w:val="20"/>
          <w:szCs w:val="20"/>
        </w:rPr>
        <w:t xml:space="preserve">The client has agreed to hold the securities purchased in the IPO for at least 14 days after purchase (to evidence investment intent); and </w:t>
      </w:r>
    </w:p>
    <w:p>
      <w:pPr>
        <w:numPr>
          <w:ilvl w:val="0"/>
          <w:numId w:val="419"/>
        </w:numPr>
        <w:spacing w:after="200"/>
        <w:ind w:left="720" w:hanging="192"/>
        <w:jc w:val="left"/>
        <w:rPr>
          <w:rFonts w:eastAsia="Arial" w:cs="Arial"/>
          <w:sz w:val="20"/>
          <w:szCs w:val="20"/>
        </w:rPr>
      </w:pPr>
      <w:r>
        <w:rPr>
          <w:rFonts w:eastAsia="Arial" w:cs="Arial"/>
          <w:sz w:val="20"/>
          <w:szCs w:val="20"/>
        </w:rPr>
        <w:t>The client represents in writing that he or she is not a restricted person under FINRA's Freeriding and Withholding interpretations.</w:t>
      </w:r>
    </w:p>
    <w:p>
      <w:bookmarkEnd w:id="461"/>
      <w:bookmarkStart w:id="462" w:name="Sec_Chp_061016102251640_061016102252937"/>
    </w:p>
    <w:p>
      <w:pPr>
        <w:pStyle w:val="Heading4"/>
      </w:pPr>
      <w:r>
        <w:t>6.3.10.11 Review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review each and every allocation of trades to ensure that the Trade Allocation Procedures were followed and to verify that no client account was systematically disadvantaged by the allocation. The pre-allocated amounts on the Trade Tickets may differ from the amounts actually allocated in situations where KCD does not receive a full allocation. In such situations, the Trade Tickets should not be revised to reflect a partial fill of the trade. If for any reason aggregated trades must be revised (other than a partial fill) after the trades are executed and allocated:</w:t>
      </w:r>
    </w:p>
    <w:p>
      <w:pPr>
        <w:numPr>
          <w:ilvl w:val="0"/>
          <w:numId w:val="420"/>
        </w:numPr>
        <w:spacing w:before="200"/>
        <w:ind w:left="720" w:hanging="192"/>
        <w:jc w:val="left"/>
        <w:rPr>
          <w:rFonts w:eastAsia="Arial" w:cs="Arial"/>
          <w:sz w:val="20"/>
          <w:szCs w:val="20"/>
        </w:rPr>
      </w:pPr>
      <w:r>
        <w:rPr>
          <w:rFonts w:eastAsia="Arial" w:cs="Arial"/>
          <w:sz w:val="20"/>
          <w:szCs w:val="20"/>
        </w:rPr>
        <w:t>the Trade Ticket applicable to such trades will be revised;</w:t>
      </w:r>
    </w:p>
    <w:p>
      <w:pPr>
        <w:numPr>
          <w:ilvl w:val="0"/>
          <w:numId w:val="420"/>
        </w:numPr>
        <w:ind w:left="720" w:hanging="192"/>
        <w:jc w:val="left"/>
        <w:rPr>
          <w:rFonts w:eastAsia="Arial" w:cs="Arial"/>
          <w:sz w:val="20"/>
          <w:szCs w:val="20"/>
        </w:rPr>
      </w:pPr>
      <w:r>
        <w:rPr>
          <w:rFonts w:eastAsia="Arial" w:cs="Arial"/>
          <w:sz w:val="20"/>
          <w:szCs w:val="20"/>
        </w:rPr>
        <w:t>an explanation for the revision will be included on the Trade Ticket;</w:t>
      </w:r>
    </w:p>
    <w:p>
      <w:pPr>
        <w:numPr>
          <w:ilvl w:val="0"/>
          <w:numId w:val="420"/>
        </w:numPr>
        <w:ind w:left="720" w:hanging="192"/>
        <w:jc w:val="left"/>
        <w:rPr>
          <w:rFonts w:eastAsia="Arial" w:cs="Arial"/>
          <w:sz w:val="20"/>
          <w:szCs w:val="20"/>
        </w:rPr>
      </w:pPr>
      <w:r>
        <w:rPr>
          <w:rFonts w:eastAsia="Arial" w:cs="Arial"/>
          <w:sz w:val="20"/>
          <w:szCs w:val="20"/>
        </w:rPr>
        <w:t>the word "Revised" will be placed on the Trade Ticket; and</w:t>
      </w:r>
    </w:p>
    <w:p>
      <w:pPr>
        <w:numPr>
          <w:ilvl w:val="0"/>
          <w:numId w:val="420"/>
        </w:numPr>
        <w:spacing w:after="200"/>
        <w:ind w:left="720" w:hanging="192"/>
        <w:jc w:val="left"/>
        <w:rPr>
          <w:rFonts w:eastAsia="Arial" w:cs="Arial"/>
          <w:sz w:val="20"/>
          <w:szCs w:val="20"/>
        </w:rPr>
      </w:pPr>
      <w:r>
        <w:rPr>
          <w:rFonts w:eastAsia="Arial" w:cs="Arial"/>
          <w:sz w:val="20"/>
          <w:szCs w:val="20"/>
        </w:rPr>
        <w:t>the Adviser Representative will request the Chief Investment Officer or Chief Compliance Officer to authorize the revision by signing the Trade Ticket.</w:t>
      </w:r>
    </w:p>
    <w:p>
      <w:pPr>
        <w:pStyle w:val="normal0"/>
        <w:spacing w:before="200" w:after="200"/>
        <w:rPr>
          <w:rFonts w:eastAsia="Arial" w:cs="Arial"/>
          <w:sz w:val="20"/>
          <w:szCs w:val="20"/>
        </w:rPr>
      </w:pPr>
      <w:r>
        <w:rPr>
          <w:rFonts w:eastAsia="Arial" w:cs="Arial"/>
          <w:sz w:val="20"/>
          <w:szCs w:val="20"/>
        </w:rPr>
        <w:t>From time to time the Chief Compliance Officer will perform an analysis of aggregated trades placed by KCD by focusing on which clients received more favorable trade allocation and those clients who received less favorable trade allocation. In this analysis, the Chief Compliance Officer will identify out of the aggregated trades those trades where the price of the securities increased as of the time of allocation to certain accounts and those trades where the price of the securities decreased as of the time of allocation, in an attempt to identify clients who were systematically disadvantaged. In cases where the review indicates that certain client accounts were disadvantaged, the Chief Compliance Officer will investigate the discrepancy including whether the differences were solely for random reasons or there were other explanations including favoritism for particular clients.</w:t>
      </w:r>
    </w:p>
    <w:p>
      <w:bookmarkEnd w:id="462"/>
      <w:bookmarkStart w:id="463" w:name="Sec_Chp_061016102251640_061016311"/>
    </w:p>
    <w:p>
      <w:pPr>
        <w:pStyle w:val="Heading3"/>
      </w:pPr>
      <w:bookmarkStart w:id="464" w:name="_Toc256000109"/>
      <w:r>
        <w:t>6.3.11 Proprietary Trades</w:t>
      </w:r>
      <w:bookmarkEnd w:id="464"/>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executing securities trades in proprietary firm accounts, KCD will be especially careful to make sure that such trading activity is:</w:t>
      </w:r>
    </w:p>
    <w:p>
      <w:pPr>
        <w:numPr>
          <w:ilvl w:val="0"/>
          <w:numId w:val="421"/>
        </w:numPr>
        <w:spacing w:before="200"/>
        <w:ind w:left="720" w:hanging="192"/>
        <w:jc w:val="left"/>
        <w:rPr>
          <w:rFonts w:eastAsia="Arial" w:cs="Arial"/>
          <w:sz w:val="20"/>
          <w:szCs w:val="20"/>
        </w:rPr>
      </w:pPr>
      <w:r>
        <w:rPr>
          <w:rFonts w:eastAsia="Arial" w:cs="Arial"/>
          <w:sz w:val="20"/>
          <w:szCs w:val="20"/>
        </w:rPr>
        <w:t>Not favoring proprietary accounts over client accounts when allocating investment opportunities;</w:t>
      </w:r>
    </w:p>
    <w:p>
      <w:pPr>
        <w:numPr>
          <w:ilvl w:val="0"/>
          <w:numId w:val="421"/>
        </w:numPr>
        <w:ind w:left="720" w:hanging="192"/>
        <w:jc w:val="left"/>
        <w:rPr>
          <w:rFonts w:eastAsia="Arial" w:cs="Arial"/>
          <w:sz w:val="20"/>
          <w:szCs w:val="20"/>
        </w:rPr>
      </w:pPr>
      <w:r>
        <w:rPr>
          <w:rFonts w:eastAsia="Arial" w:cs="Arial"/>
          <w:sz w:val="20"/>
          <w:szCs w:val="20"/>
        </w:rPr>
        <w:t xml:space="preserve">Not conducted in advance of client transactions in similar securities; </w:t>
      </w:r>
    </w:p>
    <w:p>
      <w:pPr>
        <w:numPr>
          <w:ilvl w:val="0"/>
          <w:numId w:val="421"/>
        </w:numPr>
        <w:ind w:left="720" w:hanging="192"/>
        <w:jc w:val="left"/>
        <w:rPr>
          <w:rFonts w:eastAsia="Arial" w:cs="Arial"/>
          <w:sz w:val="20"/>
          <w:szCs w:val="20"/>
        </w:rPr>
      </w:pPr>
      <w:r>
        <w:rPr>
          <w:rFonts w:eastAsia="Arial" w:cs="Arial"/>
          <w:sz w:val="20"/>
          <w:szCs w:val="20"/>
        </w:rPr>
        <w:t>Not in opposition to recommendations made for client securities transactions;</w:t>
      </w:r>
    </w:p>
    <w:p>
      <w:pPr>
        <w:numPr>
          <w:ilvl w:val="0"/>
          <w:numId w:val="421"/>
        </w:numPr>
        <w:ind w:left="720" w:hanging="192"/>
        <w:jc w:val="left"/>
        <w:rPr>
          <w:rFonts w:eastAsia="Arial" w:cs="Arial"/>
          <w:sz w:val="20"/>
          <w:szCs w:val="20"/>
        </w:rPr>
      </w:pPr>
      <w:r>
        <w:rPr>
          <w:rFonts w:eastAsia="Arial" w:cs="Arial"/>
          <w:sz w:val="20"/>
          <w:szCs w:val="20"/>
        </w:rPr>
        <w:t xml:space="preserve">Properly disclosed to clients on KCD's Part 2A (brochure); </w:t>
      </w:r>
    </w:p>
    <w:p>
      <w:pPr>
        <w:numPr>
          <w:ilvl w:val="0"/>
          <w:numId w:val="421"/>
        </w:numPr>
        <w:ind w:left="720" w:hanging="192"/>
        <w:jc w:val="left"/>
        <w:rPr>
          <w:rFonts w:eastAsia="Arial" w:cs="Arial"/>
          <w:sz w:val="20"/>
          <w:szCs w:val="20"/>
        </w:rPr>
      </w:pPr>
      <w:r>
        <w:rPr>
          <w:rFonts w:eastAsia="Arial" w:cs="Arial"/>
          <w:sz w:val="20"/>
          <w:szCs w:val="20"/>
        </w:rPr>
        <w:t xml:space="preserve">Not based upon inside information or research analyst report that KCD prepared; </w:t>
      </w:r>
    </w:p>
    <w:p>
      <w:pPr>
        <w:numPr>
          <w:ilvl w:val="0"/>
          <w:numId w:val="421"/>
        </w:numPr>
        <w:ind w:left="720" w:hanging="192"/>
        <w:jc w:val="left"/>
        <w:rPr>
          <w:rFonts w:eastAsia="Arial" w:cs="Arial"/>
          <w:sz w:val="20"/>
          <w:szCs w:val="20"/>
        </w:rPr>
      </w:pPr>
      <w:r>
        <w:rPr>
          <w:rFonts w:eastAsia="Arial" w:cs="Arial"/>
          <w:sz w:val="20"/>
          <w:szCs w:val="20"/>
        </w:rPr>
        <w:t xml:space="preserve">Not involving any securities currently maintained on KCD's Restricted List or Watch List; and </w:t>
      </w:r>
    </w:p>
    <w:p>
      <w:pPr>
        <w:numPr>
          <w:ilvl w:val="0"/>
          <w:numId w:val="421"/>
        </w:numPr>
        <w:spacing w:after="200"/>
        <w:ind w:left="720" w:hanging="192"/>
        <w:jc w:val="left"/>
        <w:rPr>
          <w:rFonts w:eastAsia="Arial" w:cs="Arial"/>
          <w:sz w:val="20"/>
          <w:szCs w:val="20"/>
        </w:rPr>
      </w:pPr>
      <w:r>
        <w:rPr>
          <w:rFonts w:eastAsia="Arial" w:cs="Arial"/>
          <w:sz w:val="20"/>
          <w:szCs w:val="20"/>
        </w:rPr>
        <w:t>Not otherwise in violation of applicable laws or fiduciary duties owed to clients.</w:t>
      </w:r>
    </w:p>
    <w:p>
      <w:bookmarkEnd w:id="463"/>
      <w:bookmarkStart w:id="465" w:name="Sec_Chp_061016102251640_061016102252953"/>
    </w:p>
    <w:p>
      <w:pPr>
        <w:pStyle w:val="Heading3"/>
      </w:pPr>
      <w:bookmarkStart w:id="466" w:name="_Toc256000110"/>
      <w:r>
        <w:t>6.3.12 Trade Errors</w:t>
      </w:r>
      <w:bookmarkEnd w:id="466"/>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an Adviser Representative or other employee of KCD discovers a trade error, the Chief Compliance Officer and the Chief Investment Officer shall be responsible for taking immediate corrective action. </w:t>
      </w:r>
    </w:p>
    <w:p>
      <w:bookmarkEnd w:id="465"/>
      <w:bookmarkStart w:id="467" w:name="Sec_Chp_061016102251640_061016102252968"/>
    </w:p>
    <w:p>
      <w:pPr>
        <w:pStyle w:val="Heading4"/>
      </w:pPr>
      <w:r>
        <w:t xml:space="preserve">6.3.12.1 Trade Error Procedures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It is the policy of KCD to exercise the utmost care when handling client orders and correcting orders when trade errors occur. </w:t>
      </w:r>
    </w:p>
    <w:p>
      <w:pPr>
        <w:pStyle w:val="normal0"/>
        <w:spacing w:before="200" w:after="200"/>
        <w:rPr>
          <w:rFonts w:eastAsia="Arial" w:cs="Arial"/>
          <w:sz w:val="20"/>
          <w:szCs w:val="20"/>
        </w:rPr>
      </w:pPr>
      <w:r>
        <w:rPr>
          <w:rFonts w:eastAsia="Arial" w:cs="Arial"/>
          <w:b/>
          <w:bCs/>
          <w:sz w:val="20"/>
          <w:szCs w:val="20"/>
          <w:u w:val="single"/>
        </w:rPr>
        <w:t>Definition of a Trade Error</w:t>
      </w:r>
      <w:r>
        <w:rPr>
          <w:rFonts w:eastAsia="Arial" w:cs="Arial"/>
          <w:b/>
          <w:bCs/>
          <w:sz w:val="20"/>
          <w:szCs w:val="20"/>
        </w:rPr>
        <w:t xml:space="preserve"> </w:t>
      </w:r>
    </w:p>
    <w:p>
      <w:pPr>
        <w:pStyle w:val="normal0"/>
        <w:spacing w:before="200" w:after="200"/>
        <w:rPr>
          <w:rFonts w:eastAsia="Arial" w:cs="Arial"/>
          <w:sz w:val="20"/>
          <w:szCs w:val="20"/>
        </w:rPr>
      </w:pPr>
      <w:r>
        <w:rPr>
          <w:rFonts w:eastAsia="Arial" w:cs="Arial"/>
          <w:sz w:val="20"/>
          <w:szCs w:val="20"/>
        </w:rPr>
        <w:t>KCD deems the following to be trade errors:</w:t>
      </w:r>
    </w:p>
    <w:p>
      <w:pPr>
        <w:numPr>
          <w:ilvl w:val="0"/>
          <w:numId w:val="422"/>
        </w:numPr>
        <w:spacing w:before="200"/>
        <w:ind w:left="720" w:hanging="192"/>
        <w:jc w:val="left"/>
        <w:rPr>
          <w:rFonts w:eastAsia="Arial" w:cs="Arial"/>
          <w:sz w:val="20"/>
          <w:szCs w:val="20"/>
        </w:rPr>
      </w:pPr>
      <w:r>
        <w:rPr>
          <w:rFonts w:eastAsia="Arial" w:cs="Arial"/>
          <w:sz w:val="20"/>
          <w:szCs w:val="20"/>
        </w:rPr>
        <w:t>"fat finger" trades</w:t>
      </w:r>
    </w:p>
    <w:p>
      <w:pPr>
        <w:numPr>
          <w:ilvl w:val="0"/>
          <w:numId w:val="422"/>
        </w:numPr>
        <w:ind w:left="720" w:hanging="192"/>
        <w:jc w:val="left"/>
        <w:rPr>
          <w:rFonts w:eastAsia="Arial" w:cs="Arial"/>
          <w:sz w:val="20"/>
          <w:szCs w:val="20"/>
        </w:rPr>
      </w:pPr>
      <w:r>
        <w:rPr>
          <w:rFonts w:eastAsia="Arial" w:cs="Arial"/>
          <w:sz w:val="20"/>
          <w:szCs w:val="20"/>
        </w:rPr>
        <w:t>selecting the wrong security</w:t>
      </w:r>
    </w:p>
    <w:p>
      <w:pPr>
        <w:numPr>
          <w:ilvl w:val="0"/>
          <w:numId w:val="422"/>
        </w:numPr>
        <w:ind w:left="720" w:hanging="192"/>
        <w:jc w:val="left"/>
        <w:rPr>
          <w:rFonts w:eastAsia="Arial" w:cs="Arial"/>
          <w:sz w:val="20"/>
          <w:szCs w:val="20"/>
        </w:rPr>
      </w:pPr>
      <w:r>
        <w:rPr>
          <w:rFonts w:eastAsia="Arial" w:cs="Arial"/>
          <w:sz w:val="20"/>
          <w:szCs w:val="20"/>
        </w:rPr>
        <w:t>purchasing instead of selling a security (or vice versa)</w:t>
      </w:r>
    </w:p>
    <w:p>
      <w:pPr>
        <w:numPr>
          <w:ilvl w:val="0"/>
          <w:numId w:val="422"/>
        </w:numPr>
        <w:ind w:left="720" w:hanging="192"/>
        <w:jc w:val="left"/>
        <w:rPr>
          <w:rFonts w:eastAsia="Arial" w:cs="Arial"/>
          <w:sz w:val="20"/>
          <w:szCs w:val="20"/>
        </w:rPr>
      </w:pPr>
      <w:r>
        <w:rPr>
          <w:rFonts w:eastAsia="Arial" w:cs="Arial"/>
          <w:sz w:val="20"/>
          <w:szCs w:val="20"/>
        </w:rPr>
        <w:t>inputting the wrong ticker symbol</w:t>
      </w:r>
    </w:p>
    <w:p>
      <w:pPr>
        <w:numPr>
          <w:ilvl w:val="0"/>
          <w:numId w:val="422"/>
        </w:numPr>
        <w:ind w:left="720" w:hanging="192"/>
        <w:jc w:val="left"/>
        <w:rPr>
          <w:rFonts w:eastAsia="Arial" w:cs="Arial"/>
          <w:sz w:val="20"/>
          <w:szCs w:val="20"/>
        </w:rPr>
      </w:pPr>
      <w:r>
        <w:rPr>
          <w:rFonts w:eastAsia="Arial" w:cs="Arial"/>
          <w:sz w:val="20"/>
          <w:szCs w:val="20"/>
        </w:rPr>
        <w:t>violating a client's investment restrictions or guidelines</w:t>
      </w:r>
    </w:p>
    <w:p>
      <w:pPr>
        <w:numPr>
          <w:ilvl w:val="0"/>
          <w:numId w:val="422"/>
        </w:numPr>
        <w:ind w:left="720" w:hanging="192"/>
        <w:jc w:val="left"/>
        <w:rPr>
          <w:rFonts w:eastAsia="Arial" w:cs="Arial"/>
          <w:sz w:val="20"/>
          <w:szCs w:val="20"/>
        </w:rPr>
      </w:pPr>
      <w:r>
        <w:rPr>
          <w:rFonts w:eastAsia="Arial" w:cs="Arial"/>
          <w:sz w:val="20"/>
          <w:szCs w:val="20"/>
        </w:rPr>
        <w:t>executing a trade in the wrong client's account</w:t>
      </w:r>
    </w:p>
    <w:p>
      <w:pPr>
        <w:numPr>
          <w:ilvl w:val="0"/>
          <w:numId w:val="422"/>
        </w:numPr>
        <w:ind w:left="720" w:hanging="192"/>
        <w:jc w:val="left"/>
        <w:rPr>
          <w:rFonts w:eastAsia="Arial" w:cs="Arial"/>
          <w:sz w:val="20"/>
          <w:szCs w:val="20"/>
        </w:rPr>
      </w:pPr>
      <w:r>
        <w:rPr>
          <w:rFonts w:eastAsia="Arial" w:cs="Arial"/>
          <w:sz w:val="20"/>
          <w:szCs w:val="20"/>
        </w:rPr>
        <w:t>entering an incorrect quantity or price</w:t>
      </w:r>
    </w:p>
    <w:p>
      <w:pPr>
        <w:numPr>
          <w:ilvl w:val="0"/>
          <w:numId w:val="422"/>
        </w:numPr>
        <w:ind w:left="720" w:hanging="192"/>
        <w:jc w:val="left"/>
        <w:rPr>
          <w:rFonts w:eastAsia="Arial" w:cs="Arial"/>
          <w:sz w:val="20"/>
          <w:szCs w:val="20"/>
        </w:rPr>
      </w:pPr>
      <w:r>
        <w:rPr>
          <w:rFonts w:eastAsia="Arial" w:cs="Arial"/>
          <w:sz w:val="20"/>
          <w:szCs w:val="20"/>
        </w:rPr>
        <w:t>failing to cancel a trade in a timely manner</w:t>
      </w:r>
    </w:p>
    <w:p>
      <w:pPr>
        <w:numPr>
          <w:ilvl w:val="0"/>
          <w:numId w:val="422"/>
        </w:numPr>
        <w:spacing w:after="200"/>
        <w:ind w:left="720" w:hanging="192"/>
        <w:jc w:val="left"/>
        <w:rPr>
          <w:rFonts w:eastAsia="Arial" w:cs="Arial"/>
          <w:sz w:val="20"/>
          <w:szCs w:val="20"/>
        </w:rPr>
      </w:pPr>
      <w:r>
        <w:rPr>
          <w:rFonts w:eastAsia="Arial" w:cs="Arial"/>
          <w:sz w:val="20"/>
          <w:szCs w:val="20"/>
        </w:rPr>
        <w:t>other mistakes made by KCD resulting in an erroneous trade</w:t>
      </w:r>
    </w:p>
    <w:p>
      <w:pPr>
        <w:pStyle w:val="normal0"/>
        <w:spacing w:before="200" w:after="200"/>
        <w:rPr>
          <w:rFonts w:eastAsia="Arial" w:cs="Arial"/>
          <w:sz w:val="20"/>
          <w:szCs w:val="20"/>
        </w:rPr>
      </w:pPr>
      <w:r>
        <w:rPr>
          <w:rFonts w:eastAsia="Arial" w:cs="Arial"/>
          <w:b/>
          <w:bCs/>
          <w:sz w:val="20"/>
          <w:szCs w:val="20"/>
          <w:u w:val="single"/>
        </w:rPr>
        <w:t>Trade Error Process</w:t>
      </w:r>
      <w:r>
        <w:rPr>
          <w:rFonts w:eastAsia="Arial" w:cs="Arial"/>
          <w:b/>
          <w:bCs/>
          <w:sz w:val="20"/>
          <w:szCs w:val="20"/>
        </w:rPr>
        <w:t xml:space="preserve"> </w:t>
      </w:r>
    </w:p>
    <w:p>
      <w:pPr>
        <w:pStyle w:val="normal0"/>
        <w:spacing w:before="200" w:after="200"/>
        <w:rPr>
          <w:rFonts w:eastAsia="Arial" w:cs="Arial"/>
          <w:sz w:val="20"/>
          <w:szCs w:val="20"/>
        </w:rPr>
      </w:pPr>
      <w:r>
        <w:rPr>
          <w:rFonts w:eastAsia="Arial" w:cs="Arial"/>
          <w:sz w:val="20"/>
          <w:szCs w:val="20"/>
        </w:rPr>
        <w:t>When a trade error is discovered, the following procedures will be implemented:</w:t>
      </w:r>
    </w:p>
    <w:p>
      <w:pPr>
        <w:numPr>
          <w:ilvl w:val="0"/>
          <w:numId w:val="423"/>
        </w:numPr>
        <w:spacing w:before="200"/>
        <w:ind w:left="720" w:hanging="192"/>
        <w:jc w:val="left"/>
        <w:rPr>
          <w:rFonts w:eastAsia="Arial" w:cs="Arial"/>
          <w:sz w:val="20"/>
          <w:szCs w:val="20"/>
        </w:rPr>
      </w:pPr>
      <w:r>
        <w:rPr>
          <w:rFonts w:eastAsia="Arial" w:cs="Arial"/>
          <w:sz w:val="20"/>
          <w:szCs w:val="20"/>
        </w:rPr>
        <w:t xml:space="preserve">The Adviser Representative or other employee of KCD who discovered the error will immediately report the error to the Chief Compliance Officer. </w:t>
      </w:r>
    </w:p>
    <w:p>
      <w:pPr>
        <w:numPr>
          <w:ilvl w:val="0"/>
          <w:numId w:val="423"/>
        </w:numPr>
        <w:ind w:left="720" w:hanging="192"/>
        <w:jc w:val="left"/>
        <w:rPr>
          <w:rFonts w:eastAsia="Arial" w:cs="Arial"/>
          <w:sz w:val="20"/>
          <w:szCs w:val="20"/>
        </w:rPr>
      </w:pPr>
      <w:r>
        <w:rPr>
          <w:rFonts w:eastAsia="Arial" w:cs="Arial"/>
          <w:sz w:val="20"/>
          <w:szCs w:val="20"/>
        </w:rPr>
        <w:t xml:space="preserve">The employee who discovered the error will </w:t>
      </w:r>
      <w:r>
        <w:rPr>
          <w:rFonts w:eastAsia="Arial" w:cs="Arial"/>
          <w:sz w:val="20"/>
          <w:szCs w:val="20"/>
          <w:u w:val="single"/>
        </w:rPr>
        <w:t>not</w:t>
      </w:r>
      <w:r>
        <w:rPr>
          <w:rFonts w:eastAsia="Arial" w:cs="Arial"/>
          <w:sz w:val="20"/>
          <w:szCs w:val="20"/>
        </w:rPr>
        <w:t xml:space="preserve"> attempt to rectify trading errors by himself or herself. </w:t>
      </w:r>
    </w:p>
    <w:p>
      <w:pPr>
        <w:numPr>
          <w:ilvl w:val="0"/>
          <w:numId w:val="423"/>
        </w:numPr>
        <w:ind w:left="720" w:hanging="192"/>
        <w:jc w:val="left"/>
        <w:rPr>
          <w:rFonts w:eastAsia="Arial" w:cs="Arial"/>
          <w:sz w:val="20"/>
          <w:szCs w:val="20"/>
        </w:rPr>
      </w:pPr>
      <w:r>
        <w:rPr>
          <w:rFonts w:eastAsia="Arial" w:cs="Arial"/>
          <w:sz w:val="20"/>
          <w:szCs w:val="20"/>
        </w:rPr>
        <w:t>The trade error will be documented including: (i) the date of the trade error; (ii) the client's name; (iii) the name of the security; (iv) the amount of the error; (v) how the trade error occurred; and (vi) all other relevant facts.</w:t>
      </w:r>
    </w:p>
    <w:p>
      <w:pPr>
        <w:numPr>
          <w:ilvl w:val="0"/>
          <w:numId w:val="423"/>
        </w:numPr>
        <w:ind w:left="720" w:hanging="192"/>
        <w:jc w:val="left"/>
        <w:rPr>
          <w:rFonts w:eastAsia="Arial" w:cs="Arial"/>
          <w:sz w:val="20"/>
          <w:szCs w:val="20"/>
        </w:rPr>
      </w:pPr>
      <w:r>
        <w:rPr>
          <w:rFonts w:eastAsia="Arial" w:cs="Arial"/>
          <w:sz w:val="20"/>
          <w:szCs w:val="20"/>
        </w:rPr>
        <w:t>Corrective action will be taken by the Chief Compliance Officer in consultation with the senior executives of KCD. Where necessary and appropriate, KCD will establish an account pursuant to the Trade Error account procedures and arrange for the reversing of the erroneous trade into or out of the trade error account, or when a security is erroneously sold from a client's account, the security will be purchased in the trade error account.</w:t>
      </w:r>
    </w:p>
    <w:p>
      <w:pPr>
        <w:numPr>
          <w:ilvl w:val="0"/>
          <w:numId w:val="423"/>
        </w:numPr>
        <w:ind w:left="720" w:hanging="192"/>
        <w:jc w:val="left"/>
        <w:rPr>
          <w:rFonts w:eastAsia="Arial" w:cs="Arial"/>
          <w:sz w:val="20"/>
          <w:szCs w:val="20"/>
        </w:rPr>
      </w:pPr>
      <w:r>
        <w:rPr>
          <w:rFonts w:eastAsia="Arial" w:cs="Arial"/>
          <w:sz w:val="20"/>
          <w:szCs w:val="20"/>
        </w:rPr>
        <w:t xml:space="preserve">Periodically, the Chief Compliance Officer shall review the file documenting trade errors to verify that the trade error was corrected fairly and on a timely basis. </w:t>
      </w:r>
    </w:p>
    <w:p>
      <w:pPr>
        <w:numPr>
          <w:ilvl w:val="0"/>
          <w:numId w:val="423"/>
        </w:numPr>
        <w:spacing w:after="200"/>
        <w:ind w:left="720" w:hanging="192"/>
        <w:jc w:val="left"/>
        <w:rPr>
          <w:rFonts w:eastAsia="Arial" w:cs="Arial"/>
          <w:sz w:val="20"/>
          <w:szCs w:val="20"/>
        </w:rPr>
      </w:pPr>
      <w:r>
        <w:rPr>
          <w:rFonts w:eastAsia="Arial" w:cs="Arial"/>
          <w:sz w:val="20"/>
          <w:szCs w:val="20"/>
        </w:rPr>
        <w:t>The Chief Compliance Officer will create and maintain a file documenting the occurrence and correction of trade errors.</w:t>
      </w:r>
    </w:p>
    <w:p>
      <w:pPr>
        <w:pStyle w:val="normal0"/>
        <w:spacing w:before="200" w:after="200"/>
        <w:rPr>
          <w:rFonts w:eastAsia="Arial" w:cs="Arial"/>
          <w:sz w:val="20"/>
          <w:szCs w:val="20"/>
        </w:rPr>
      </w:pPr>
      <w:r>
        <w:rPr>
          <w:rFonts w:eastAsia="Arial" w:cs="Arial"/>
          <w:b/>
          <w:bCs/>
          <w:sz w:val="20"/>
          <w:szCs w:val="20"/>
          <w:u w:val="single"/>
        </w:rPr>
        <w:t>Trade Error Reimbursement Policy</w:t>
      </w:r>
      <w:r>
        <w:rPr>
          <w:rFonts w:eastAsia="Arial" w:cs="Arial"/>
          <w:b/>
          <w:bCs/>
          <w:sz w:val="20"/>
          <w:szCs w:val="20"/>
        </w:rPr>
        <w:t xml:space="preserve"> </w:t>
      </w:r>
    </w:p>
    <w:p>
      <w:pPr>
        <w:numPr>
          <w:ilvl w:val="0"/>
          <w:numId w:val="424"/>
        </w:numPr>
        <w:spacing w:before="200"/>
        <w:ind w:left="720" w:hanging="192"/>
        <w:jc w:val="left"/>
        <w:rPr>
          <w:rFonts w:eastAsia="Arial" w:cs="Arial"/>
          <w:sz w:val="20"/>
          <w:szCs w:val="20"/>
        </w:rPr>
      </w:pPr>
      <w:r>
        <w:rPr>
          <w:rFonts w:eastAsia="Arial" w:cs="Arial"/>
          <w:sz w:val="20"/>
          <w:szCs w:val="20"/>
        </w:rPr>
        <w:t>For trade errors that result in losses, liabilities, damages, expenses or costs to a client that are not a result of KCD's intentional misconduct, bad faith or gross negligence, KCD will evaluate each situation independently. KCD is not required to but will generally remediate the error by returning the client to the position it would have held had no error occurred.</w:t>
      </w:r>
    </w:p>
    <w:p>
      <w:pPr>
        <w:numPr>
          <w:ilvl w:val="0"/>
          <w:numId w:val="424"/>
        </w:numPr>
        <w:ind w:left="720" w:hanging="192"/>
        <w:jc w:val="left"/>
        <w:rPr>
          <w:rFonts w:eastAsia="Arial" w:cs="Arial"/>
          <w:sz w:val="20"/>
          <w:szCs w:val="20"/>
        </w:rPr>
      </w:pPr>
      <w:r>
        <w:rPr>
          <w:rFonts w:eastAsia="Arial" w:cs="Arial"/>
          <w:sz w:val="20"/>
          <w:szCs w:val="20"/>
        </w:rPr>
        <w:t>If KCD determines to reimburse a client for a trade error, net losses (net of offsetting gains) in client accounts caused by trades done in error will be credited to the client.</w:t>
      </w:r>
    </w:p>
    <w:p>
      <w:pPr>
        <w:numPr>
          <w:ilvl w:val="0"/>
          <w:numId w:val="424"/>
        </w:numPr>
        <w:spacing w:after="200"/>
        <w:ind w:left="720" w:hanging="192"/>
        <w:jc w:val="left"/>
        <w:rPr>
          <w:rFonts w:eastAsia="Arial" w:cs="Arial"/>
          <w:sz w:val="20"/>
          <w:szCs w:val="20"/>
        </w:rPr>
      </w:pPr>
      <w:r>
        <w:rPr>
          <w:rFonts w:eastAsia="Arial" w:cs="Arial"/>
          <w:sz w:val="20"/>
          <w:szCs w:val="20"/>
        </w:rPr>
        <w:t>If a client incurs a net gain (net of offsetting losses) as a result of the trade error, the client's account generally will be credited the amount of the gain.</w:t>
      </w:r>
    </w:p>
    <w:p>
      <w:pPr>
        <w:pStyle w:val="normal0"/>
        <w:spacing w:before="200" w:after="200"/>
        <w:rPr>
          <w:rFonts w:eastAsia="Arial" w:cs="Arial"/>
          <w:sz w:val="20"/>
          <w:szCs w:val="20"/>
        </w:rPr>
      </w:pPr>
      <w:r>
        <w:rPr>
          <w:rFonts w:eastAsia="Arial" w:cs="Arial"/>
          <w:b/>
          <w:bCs/>
          <w:sz w:val="20"/>
          <w:szCs w:val="20"/>
          <w:u w:val="single"/>
        </w:rPr>
        <w:t>Prohibited Trade Error Practices</w:t>
      </w:r>
      <w:r>
        <w:rPr>
          <w:rFonts w:eastAsia="Arial" w:cs="Arial"/>
          <w:b/>
          <w:bCs/>
          <w:sz w:val="20"/>
          <w:szCs w:val="20"/>
        </w:rPr>
        <w:t xml:space="preserve"> </w:t>
      </w:r>
    </w:p>
    <w:p>
      <w:pPr>
        <w:pStyle w:val="normal0"/>
        <w:spacing w:before="200" w:after="200"/>
        <w:rPr>
          <w:rFonts w:eastAsia="Arial" w:cs="Arial"/>
          <w:sz w:val="20"/>
          <w:szCs w:val="20"/>
        </w:rPr>
      </w:pPr>
      <w:r>
        <w:rPr>
          <w:rFonts w:eastAsia="Arial" w:cs="Arial"/>
          <w:sz w:val="20"/>
          <w:szCs w:val="20"/>
        </w:rPr>
        <w:t>Neither KCD nor any of its employees will:</w:t>
      </w:r>
    </w:p>
    <w:p>
      <w:pPr>
        <w:numPr>
          <w:ilvl w:val="0"/>
          <w:numId w:val="425"/>
        </w:numPr>
        <w:spacing w:before="200"/>
        <w:ind w:left="720" w:hanging="192"/>
        <w:jc w:val="left"/>
        <w:rPr>
          <w:rFonts w:eastAsia="Arial" w:cs="Arial"/>
          <w:sz w:val="20"/>
          <w:szCs w:val="20"/>
        </w:rPr>
      </w:pPr>
      <w:r>
        <w:rPr>
          <w:rFonts w:eastAsia="Arial" w:cs="Arial"/>
          <w:sz w:val="20"/>
          <w:szCs w:val="20"/>
        </w:rPr>
        <w:t>reallocate trade errors among client accounts to disguise or reduce the economic impact;</w:t>
      </w:r>
    </w:p>
    <w:p>
      <w:pPr>
        <w:numPr>
          <w:ilvl w:val="0"/>
          <w:numId w:val="425"/>
        </w:numPr>
        <w:ind w:left="720" w:hanging="192"/>
        <w:jc w:val="left"/>
        <w:rPr>
          <w:rFonts w:eastAsia="Arial" w:cs="Arial"/>
          <w:sz w:val="20"/>
          <w:szCs w:val="20"/>
        </w:rPr>
      </w:pPr>
      <w:r>
        <w:rPr>
          <w:rFonts w:eastAsia="Arial" w:cs="Arial"/>
          <w:sz w:val="20"/>
          <w:szCs w:val="20"/>
        </w:rPr>
        <w:t>delay reporting or correction of the trade error; or</w:t>
      </w:r>
    </w:p>
    <w:p>
      <w:pPr>
        <w:numPr>
          <w:ilvl w:val="0"/>
          <w:numId w:val="425"/>
        </w:numPr>
        <w:spacing w:after="200"/>
        <w:ind w:left="720" w:hanging="192"/>
        <w:jc w:val="left"/>
        <w:rPr>
          <w:rFonts w:eastAsia="Arial" w:cs="Arial"/>
          <w:sz w:val="20"/>
          <w:szCs w:val="20"/>
        </w:rPr>
      </w:pPr>
      <w:r>
        <w:rPr>
          <w:rFonts w:eastAsia="Arial" w:cs="Arial"/>
          <w:sz w:val="20"/>
          <w:szCs w:val="20"/>
        </w:rPr>
        <w:t>fail to escalate known issues involving recurring errors.</w:t>
      </w:r>
    </w:p>
    <w:p>
      <w:pPr>
        <w:pStyle w:val="normal0"/>
        <w:spacing w:before="200" w:after="200"/>
        <w:rPr>
          <w:rFonts w:eastAsia="Arial" w:cs="Arial"/>
          <w:sz w:val="20"/>
          <w:szCs w:val="20"/>
        </w:rPr>
      </w:pPr>
      <w:r>
        <w:rPr>
          <w:rFonts w:eastAsia="Arial" w:cs="Arial"/>
          <w:sz w:val="20"/>
          <w:szCs w:val="20"/>
        </w:rPr>
        <w:t>These procedures are intended to provide general guidance. Exceptions may be warranted under certain circumstances, provided such exceptions are approved by senior management of KCD.</w:t>
      </w:r>
    </w:p>
    <w:p>
      <w:bookmarkEnd w:id="467"/>
      <w:bookmarkStart w:id="468" w:name="Sec_Chp_061016102251640_061016102252984"/>
    </w:p>
    <w:p>
      <w:pPr>
        <w:pStyle w:val="Heading4"/>
      </w:pPr>
      <w:r>
        <w:t>6.3.12.2 Trade Error Account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when appropriate, will set up a trade error account at a broker-dealer or KCD's custodian in the name of KCD and in compliance with Rule 206(4)-2 (the SEC's custody rule). KCD shall utilize such account to correct the trade error in the following manner:</w:t>
      </w:r>
    </w:p>
    <w:p>
      <w:pPr>
        <w:numPr>
          <w:ilvl w:val="0"/>
          <w:numId w:val="426"/>
        </w:numPr>
        <w:spacing w:before="200"/>
        <w:ind w:left="720" w:hanging="192"/>
        <w:jc w:val="left"/>
        <w:rPr>
          <w:rFonts w:eastAsia="Arial" w:cs="Arial"/>
          <w:sz w:val="20"/>
          <w:szCs w:val="20"/>
        </w:rPr>
      </w:pPr>
      <w:r>
        <w:rPr>
          <w:rFonts w:eastAsia="Arial" w:cs="Arial"/>
          <w:sz w:val="20"/>
          <w:szCs w:val="20"/>
        </w:rPr>
        <w:t>When a security is erroneously sold from a client's account, the security will be purchased in the error account;</w:t>
      </w:r>
    </w:p>
    <w:p>
      <w:pPr>
        <w:numPr>
          <w:ilvl w:val="0"/>
          <w:numId w:val="426"/>
        </w:numPr>
        <w:ind w:left="720" w:hanging="192"/>
        <w:jc w:val="left"/>
        <w:rPr>
          <w:rFonts w:eastAsia="Arial" w:cs="Arial"/>
          <w:sz w:val="20"/>
          <w:szCs w:val="20"/>
        </w:rPr>
      </w:pPr>
      <w:r>
        <w:rPr>
          <w:rFonts w:eastAsia="Arial" w:cs="Arial"/>
          <w:sz w:val="20"/>
          <w:szCs w:val="20"/>
        </w:rPr>
        <w:t>Such account will be used solely for the correction of errors;</w:t>
      </w:r>
    </w:p>
    <w:p>
      <w:pPr>
        <w:numPr>
          <w:ilvl w:val="0"/>
          <w:numId w:val="426"/>
        </w:numPr>
        <w:ind w:left="720" w:hanging="192"/>
        <w:jc w:val="left"/>
        <w:rPr>
          <w:rFonts w:eastAsia="Arial" w:cs="Arial"/>
          <w:sz w:val="20"/>
          <w:szCs w:val="20"/>
        </w:rPr>
      </w:pPr>
      <w:r>
        <w:rPr>
          <w:rFonts w:eastAsia="Arial" w:cs="Arial"/>
          <w:sz w:val="20"/>
          <w:szCs w:val="20"/>
        </w:rPr>
        <w:t>Clients will be compensated for any losses resulting from an error out of the error account; and</w:t>
      </w:r>
    </w:p>
    <w:p>
      <w:pPr>
        <w:numPr>
          <w:ilvl w:val="0"/>
          <w:numId w:val="426"/>
        </w:numPr>
        <w:spacing w:after="200"/>
        <w:ind w:left="720" w:hanging="192"/>
        <w:jc w:val="left"/>
        <w:rPr>
          <w:rFonts w:eastAsia="Arial" w:cs="Arial"/>
          <w:sz w:val="20"/>
          <w:szCs w:val="20"/>
        </w:rPr>
      </w:pPr>
      <w:r>
        <w:rPr>
          <w:rFonts w:eastAsia="Arial" w:cs="Arial"/>
          <w:sz w:val="20"/>
          <w:szCs w:val="20"/>
        </w:rPr>
        <w:t>When necessary, KCD shall contribute assets to the error account.</w:t>
      </w:r>
    </w:p>
    <w:p>
      <w:bookmarkEnd w:id="468"/>
      <w:bookmarkStart w:id="469" w:name="Sec_Chp_061016102251640_0610161022529536"/>
    </w:p>
    <w:p>
      <w:pPr>
        <w:pStyle w:val="Heading3"/>
      </w:pPr>
      <w:bookmarkStart w:id="470" w:name="_Toc256000111"/>
      <w:r>
        <w:t>6.3.13 Manipulative Trades</w:t>
      </w:r>
      <w:bookmarkEnd w:id="470"/>
    </w:p>
    <w:p/>
    <w:p>
      <w:pPr>
        <w:rPr>
          <w:rFonts w:eastAsia="Arial" w:cs="Arial"/>
          <w:sz w:val="16"/>
          <w:szCs w:val="16"/>
        </w:rPr>
      </w:pPr>
    </w:p>
    <w:tbl>
      <w:tblPr>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Pr>
      <w:tblGrid>
        <w:gridCol w:w="9920"/>
      </w:tblGrid>
      <w:tr>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Section 9(a)(2) of the Securities Exchange Act of 1934 and Rule 10b-5 thereunder prohibit any person trading any security with the specific intent to: (1) induce the purchase or sale of such security by others; or (2) create a false or misleading appearance of market activity in such security.</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No employee of KCD may engage in actual or apparent trading in a security for the purpose of inducing the purchase or sale of such security by others or causing the price of a security to increase or decrease. Price changes in a security caused by the supply and demand in the applicable market are not prohibited. The federal securities laws do not prohibit such price changes in a security unless artificially induced.</w:t>
      </w:r>
    </w:p>
    <w:p>
      <w:bookmarkEnd w:id="469"/>
      <w:bookmarkStart w:id="471" w:name="Sec_Chp_061016102251640_061016102253000"/>
    </w:p>
    <w:p>
      <w:pPr>
        <w:pStyle w:val="Heading2"/>
      </w:pPr>
      <w:bookmarkStart w:id="472" w:name="_Toc256000112"/>
      <w:r>
        <w:t>6.4 Form ADV Disclosure</w:t>
      </w:r>
      <w:bookmarkEnd w:id="472"/>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Registered Investment Advisor will ensure that KCD discloses in its Brochure (Part 2A), where applicable, its practice of engaging in:</w:t>
      </w:r>
    </w:p>
    <w:p>
      <w:pPr>
        <w:numPr>
          <w:ilvl w:val="0"/>
          <w:numId w:val="427"/>
        </w:numPr>
        <w:spacing w:before="200"/>
        <w:ind w:left="720" w:hanging="192"/>
        <w:jc w:val="left"/>
        <w:rPr>
          <w:rFonts w:eastAsia="Arial" w:cs="Arial"/>
          <w:sz w:val="20"/>
          <w:szCs w:val="20"/>
        </w:rPr>
      </w:pPr>
      <w:r>
        <w:rPr>
          <w:rFonts w:eastAsia="Arial" w:cs="Arial"/>
          <w:sz w:val="20"/>
          <w:szCs w:val="20"/>
        </w:rPr>
        <w:t>agency transactions;</w:t>
      </w:r>
    </w:p>
    <w:p>
      <w:pPr>
        <w:numPr>
          <w:ilvl w:val="0"/>
          <w:numId w:val="427"/>
        </w:numPr>
        <w:ind w:left="720" w:hanging="192"/>
        <w:jc w:val="left"/>
        <w:rPr>
          <w:rFonts w:eastAsia="Arial" w:cs="Arial"/>
          <w:sz w:val="20"/>
          <w:szCs w:val="20"/>
        </w:rPr>
      </w:pPr>
      <w:r>
        <w:rPr>
          <w:rFonts w:eastAsia="Arial" w:cs="Arial"/>
          <w:sz w:val="20"/>
          <w:szCs w:val="20"/>
        </w:rPr>
        <w:t xml:space="preserve">agency cross transactions; </w:t>
      </w:r>
    </w:p>
    <w:p>
      <w:pPr>
        <w:numPr>
          <w:ilvl w:val="0"/>
          <w:numId w:val="427"/>
        </w:numPr>
        <w:ind w:left="720" w:hanging="192"/>
        <w:jc w:val="left"/>
        <w:rPr>
          <w:rFonts w:eastAsia="Arial" w:cs="Arial"/>
          <w:sz w:val="20"/>
          <w:szCs w:val="20"/>
        </w:rPr>
      </w:pPr>
      <w:r>
        <w:rPr>
          <w:rFonts w:eastAsia="Arial" w:cs="Arial"/>
          <w:sz w:val="20"/>
          <w:szCs w:val="20"/>
        </w:rPr>
        <w:t xml:space="preserve">principal transactions; </w:t>
      </w:r>
    </w:p>
    <w:p>
      <w:pPr>
        <w:numPr>
          <w:ilvl w:val="0"/>
          <w:numId w:val="427"/>
        </w:numPr>
        <w:ind w:left="720" w:hanging="192"/>
        <w:jc w:val="left"/>
        <w:rPr>
          <w:rFonts w:eastAsia="Arial" w:cs="Arial"/>
          <w:sz w:val="20"/>
          <w:szCs w:val="20"/>
        </w:rPr>
      </w:pPr>
      <w:r>
        <w:rPr>
          <w:rFonts w:eastAsia="Arial" w:cs="Arial"/>
          <w:sz w:val="20"/>
          <w:szCs w:val="20"/>
        </w:rPr>
        <w:t>trade aggregation; and</w:t>
      </w:r>
    </w:p>
    <w:p>
      <w:pPr>
        <w:numPr>
          <w:ilvl w:val="0"/>
          <w:numId w:val="427"/>
        </w:numPr>
        <w:spacing w:after="200"/>
        <w:ind w:left="720" w:hanging="192"/>
        <w:jc w:val="left"/>
        <w:rPr>
          <w:rFonts w:eastAsia="Arial" w:cs="Arial"/>
          <w:sz w:val="20"/>
          <w:szCs w:val="20"/>
        </w:rPr>
      </w:pPr>
      <w:r>
        <w:rPr>
          <w:rFonts w:eastAsia="Arial" w:cs="Arial"/>
          <w:sz w:val="20"/>
          <w:szCs w:val="20"/>
        </w:rPr>
        <w:t>trade allocation.</w:t>
      </w:r>
    </w:p>
    <w:p>
      <w:bookmarkEnd w:id="471"/>
      <w:bookmarkStart w:id="473" w:name="Sec_Chp_061016102251640_061016102253015"/>
    </w:p>
    <w:p>
      <w:pPr>
        <w:pStyle w:val="Heading2"/>
      </w:pPr>
      <w:bookmarkStart w:id="474" w:name="_Toc256000113"/>
      <w:r>
        <w:t>6.5 Books and Records</w:t>
      </w:r>
      <w:bookmarkEnd w:id="474"/>
    </w:p>
    <w:p/>
    <w:p>
      <w:pPr>
        <w:rPr>
          <w:rFonts w:eastAsia="Arial" w:cs="Arial"/>
          <w:sz w:val="16"/>
          <w:szCs w:val="16"/>
        </w:rPr>
      </w:pPr>
      <w:r>
        <w:rPr>
          <w:rFonts w:eastAsia="Arial" w:cs="Arial"/>
          <w:sz w:val="16"/>
          <w:szCs w:val="16"/>
        </w:rPr>
        <w:t>[Investment Advisers Act of 1940 Rule 204-2(a)(7), 204-2(b)(1), 204-2(b)(2), 204-2(b)(3), 204-2(b)(4), 204-2(c)(1)(i) and 204-2(c)(1)(ii)]</w:t>
      </w:r>
    </w:p>
    <w:p/>
    <w:p>
      <w:pPr>
        <w:pStyle w:val="normal0"/>
        <w:spacing w:after="200"/>
        <w:rPr>
          <w:rFonts w:eastAsia="Arial" w:cs="Arial"/>
          <w:sz w:val="20"/>
          <w:szCs w:val="20"/>
        </w:rPr>
      </w:pPr>
      <w:r>
        <w:rPr>
          <w:rFonts w:eastAsia="Arial" w:cs="Arial"/>
          <w:sz w:val="20"/>
          <w:szCs w:val="20"/>
        </w:rPr>
        <w:t>KCD will maintain in its "Trades" books and records:</w:t>
      </w:r>
    </w:p>
    <w:p>
      <w:pPr>
        <w:numPr>
          <w:ilvl w:val="0"/>
          <w:numId w:val="428"/>
        </w:numPr>
        <w:spacing w:before="200"/>
        <w:ind w:left="720" w:hanging="192"/>
        <w:jc w:val="left"/>
        <w:rPr>
          <w:rFonts w:eastAsia="Arial" w:cs="Arial"/>
          <w:sz w:val="20"/>
          <w:szCs w:val="20"/>
        </w:rPr>
      </w:pPr>
      <w:r>
        <w:rPr>
          <w:rFonts w:eastAsia="Arial" w:cs="Arial"/>
          <w:sz w:val="20"/>
          <w:szCs w:val="20"/>
        </w:rPr>
        <w:t>a memorandum of each order (also called a "trade ticket") given by KCD for the purchase or sale of any security, of any instruction received by KCD by the client concerning the purchase, sale, receipt or delivery of a particular security, and of any modification or cancellation of any such order or instruction (Rule 204-2(a)(3));</w:t>
      </w:r>
    </w:p>
    <w:p>
      <w:pPr>
        <w:numPr>
          <w:ilvl w:val="0"/>
          <w:numId w:val="428"/>
        </w:numPr>
        <w:ind w:left="720" w:hanging="192"/>
        <w:jc w:val="left"/>
        <w:rPr>
          <w:rFonts w:eastAsia="Arial" w:cs="Arial"/>
          <w:sz w:val="20"/>
          <w:szCs w:val="20"/>
        </w:rPr>
      </w:pPr>
      <w:r>
        <w:rPr>
          <w:rFonts w:eastAsia="Arial" w:cs="Arial"/>
          <w:sz w:val="20"/>
          <w:szCs w:val="20"/>
        </w:rPr>
        <w:t xml:space="preserve">copies of all confirmations that relate to securities transactions of clients; </w:t>
      </w:r>
    </w:p>
    <w:p>
      <w:pPr>
        <w:numPr>
          <w:ilvl w:val="0"/>
          <w:numId w:val="428"/>
        </w:numPr>
        <w:ind w:left="720" w:hanging="192"/>
        <w:jc w:val="left"/>
        <w:rPr>
          <w:rFonts w:eastAsia="Arial" w:cs="Arial"/>
          <w:sz w:val="20"/>
          <w:szCs w:val="20"/>
        </w:rPr>
      </w:pPr>
      <w:r>
        <w:rPr>
          <w:rFonts w:eastAsia="Arial" w:cs="Arial"/>
          <w:sz w:val="20"/>
          <w:szCs w:val="20"/>
        </w:rPr>
        <w:t xml:space="preserve">originals of all the following written communications received and copies of all written communications sent by KCD relating to: </w:t>
      </w:r>
    </w:p>
    <w:p>
      <w:pPr>
        <w:numPr>
          <w:ilvl w:val="1"/>
          <w:numId w:val="428"/>
        </w:numPr>
        <w:ind w:left="1440" w:hanging="220"/>
        <w:jc w:val="left"/>
        <w:rPr>
          <w:rFonts w:eastAsia="Arial" w:cs="Arial"/>
          <w:sz w:val="20"/>
          <w:szCs w:val="20"/>
        </w:rPr>
      </w:pPr>
      <w:r>
        <w:rPr>
          <w:rFonts w:eastAsia="Arial" w:cs="Arial"/>
          <w:sz w:val="20"/>
          <w:szCs w:val="20"/>
        </w:rPr>
        <w:t>investment recommendations made or proposed to be made, and any advice given or proposed to be given;</w:t>
      </w:r>
    </w:p>
    <w:p>
      <w:pPr>
        <w:numPr>
          <w:ilvl w:val="1"/>
          <w:numId w:val="428"/>
        </w:numPr>
        <w:ind w:left="1440" w:hanging="220"/>
        <w:jc w:val="left"/>
        <w:rPr>
          <w:rFonts w:eastAsia="Arial" w:cs="Arial"/>
          <w:sz w:val="20"/>
          <w:szCs w:val="20"/>
        </w:rPr>
      </w:pPr>
      <w:r>
        <w:rPr>
          <w:rFonts w:eastAsia="Arial" w:cs="Arial"/>
          <w:sz w:val="20"/>
          <w:szCs w:val="20"/>
        </w:rPr>
        <w:t xml:space="preserve">receipt, disbursement or delivery of funds or securities; and </w:t>
      </w:r>
    </w:p>
    <w:p>
      <w:pPr>
        <w:numPr>
          <w:ilvl w:val="1"/>
          <w:numId w:val="428"/>
        </w:numPr>
        <w:ind w:left="1440" w:hanging="220"/>
        <w:jc w:val="left"/>
        <w:rPr>
          <w:rFonts w:eastAsia="Arial" w:cs="Arial"/>
          <w:sz w:val="20"/>
          <w:szCs w:val="20"/>
        </w:rPr>
      </w:pPr>
      <w:r>
        <w:rPr>
          <w:rFonts w:eastAsia="Arial" w:cs="Arial"/>
          <w:sz w:val="20"/>
          <w:szCs w:val="20"/>
        </w:rPr>
        <w:t xml:space="preserve">the placing or execution of any order to purchase or sell any security, each confirmation received, and any allocation and each affirmation sent or received, with a date and time stamp for each allocation and affirmation that indicates when the allocation and affirmation was sent or received (Rule 204-2(a)(7)); </w:t>
      </w:r>
    </w:p>
    <w:p>
      <w:pPr>
        <w:numPr>
          <w:ilvl w:val="0"/>
          <w:numId w:val="428"/>
        </w:numPr>
        <w:ind w:left="720" w:hanging="192"/>
        <w:jc w:val="left"/>
        <w:rPr>
          <w:rFonts w:eastAsia="Arial" w:cs="Arial"/>
          <w:sz w:val="20"/>
          <w:szCs w:val="20"/>
        </w:rPr>
      </w:pPr>
      <w:r>
        <w:rPr>
          <w:rFonts w:eastAsia="Arial" w:cs="Arial"/>
          <w:sz w:val="20"/>
          <w:szCs w:val="20"/>
        </w:rPr>
        <w:t xml:space="preserve">all documents related to account reconciliation and all reports on discrepancies and their resolutions; </w:t>
      </w:r>
    </w:p>
    <w:p>
      <w:pPr>
        <w:numPr>
          <w:ilvl w:val="0"/>
          <w:numId w:val="428"/>
        </w:numPr>
        <w:ind w:left="720" w:hanging="192"/>
        <w:jc w:val="left"/>
        <w:rPr>
          <w:rFonts w:eastAsia="Arial" w:cs="Arial"/>
          <w:sz w:val="20"/>
          <w:szCs w:val="20"/>
        </w:rPr>
      </w:pPr>
      <w:r>
        <w:rPr>
          <w:rFonts w:eastAsia="Arial" w:cs="Arial"/>
          <w:sz w:val="20"/>
          <w:szCs w:val="20"/>
        </w:rPr>
        <w:t xml:space="preserve">records showing client positions and reconciliation of such positions with brokerage and other statements; </w:t>
      </w:r>
    </w:p>
    <w:p>
      <w:pPr>
        <w:numPr>
          <w:ilvl w:val="0"/>
          <w:numId w:val="428"/>
        </w:numPr>
        <w:ind w:left="720" w:hanging="192"/>
        <w:jc w:val="left"/>
        <w:rPr>
          <w:rFonts w:eastAsia="Arial" w:cs="Arial"/>
          <w:sz w:val="20"/>
          <w:szCs w:val="20"/>
        </w:rPr>
      </w:pPr>
      <w:r>
        <w:rPr>
          <w:rFonts w:eastAsia="Arial" w:cs="Arial"/>
          <w:sz w:val="20"/>
          <w:szCs w:val="20"/>
        </w:rPr>
        <w:t>records showing separately for each such client the securities purchased and sold, and the date, amount and price of each such purchase and sale (Rule 204-2(c)(1)(i));</w:t>
      </w:r>
    </w:p>
    <w:p>
      <w:pPr>
        <w:numPr>
          <w:ilvl w:val="0"/>
          <w:numId w:val="428"/>
        </w:numPr>
        <w:ind w:left="720" w:hanging="192"/>
        <w:jc w:val="left"/>
        <w:rPr>
          <w:rFonts w:eastAsia="Arial" w:cs="Arial"/>
          <w:sz w:val="20"/>
          <w:szCs w:val="20"/>
        </w:rPr>
      </w:pPr>
      <w:r>
        <w:rPr>
          <w:rFonts w:eastAsia="Arial" w:cs="Arial"/>
          <w:sz w:val="20"/>
          <w:szCs w:val="20"/>
        </w:rPr>
        <w:t>for each security in which any such client has a current position, information from which KCD can promptly furnish the name of each such client, and the current amount or interest of such client (Rule 204-2(c)(1)(ii));</w:t>
      </w:r>
    </w:p>
    <w:p>
      <w:pPr>
        <w:numPr>
          <w:ilvl w:val="0"/>
          <w:numId w:val="428"/>
        </w:numPr>
        <w:ind w:left="720" w:hanging="192"/>
        <w:jc w:val="left"/>
        <w:rPr>
          <w:rFonts w:eastAsia="Arial" w:cs="Arial"/>
          <w:sz w:val="20"/>
          <w:szCs w:val="20"/>
        </w:rPr>
      </w:pPr>
      <w:r>
        <w:rPr>
          <w:rFonts w:eastAsia="Arial" w:cs="Arial"/>
          <w:sz w:val="20"/>
          <w:szCs w:val="20"/>
        </w:rPr>
        <w:t xml:space="preserve">all documents related to trade errors and any compliance matter related to a failure to follow a client's instructions or restrictions, including actions taken to resolve the matter, a record of any payments, reimbursements, or rebates made to a client by KCD due to an investment loss, administrative error or other error; </w:t>
      </w:r>
    </w:p>
    <w:p>
      <w:pPr>
        <w:numPr>
          <w:ilvl w:val="0"/>
          <w:numId w:val="428"/>
        </w:numPr>
        <w:ind w:left="720" w:hanging="192"/>
        <w:jc w:val="left"/>
        <w:rPr>
          <w:rFonts w:eastAsia="Arial" w:cs="Arial"/>
          <w:sz w:val="20"/>
          <w:szCs w:val="20"/>
        </w:rPr>
      </w:pPr>
      <w:r>
        <w:rPr>
          <w:rFonts w:eastAsia="Arial" w:cs="Arial"/>
          <w:sz w:val="20"/>
          <w:szCs w:val="20"/>
        </w:rPr>
        <w:t xml:space="preserve">records related to the settlement process; and </w:t>
      </w:r>
    </w:p>
    <w:p>
      <w:pPr>
        <w:numPr>
          <w:ilvl w:val="0"/>
          <w:numId w:val="428"/>
        </w:numPr>
        <w:spacing w:after="200"/>
        <w:ind w:left="720" w:hanging="192"/>
        <w:jc w:val="left"/>
        <w:rPr>
          <w:rFonts w:eastAsia="Arial" w:cs="Arial"/>
          <w:sz w:val="20"/>
          <w:szCs w:val="20"/>
        </w:rPr>
      </w:pPr>
      <w:r>
        <w:rPr>
          <w:rFonts w:eastAsia="Arial" w:cs="Arial"/>
          <w:sz w:val="20"/>
          <w:szCs w:val="20"/>
        </w:rPr>
        <w:t xml:space="preserve">all documents that relate to the aggregation of trades. With respect to each aggregated trade, KCD will reflect in its books and records for each client account, the orders of those trades that are aggregated and the securities held by, and bought or sold for that account. </w:t>
      </w:r>
    </w:p>
    <w:p>
      <w:pPr>
        <w:pStyle w:val="normal0"/>
        <w:spacing w:before="200" w:after="200"/>
        <w:rPr>
          <w:rFonts w:eastAsia="Arial" w:cs="Arial"/>
          <w:sz w:val="20"/>
          <w:szCs w:val="20"/>
        </w:rPr>
      </w:pPr>
      <w:r>
        <w:rPr>
          <w:rFonts w:eastAsia="Arial" w:cs="Arial"/>
          <w:sz w:val="20"/>
          <w:szCs w:val="20"/>
        </w:rPr>
        <w:t>KCD shall maintain in electronic format a journal (also called a trade blotter) containing the following information about securities purchased and sold for clients:</w:t>
      </w:r>
    </w:p>
    <w:p>
      <w:pPr>
        <w:numPr>
          <w:ilvl w:val="0"/>
          <w:numId w:val="429"/>
        </w:numPr>
        <w:spacing w:before="200"/>
        <w:ind w:left="720" w:hanging="192"/>
        <w:jc w:val="left"/>
        <w:rPr>
          <w:rFonts w:eastAsia="Arial" w:cs="Arial"/>
          <w:sz w:val="20"/>
          <w:szCs w:val="20"/>
        </w:rPr>
      </w:pPr>
      <w:r>
        <w:rPr>
          <w:rFonts w:eastAsia="Arial" w:cs="Arial"/>
          <w:sz w:val="20"/>
          <w:szCs w:val="20"/>
        </w:rPr>
        <w:t>account ID - the unique identifier for the account;</w:t>
      </w:r>
    </w:p>
    <w:p>
      <w:pPr>
        <w:numPr>
          <w:ilvl w:val="0"/>
          <w:numId w:val="429"/>
        </w:numPr>
        <w:ind w:left="720" w:hanging="192"/>
        <w:jc w:val="left"/>
        <w:rPr>
          <w:rFonts w:eastAsia="Arial" w:cs="Arial"/>
          <w:sz w:val="20"/>
          <w:szCs w:val="20"/>
        </w:rPr>
      </w:pPr>
      <w:r>
        <w:rPr>
          <w:rFonts w:eastAsia="Arial" w:cs="Arial"/>
          <w:sz w:val="20"/>
          <w:szCs w:val="20"/>
        </w:rPr>
        <w:t>account description - a short description of the account;</w:t>
      </w:r>
    </w:p>
    <w:p>
      <w:pPr>
        <w:numPr>
          <w:ilvl w:val="0"/>
          <w:numId w:val="429"/>
        </w:numPr>
        <w:ind w:left="720" w:hanging="192"/>
        <w:jc w:val="left"/>
        <w:rPr>
          <w:rFonts w:eastAsia="Arial" w:cs="Arial"/>
          <w:sz w:val="20"/>
          <w:szCs w:val="20"/>
        </w:rPr>
      </w:pPr>
      <w:r>
        <w:rPr>
          <w:rFonts w:eastAsia="Arial" w:cs="Arial"/>
          <w:sz w:val="20"/>
          <w:szCs w:val="20"/>
        </w:rPr>
        <w:t>trade date - use standard internet date/time formats (</w:t>
      </w:r>
      <w:r>
        <w:rPr>
          <w:rFonts w:eastAsia="Arial" w:cs="Arial"/>
          <w:i/>
          <w:iCs/>
          <w:sz w:val="20"/>
          <w:szCs w:val="20"/>
        </w:rPr>
        <w:t>e.g.,</w:t>
      </w:r>
      <w:r>
        <w:rPr>
          <w:rFonts w:eastAsia="Arial" w:cs="Arial"/>
          <w:sz w:val="20"/>
          <w:szCs w:val="20"/>
        </w:rPr>
        <w:t xml:space="preserve"> 2014-03-19);</w:t>
      </w:r>
    </w:p>
    <w:p>
      <w:pPr>
        <w:numPr>
          <w:ilvl w:val="0"/>
          <w:numId w:val="429"/>
        </w:numPr>
        <w:ind w:left="720" w:hanging="192"/>
        <w:jc w:val="left"/>
        <w:rPr>
          <w:rFonts w:eastAsia="Arial" w:cs="Arial"/>
          <w:sz w:val="20"/>
          <w:szCs w:val="20"/>
        </w:rPr>
      </w:pPr>
      <w:r>
        <w:rPr>
          <w:rFonts w:eastAsia="Arial" w:cs="Arial"/>
          <w:sz w:val="20"/>
          <w:szCs w:val="20"/>
        </w:rPr>
        <w:t>trade time - time in 24-hour format with the highest precision available (</w:t>
      </w:r>
      <w:r>
        <w:rPr>
          <w:rFonts w:eastAsia="Arial" w:cs="Arial"/>
          <w:i/>
          <w:iCs/>
          <w:sz w:val="20"/>
          <w:szCs w:val="20"/>
        </w:rPr>
        <w:t>e.g.,</w:t>
      </w:r>
      <w:r>
        <w:rPr>
          <w:rFonts w:eastAsia="Arial" w:cs="Arial"/>
          <w:sz w:val="20"/>
          <w:szCs w:val="20"/>
        </w:rPr>
        <w:t xml:space="preserve"> 13:42:3.365);</w:t>
      </w:r>
    </w:p>
    <w:p>
      <w:pPr>
        <w:numPr>
          <w:ilvl w:val="0"/>
          <w:numId w:val="429"/>
        </w:numPr>
        <w:ind w:left="720" w:hanging="192"/>
        <w:jc w:val="left"/>
        <w:rPr>
          <w:rFonts w:eastAsia="Arial" w:cs="Arial"/>
          <w:sz w:val="20"/>
          <w:szCs w:val="20"/>
        </w:rPr>
      </w:pPr>
      <w:r>
        <w:rPr>
          <w:rFonts w:eastAsia="Arial" w:cs="Arial"/>
          <w:sz w:val="20"/>
          <w:szCs w:val="20"/>
        </w:rPr>
        <w:t>settlement date - use standard internet date/time formats (</w:t>
      </w:r>
      <w:r>
        <w:rPr>
          <w:rFonts w:eastAsia="Arial" w:cs="Arial"/>
          <w:i/>
          <w:iCs/>
          <w:sz w:val="20"/>
          <w:szCs w:val="20"/>
        </w:rPr>
        <w:t>e.g.,</w:t>
      </w:r>
      <w:r>
        <w:rPr>
          <w:rFonts w:eastAsia="Arial" w:cs="Arial"/>
          <w:sz w:val="20"/>
          <w:szCs w:val="20"/>
        </w:rPr>
        <w:t xml:space="preserve"> 2014-03-19);</w:t>
      </w:r>
    </w:p>
    <w:p>
      <w:pPr>
        <w:numPr>
          <w:ilvl w:val="0"/>
          <w:numId w:val="429"/>
        </w:numPr>
        <w:ind w:left="720" w:hanging="192"/>
        <w:jc w:val="left"/>
        <w:rPr>
          <w:rFonts w:eastAsia="Arial" w:cs="Arial"/>
          <w:sz w:val="20"/>
          <w:szCs w:val="20"/>
        </w:rPr>
      </w:pPr>
      <w:r>
        <w:rPr>
          <w:rFonts w:eastAsia="Arial" w:cs="Arial"/>
          <w:sz w:val="20"/>
          <w:szCs w:val="20"/>
        </w:rPr>
        <w:t>trade direction - abbreviation codes (</w:t>
      </w:r>
      <w:r>
        <w:rPr>
          <w:rFonts w:eastAsia="Arial" w:cs="Arial"/>
          <w:i/>
          <w:iCs/>
          <w:sz w:val="20"/>
          <w:szCs w:val="20"/>
        </w:rPr>
        <w:t>e.g.,</w:t>
      </w:r>
      <w:r>
        <w:rPr>
          <w:rFonts w:eastAsia="Arial" w:cs="Arial"/>
          <w:sz w:val="20"/>
          <w:szCs w:val="20"/>
        </w:rPr>
        <w:t xml:space="preserve"> to buy long, "BL");</w:t>
      </w:r>
    </w:p>
    <w:p>
      <w:pPr>
        <w:numPr>
          <w:ilvl w:val="0"/>
          <w:numId w:val="429"/>
        </w:numPr>
        <w:ind w:left="720" w:hanging="192"/>
        <w:jc w:val="left"/>
        <w:rPr>
          <w:rFonts w:eastAsia="Arial" w:cs="Arial"/>
          <w:sz w:val="20"/>
          <w:szCs w:val="20"/>
        </w:rPr>
      </w:pPr>
      <w:r>
        <w:rPr>
          <w:rFonts w:eastAsia="Arial" w:cs="Arial"/>
          <w:sz w:val="20"/>
          <w:szCs w:val="20"/>
        </w:rPr>
        <w:t>trading venue - where the trade occurred (</w:t>
      </w:r>
      <w:r>
        <w:rPr>
          <w:rFonts w:eastAsia="Arial" w:cs="Arial"/>
          <w:i/>
          <w:iCs/>
          <w:sz w:val="20"/>
          <w:szCs w:val="20"/>
        </w:rPr>
        <w:t>e.g.,</w:t>
      </w:r>
      <w:r>
        <w:rPr>
          <w:rFonts w:eastAsia="Arial" w:cs="Arial"/>
          <w:sz w:val="20"/>
          <w:szCs w:val="20"/>
        </w:rPr>
        <w:t xml:space="preserve"> NYSE);</w:t>
      </w:r>
    </w:p>
    <w:p>
      <w:pPr>
        <w:numPr>
          <w:ilvl w:val="0"/>
          <w:numId w:val="429"/>
        </w:numPr>
        <w:ind w:left="720" w:hanging="192"/>
        <w:jc w:val="left"/>
        <w:rPr>
          <w:rFonts w:eastAsia="Arial" w:cs="Arial"/>
          <w:sz w:val="20"/>
          <w:szCs w:val="20"/>
        </w:rPr>
      </w:pPr>
      <w:r>
        <w:rPr>
          <w:rFonts w:eastAsia="Arial" w:cs="Arial"/>
          <w:sz w:val="20"/>
          <w:szCs w:val="20"/>
        </w:rPr>
        <w:t>quantity;</w:t>
      </w:r>
    </w:p>
    <w:p>
      <w:pPr>
        <w:numPr>
          <w:ilvl w:val="0"/>
          <w:numId w:val="429"/>
        </w:numPr>
        <w:ind w:left="720" w:hanging="192"/>
        <w:jc w:val="left"/>
        <w:rPr>
          <w:rFonts w:eastAsia="Arial" w:cs="Arial"/>
          <w:sz w:val="20"/>
          <w:szCs w:val="20"/>
        </w:rPr>
      </w:pPr>
      <w:r>
        <w:rPr>
          <w:rFonts w:eastAsia="Arial" w:cs="Arial"/>
          <w:sz w:val="20"/>
          <w:szCs w:val="20"/>
        </w:rPr>
        <w:t>price - the price at which the trade was executed (</w:t>
      </w:r>
      <w:r>
        <w:rPr>
          <w:rFonts w:eastAsia="Arial" w:cs="Arial"/>
          <w:i/>
          <w:iCs/>
          <w:sz w:val="20"/>
          <w:szCs w:val="20"/>
        </w:rPr>
        <w:t>e.g.,</w:t>
      </w:r>
      <w:r>
        <w:rPr>
          <w:rFonts w:eastAsia="Arial" w:cs="Arial"/>
          <w:sz w:val="20"/>
          <w:szCs w:val="20"/>
        </w:rPr>
        <w:t xml:space="preserve"> 87.55);</w:t>
      </w:r>
    </w:p>
    <w:p>
      <w:pPr>
        <w:numPr>
          <w:ilvl w:val="0"/>
          <w:numId w:val="429"/>
        </w:numPr>
        <w:ind w:left="720" w:hanging="192"/>
        <w:jc w:val="left"/>
        <w:rPr>
          <w:rFonts w:eastAsia="Arial" w:cs="Arial"/>
          <w:sz w:val="20"/>
          <w:szCs w:val="20"/>
        </w:rPr>
      </w:pPr>
      <w:r>
        <w:rPr>
          <w:rFonts w:eastAsia="Arial" w:cs="Arial"/>
          <w:sz w:val="20"/>
          <w:szCs w:val="20"/>
        </w:rPr>
        <w:t>notional - the total notional amount paid for the transactions;</w:t>
      </w:r>
    </w:p>
    <w:p>
      <w:pPr>
        <w:numPr>
          <w:ilvl w:val="0"/>
          <w:numId w:val="429"/>
        </w:numPr>
        <w:ind w:left="720" w:hanging="192"/>
        <w:jc w:val="left"/>
        <w:rPr>
          <w:rFonts w:eastAsia="Arial" w:cs="Arial"/>
          <w:sz w:val="20"/>
          <w:szCs w:val="20"/>
        </w:rPr>
      </w:pPr>
      <w:r>
        <w:rPr>
          <w:rFonts w:eastAsia="Arial" w:cs="Arial"/>
          <w:sz w:val="20"/>
          <w:szCs w:val="20"/>
        </w:rPr>
        <w:t>currency - the currency in which the trade price is denominated (</w:t>
      </w:r>
      <w:r>
        <w:rPr>
          <w:rFonts w:eastAsia="Arial" w:cs="Arial"/>
          <w:i/>
          <w:iCs/>
          <w:sz w:val="20"/>
          <w:szCs w:val="20"/>
        </w:rPr>
        <w:t>e.g.,</w:t>
      </w:r>
      <w:r>
        <w:rPr>
          <w:rFonts w:eastAsia="Arial" w:cs="Arial"/>
          <w:sz w:val="20"/>
          <w:szCs w:val="20"/>
        </w:rPr>
        <w:t xml:space="preserve"> USD);</w:t>
      </w:r>
    </w:p>
    <w:p>
      <w:pPr>
        <w:numPr>
          <w:ilvl w:val="0"/>
          <w:numId w:val="429"/>
        </w:numPr>
        <w:ind w:left="720" w:hanging="192"/>
        <w:jc w:val="left"/>
        <w:rPr>
          <w:rFonts w:eastAsia="Arial" w:cs="Arial"/>
          <w:sz w:val="20"/>
          <w:szCs w:val="20"/>
        </w:rPr>
      </w:pPr>
      <w:r>
        <w:rPr>
          <w:rFonts w:eastAsia="Arial" w:cs="Arial"/>
          <w:sz w:val="20"/>
          <w:szCs w:val="20"/>
        </w:rPr>
        <w:t>commission - if any;</w:t>
      </w:r>
    </w:p>
    <w:p>
      <w:pPr>
        <w:numPr>
          <w:ilvl w:val="0"/>
          <w:numId w:val="429"/>
        </w:numPr>
        <w:ind w:left="720" w:hanging="192"/>
        <w:jc w:val="left"/>
        <w:rPr>
          <w:rFonts w:eastAsia="Arial" w:cs="Arial"/>
          <w:sz w:val="20"/>
          <w:szCs w:val="20"/>
        </w:rPr>
      </w:pPr>
      <w:r>
        <w:rPr>
          <w:rFonts w:eastAsia="Arial" w:cs="Arial"/>
          <w:sz w:val="20"/>
          <w:szCs w:val="20"/>
        </w:rPr>
        <w:t>fee - if any;</w:t>
      </w:r>
    </w:p>
    <w:p>
      <w:pPr>
        <w:numPr>
          <w:ilvl w:val="0"/>
          <w:numId w:val="429"/>
        </w:numPr>
        <w:ind w:left="720" w:hanging="192"/>
        <w:jc w:val="left"/>
        <w:rPr>
          <w:rFonts w:eastAsia="Arial" w:cs="Arial"/>
          <w:sz w:val="20"/>
          <w:szCs w:val="20"/>
        </w:rPr>
      </w:pPr>
      <w:r>
        <w:rPr>
          <w:rFonts w:eastAsia="Arial" w:cs="Arial"/>
          <w:sz w:val="20"/>
          <w:szCs w:val="20"/>
        </w:rPr>
        <w:t>net amount - total amount paid for the trade including fees and commissions;</w:t>
      </w:r>
    </w:p>
    <w:p>
      <w:pPr>
        <w:numPr>
          <w:ilvl w:val="0"/>
          <w:numId w:val="429"/>
        </w:numPr>
        <w:ind w:left="720" w:hanging="192"/>
        <w:jc w:val="left"/>
        <w:rPr>
          <w:rFonts w:eastAsia="Arial" w:cs="Arial"/>
          <w:sz w:val="20"/>
          <w:szCs w:val="20"/>
        </w:rPr>
      </w:pPr>
      <w:r>
        <w:rPr>
          <w:rFonts w:eastAsia="Arial" w:cs="Arial"/>
          <w:sz w:val="20"/>
          <w:szCs w:val="20"/>
        </w:rPr>
        <w:t>broker - the name of the broker associated with the trade;</w:t>
      </w:r>
    </w:p>
    <w:p>
      <w:pPr>
        <w:numPr>
          <w:ilvl w:val="0"/>
          <w:numId w:val="429"/>
        </w:numPr>
        <w:ind w:left="720" w:hanging="192"/>
        <w:jc w:val="left"/>
        <w:rPr>
          <w:rFonts w:eastAsia="Arial" w:cs="Arial"/>
          <w:sz w:val="20"/>
          <w:szCs w:val="20"/>
        </w:rPr>
      </w:pPr>
      <w:r>
        <w:rPr>
          <w:rFonts w:eastAsia="Arial" w:cs="Arial"/>
          <w:sz w:val="20"/>
          <w:szCs w:val="20"/>
        </w:rPr>
        <w:t>security identifier - the unique identifier of the security;</w:t>
      </w:r>
    </w:p>
    <w:p>
      <w:pPr>
        <w:numPr>
          <w:ilvl w:val="0"/>
          <w:numId w:val="429"/>
        </w:numPr>
        <w:ind w:left="720" w:hanging="192"/>
        <w:jc w:val="left"/>
        <w:rPr>
          <w:rFonts w:eastAsia="Arial" w:cs="Arial"/>
          <w:sz w:val="20"/>
          <w:szCs w:val="20"/>
        </w:rPr>
      </w:pPr>
      <w:r>
        <w:rPr>
          <w:rFonts w:eastAsia="Arial" w:cs="Arial"/>
          <w:sz w:val="20"/>
          <w:szCs w:val="20"/>
        </w:rPr>
        <w:t>symbol - the exchange's symbol for the security traded;</w:t>
      </w:r>
    </w:p>
    <w:p>
      <w:pPr>
        <w:numPr>
          <w:ilvl w:val="0"/>
          <w:numId w:val="429"/>
        </w:numPr>
        <w:ind w:left="720" w:hanging="192"/>
        <w:jc w:val="left"/>
        <w:rPr>
          <w:rFonts w:eastAsia="Arial" w:cs="Arial"/>
          <w:sz w:val="20"/>
          <w:szCs w:val="20"/>
        </w:rPr>
      </w:pPr>
      <w:r>
        <w:rPr>
          <w:rFonts w:eastAsia="Arial" w:cs="Arial"/>
          <w:sz w:val="20"/>
          <w:szCs w:val="20"/>
        </w:rPr>
        <w:t>symbol description - description of the security (</w:t>
      </w:r>
      <w:r>
        <w:rPr>
          <w:rFonts w:eastAsia="Arial" w:cs="Arial"/>
          <w:i/>
          <w:iCs/>
          <w:sz w:val="20"/>
          <w:szCs w:val="20"/>
        </w:rPr>
        <w:t>e.g.,</w:t>
      </w:r>
      <w:r>
        <w:rPr>
          <w:rFonts w:eastAsia="Arial" w:cs="Arial"/>
          <w:sz w:val="20"/>
          <w:szCs w:val="20"/>
        </w:rPr>
        <w:t xml:space="preserve"> Coca Cola);</w:t>
      </w:r>
    </w:p>
    <w:p>
      <w:pPr>
        <w:numPr>
          <w:ilvl w:val="0"/>
          <w:numId w:val="429"/>
        </w:numPr>
        <w:ind w:left="720" w:hanging="192"/>
        <w:jc w:val="left"/>
        <w:rPr>
          <w:rFonts w:eastAsia="Arial" w:cs="Arial"/>
          <w:sz w:val="20"/>
          <w:szCs w:val="20"/>
        </w:rPr>
      </w:pPr>
      <w:r>
        <w:rPr>
          <w:rFonts w:eastAsia="Arial" w:cs="Arial"/>
          <w:sz w:val="20"/>
          <w:szCs w:val="20"/>
        </w:rPr>
        <w:t>CUSIP - the CUSIP of the security traded, if applicable;</w:t>
      </w:r>
    </w:p>
    <w:p>
      <w:pPr>
        <w:numPr>
          <w:ilvl w:val="0"/>
          <w:numId w:val="429"/>
        </w:numPr>
        <w:ind w:left="720" w:hanging="192"/>
        <w:jc w:val="left"/>
        <w:rPr>
          <w:rFonts w:eastAsia="Arial" w:cs="Arial"/>
          <w:sz w:val="20"/>
          <w:szCs w:val="20"/>
        </w:rPr>
      </w:pPr>
      <w:r>
        <w:rPr>
          <w:rFonts w:eastAsia="Arial" w:cs="Arial"/>
          <w:sz w:val="20"/>
          <w:szCs w:val="20"/>
        </w:rPr>
        <w:t>ISIN - the ISIN of the security traded, if applicable;</w:t>
      </w:r>
    </w:p>
    <w:p>
      <w:pPr>
        <w:numPr>
          <w:ilvl w:val="0"/>
          <w:numId w:val="429"/>
        </w:numPr>
        <w:ind w:left="720" w:hanging="192"/>
        <w:jc w:val="left"/>
        <w:rPr>
          <w:rFonts w:eastAsia="Arial" w:cs="Arial"/>
          <w:sz w:val="20"/>
          <w:szCs w:val="20"/>
        </w:rPr>
      </w:pPr>
      <w:r>
        <w:rPr>
          <w:rFonts w:eastAsia="Arial" w:cs="Arial"/>
          <w:sz w:val="20"/>
          <w:szCs w:val="20"/>
        </w:rPr>
        <w:t>SEDOL - the SEDOL of the security traded;</w:t>
      </w:r>
    </w:p>
    <w:p>
      <w:pPr>
        <w:numPr>
          <w:ilvl w:val="0"/>
          <w:numId w:val="429"/>
        </w:numPr>
        <w:ind w:left="720" w:hanging="192"/>
        <w:jc w:val="left"/>
        <w:rPr>
          <w:rFonts w:eastAsia="Arial" w:cs="Arial"/>
          <w:sz w:val="20"/>
          <w:szCs w:val="20"/>
        </w:rPr>
      </w:pPr>
      <w:r>
        <w:rPr>
          <w:rFonts w:eastAsia="Arial" w:cs="Arial"/>
          <w:sz w:val="20"/>
          <w:szCs w:val="20"/>
        </w:rPr>
        <w:t>instrument type - type of instrument (</w:t>
      </w:r>
      <w:r>
        <w:rPr>
          <w:rFonts w:eastAsia="Arial" w:cs="Arial"/>
          <w:i/>
          <w:iCs/>
          <w:sz w:val="20"/>
          <w:szCs w:val="20"/>
        </w:rPr>
        <w:t>e.g.,</w:t>
      </w:r>
      <w:r>
        <w:rPr>
          <w:rFonts w:eastAsia="Arial" w:cs="Arial"/>
          <w:sz w:val="20"/>
          <w:szCs w:val="20"/>
        </w:rPr>
        <w:t xml:space="preserve"> equity);</w:t>
      </w:r>
    </w:p>
    <w:p>
      <w:pPr>
        <w:numPr>
          <w:ilvl w:val="0"/>
          <w:numId w:val="429"/>
        </w:numPr>
        <w:ind w:left="720" w:hanging="192"/>
        <w:jc w:val="left"/>
        <w:rPr>
          <w:rFonts w:eastAsia="Arial" w:cs="Arial"/>
          <w:sz w:val="20"/>
          <w:szCs w:val="20"/>
        </w:rPr>
      </w:pPr>
      <w:r>
        <w:rPr>
          <w:rFonts w:eastAsia="Arial" w:cs="Arial"/>
          <w:sz w:val="20"/>
          <w:szCs w:val="20"/>
        </w:rPr>
        <w:t>contract size/multiplier - the effective multiplier to derive the correct notional;</w:t>
      </w:r>
    </w:p>
    <w:p>
      <w:pPr>
        <w:numPr>
          <w:ilvl w:val="0"/>
          <w:numId w:val="429"/>
        </w:numPr>
        <w:ind w:left="720" w:hanging="192"/>
        <w:jc w:val="left"/>
        <w:rPr>
          <w:rFonts w:eastAsia="Arial" w:cs="Arial"/>
          <w:sz w:val="20"/>
          <w:szCs w:val="20"/>
        </w:rPr>
      </w:pPr>
      <w:r>
        <w:rPr>
          <w:rFonts w:eastAsia="Arial" w:cs="Arial"/>
          <w:sz w:val="20"/>
          <w:szCs w:val="20"/>
        </w:rPr>
        <w:t>adjustment factor - if an equity security, enter split adjustment factor; if a fixed-income security, enter amortization factor if applied;</w:t>
      </w:r>
    </w:p>
    <w:p>
      <w:pPr>
        <w:numPr>
          <w:ilvl w:val="0"/>
          <w:numId w:val="429"/>
        </w:numPr>
        <w:ind w:left="720" w:hanging="192"/>
        <w:jc w:val="left"/>
        <w:rPr>
          <w:rFonts w:eastAsia="Arial" w:cs="Arial"/>
          <w:sz w:val="20"/>
          <w:szCs w:val="20"/>
        </w:rPr>
      </w:pPr>
      <w:r>
        <w:rPr>
          <w:rFonts w:eastAsia="Arial" w:cs="Arial"/>
          <w:sz w:val="20"/>
          <w:szCs w:val="20"/>
        </w:rPr>
        <w:t>Bloomberg ticker;</w:t>
      </w:r>
    </w:p>
    <w:p>
      <w:pPr>
        <w:numPr>
          <w:ilvl w:val="0"/>
          <w:numId w:val="429"/>
        </w:numPr>
        <w:ind w:left="720" w:hanging="192"/>
        <w:jc w:val="left"/>
        <w:rPr>
          <w:rFonts w:eastAsia="Arial" w:cs="Arial"/>
          <w:sz w:val="20"/>
          <w:szCs w:val="20"/>
        </w:rPr>
      </w:pPr>
      <w:r>
        <w:rPr>
          <w:rFonts w:eastAsia="Arial" w:cs="Arial"/>
          <w:sz w:val="20"/>
          <w:szCs w:val="20"/>
        </w:rPr>
        <w:t>Reuter ticker; and</w:t>
      </w:r>
    </w:p>
    <w:p>
      <w:pPr>
        <w:numPr>
          <w:ilvl w:val="0"/>
          <w:numId w:val="429"/>
        </w:numPr>
        <w:spacing w:after="200"/>
        <w:ind w:left="720" w:hanging="192"/>
        <w:jc w:val="left"/>
        <w:rPr>
          <w:rFonts w:eastAsia="Arial" w:cs="Arial"/>
          <w:sz w:val="20"/>
          <w:szCs w:val="20"/>
        </w:rPr>
      </w:pPr>
      <w:r>
        <w:rPr>
          <w:rFonts w:eastAsia="Arial" w:cs="Arial"/>
          <w:sz w:val="20"/>
          <w:szCs w:val="20"/>
        </w:rPr>
        <w:t>root ticker.</w:t>
      </w:r>
    </w:p>
    <w:p>
      <w:pPr>
        <w:pStyle w:val="normal0"/>
        <w:spacing w:before="200" w:after="200"/>
        <w:rPr>
          <w:rFonts w:eastAsia="Arial" w:cs="Arial"/>
          <w:sz w:val="20"/>
          <w:szCs w:val="20"/>
        </w:rPr>
      </w:pPr>
      <w:r>
        <w:rPr>
          <w:rFonts w:eastAsia="Arial" w:cs="Arial"/>
          <w:sz w:val="20"/>
          <w:szCs w:val="20"/>
        </w:rPr>
        <w:t>KCD will maintain in its books and records the following information for each agency cross trade:</w:t>
      </w:r>
    </w:p>
    <w:p>
      <w:pPr>
        <w:numPr>
          <w:ilvl w:val="0"/>
          <w:numId w:val="430"/>
        </w:numPr>
        <w:spacing w:before="200"/>
        <w:ind w:left="720" w:hanging="192"/>
        <w:jc w:val="left"/>
        <w:rPr>
          <w:rFonts w:eastAsia="Arial" w:cs="Arial"/>
          <w:sz w:val="20"/>
          <w:szCs w:val="20"/>
        </w:rPr>
      </w:pPr>
      <w:r>
        <w:rPr>
          <w:rFonts w:eastAsia="Arial" w:cs="Arial"/>
          <w:sz w:val="20"/>
          <w:szCs w:val="20"/>
        </w:rPr>
        <w:t xml:space="preserve">the name of each participating client; </w:t>
      </w:r>
    </w:p>
    <w:p>
      <w:pPr>
        <w:numPr>
          <w:ilvl w:val="0"/>
          <w:numId w:val="430"/>
        </w:numPr>
        <w:ind w:left="720" w:hanging="192"/>
        <w:jc w:val="left"/>
        <w:rPr>
          <w:rFonts w:eastAsia="Arial" w:cs="Arial"/>
          <w:sz w:val="20"/>
          <w:szCs w:val="20"/>
        </w:rPr>
      </w:pPr>
      <w:r>
        <w:rPr>
          <w:rFonts w:eastAsia="Arial" w:cs="Arial"/>
          <w:sz w:val="20"/>
          <w:szCs w:val="20"/>
        </w:rPr>
        <w:t xml:space="preserve">the issuer and class of securities; </w:t>
      </w:r>
    </w:p>
    <w:p>
      <w:pPr>
        <w:numPr>
          <w:ilvl w:val="0"/>
          <w:numId w:val="430"/>
        </w:numPr>
        <w:ind w:left="720" w:hanging="192"/>
        <w:jc w:val="left"/>
        <w:rPr>
          <w:rFonts w:eastAsia="Arial" w:cs="Arial"/>
          <w:sz w:val="20"/>
          <w:szCs w:val="20"/>
        </w:rPr>
      </w:pPr>
      <w:r>
        <w:rPr>
          <w:rFonts w:eastAsia="Arial" w:cs="Arial"/>
          <w:sz w:val="20"/>
          <w:szCs w:val="20"/>
        </w:rPr>
        <w:t xml:space="preserve">the date and time of the trade; </w:t>
      </w:r>
    </w:p>
    <w:p>
      <w:pPr>
        <w:numPr>
          <w:ilvl w:val="0"/>
          <w:numId w:val="430"/>
        </w:numPr>
        <w:ind w:left="720" w:hanging="192"/>
        <w:jc w:val="left"/>
        <w:rPr>
          <w:rFonts w:eastAsia="Arial" w:cs="Arial"/>
          <w:sz w:val="20"/>
          <w:szCs w:val="20"/>
        </w:rPr>
      </w:pPr>
      <w:r>
        <w:rPr>
          <w:rFonts w:eastAsia="Arial" w:cs="Arial"/>
          <w:sz w:val="20"/>
          <w:szCs w:val="20"/>
        </w:rPr>
        <w:t xml:space="preserve">the number of shares and dollar amount; and </w:t>
      </w:r>
    </w:p>
    <w:p>
      <w:pPr>
        <w:numPr>
          <w:ilvl w:val="0"/>
          <w:numId w:val="430"/>
        </w:numPr>
        <w:spacing w:after="200"/>
        <w:ind w:left="720" w:hanging="192"/>
        <w:jc w:val="left"/>
        <w:rPr>
          <w:rFonts w:eastAsia="Arial" w:cs="Arial"/>
          <w:sz w:val="20"/>
          <w:szCs w:val="20"/>
        </w:rPr>
      </w:pPr>
      <w:r>
        <w:rPr>
          <w:rFonts w:eastAsia="Arial" w:cs="Arial"/>
          <w:sz w:val="20"/>
          <w:szCs w:val="20"/>
        </w:rPr>
        <w:t>the price and basis for, and appropriateness of, the price.</w:t>
      </w:r>
    </w:p>
    <w:p>
      <w:pPr>
        <w:pStyle w:val="normal0"/>
        <w:spacing w:before="200" w:after="200"/>
        <w:rPr>
          <w:rFonts w:eastAsia="Arial" w:cs="Arial"/>
          <w:sz w:val="20"/>
          <w:szCs w:val="20"/>
        </w:rPr>
      </w:pPr>
      <w:r>
        <w:rPr>
          <w:rFonts w:eastAsia="Arial" w:cs="Arial"/>
          <w:sz w:val="20"/>
          <w:szCs w:val="20"/>
        </w:rPr>
        <w:t>If KCD has custody or possession of securities or funds of any client, KCD shall make and keep true, accurate and current the following custody books and records relating to its investment advisory business:</w:t>
      </w:r>
    </w:p>
    <w:p>
      <w:pPr>
        <w:numPr>
          <w:ilvl w:val="0"/>
          <w:numId w:val="431"/>
        </w:numPr>
        <w:spacing w:before="200"/>
        <w:ind w:left="720" w:hanging="192"/>
        <w:jc w:val="left"/>
        <w:rPr>
          <w:rFonts w:eastAsia="Arial" w:cs="Arial"/>
          <w:sz w:val="20"/>
          <w:szCs w:val="20"/>
        </w:rPr>
      </w:pPr>
      <w:r>
        <w:rPr>
          <w:rFonts w:eastAsia="Arial" w:cs="Arial"/>
          <w:sz w:val="20"/>
          <w:szCs w:val="20"/>
        </w:rPr>
        <w:t>a journal or other record showing all purchases, sales, receipts and deliveries of securities (including certificate numbers) for such accounts and all other debits and credits to such accounts (Rule 204-2(b)(1));</w:t>
      </w:r>
    </w:p>
    <w:p>
      <w:pPr>
        <w:numPr>
          <w:ilvl w:val="0"/>
          <w:numId w:val="431"/>
        </w:numPr>
        <w:ind w:left="720" w:hanging="192"/>
        <w:jc w:val="left"/>
        <w:rPr>
          <w:rFonts w:eastAsia="Arial" w:cs="Arial"/>
          <w:sz w:val="20"/>
          <w:szCs w:val="20"/>
        </w:rPr>
      </w:pPr>
      <w:r>
        <w:rPr>
          <w:rFonts w:eastAsia="Arial" w:cs="Arial"/>
          <w:sz w:val="20"/>
          <w:szCs w:val="20"/>
        </w:rPr>
        <w:t>a separate ledger account for each such client showing all purchases, sales, receipts and deliveries of securities, the date and price of each purchase and sale, and all debits and credits (Rule 204-2(b)(2));</w:t>
      </w:r>
    </w:p>
    <w:p>
      <w:pPr>
        <w:numPr>
          <w:ilvl w:val="0"/>
          <w:numId w:val="431"/>
        </w:numPr>
        <w:ind w:left="720" w:hanging="192"/>
        <w:jc w:val="left"/>
        <w:rPr>
          <w:rFonts w:eastAsia="Arial" w:cs="Arial"/>
          <w:sz w:val="20"/>
          <w:szCs w:val="20"/>
        </w:rPr>
      </w:pPr>
      <w:r>
        <w:rPr>
          <w:rFonts w:eastAsia="Arial" w:cs="Arial"/>
          <w:sz w:val="20"/>
          <w:szCs w:val="20"/>
        </w:rPr>
        <w:t>copies of confirmations of all transactions effected by or for the account of any such client (Rule 204-2(b)(3)); and</w:t>
      </w:r>
    </w:p>
    <w:p>
      <w:pPr>
        <w:numPr>
          <w:ilvl w:val="0"/>
          <w:numId w:val="431"/>
        </w:numPr>
        <w:spacing w:after="200"/>
        <w:ind w:left="720" w:hanging="192"/>
        <w:jc w:val="left"/>
        <w:rPr>
          <w:rFonts w:eastAsia="Arial" w:cs="Arial"/>
          <w:sz w:val="20"/>
          <w:szCs w:val="20"/>
        </w:rPr>
      </w:pPr>
      <w:r>
        <w:rPr>
          <w:rFonts w:eastAsia="Arial" w:cs="Arial"/>
          <w:sz w:val="20"/>
          <w:szCs w:val="20"/>
        </w:rPr>
        <w:t>a record for each security in which any such client has a position, which record shall show the name of each such client having any interest in such security, the amount or interest of each such client, and the location of each such security (Rule 204-2(b)(4)).</w:t>
      </w:r>
    </w:p>
    <w:p>
      <w:pPr>
        <w:pStyle w:val="normal0"/>
        <w:spacing w:before="200" w:after="200"/>
        <w:rPr>
          <w:rFonts w:eastAsia="Arial" w:cs="Arial"/>
          <w:sz w:val="20"/>
          <w:szCs w:val="20"/>
        </w:rPr>
      </w:pPr>
      <w:r>
        <w:rPr>
          <w:rFonts w:eastAsia="Arial" w:cs="Arial"/>
          <w:sz w:val="20"/>
          <w:szCs w:val="20"/>
        </w:rPr>
        <w:t>For each trade error, KCD shall maintain the following information:</w:t>
      </w:r>
    </w:p>
    <w:p>
      <w:pPr>
        <w:numPr>
          <w:ilvl w:val="0"/>
          <w:numId w:val="432"/>
        </w:numPr>
        <w:spacing w:before="200"/>
        <w:ind w:left="720" w:hanging="192"/>
        <w:jc w:val="left"/>
        <w:rPr>
          <w:rFonts w:eastAsia="Arial" w:cs="Arial"/>
          <w:sz w:val="20"/>
          <w:szCs w:val="20"/>
        </w:rPr>
      </w:pPr>
      <w:r>
        <w:rPr>
          <w:rFonts w:eastAsia="Arial" w:cs="Arial"/>
          <w:sz w:val="20"/>
          <w:szCs w:val="20"/>
        </w:rPr>
        <w:t>Date and time of trade error</w:t>
      </w:r>
    </w:p>
    <w:p>
      <w:pPr>
        <w:numPr>
          <w:ilvl w:val="0"/>
          <w:numId w:val="432"/>
        </w:numPr>
        <w:ind w:left="720" w:hanging="192"/>
        <w:jc w:val="left"/>
        <w:rPr>
          <w:rFonts w:eastAsia="Arial" w:cs="Arial"/>
          <w:sz w:val="20"/>
          <w:szCs w:val="20"/>
        </w:rPr>
      </w:pPr>
      <w:r>
        <w:rPr>
          <w:rFonts w:eastAsia="Arial" w:cs="Arial"/>
          <w:sz w:val="20"/>
          <w:szCs w:val="20"/>
        </w:rPr>
        <w:t xml:space="preserve">Employee placing the trade (trader) </w:t>
      </w:r>
    </w:p>
    <w:p>
      <w:pPr>
        <w:numPr>
          <w:ilvl w:val="0"/>
          <w:numId w:val="432"/>
        </w:numPr>
        <w:ind w:left="720" w:hanging="192"/>
        <w:jc w:val="left"/>
        <w:rPr>
          <w:rFonts w:eastAsia="Arial" w:cs="Arial"/>
          <w:sz w:val="20"/>
          <w:szCs w:val="20"/>
        </w:rPr>
      </w:pPr>
      <w:r>
        <w:rPr>
          <w:rFonts w:eastAsia="Arial" w:cs="Arial"/>
          <w:sz w:val="20"/>
          <w:szCs w:val="20"/>
        </w:rPr>
        <w:t>Security</w:t>
      </w:r>
    </w:p>
    <w:p>
      <w:pPr>
        <w:numPr>
          <w:ilvl w:val="0"/>
          <w:numId w:val="432"/>
        </w:numPr>
        <w:ind w:left="720" w:hanging="192"/>
        <w:jc w:val="left"/>
        <w:rPr>
          <w:rFonts w:eastAsia="Arial" w:cs="Arial"/>
          <w:sz w:val="20"/>
          <w:szCs w:val="20"/>
        </w:rPr>
      </w:pPr>
      <w:r>
        <w:rPr>
          <w:rFonts w:eastAsia="Arial" w:cs="Arial"/>
          <w:sz w:val="20"/>
          <w:szCs w:val="20"/>
        </w:rPr>
        <w:t xml:space="preserve">Portfolio manager for the account </w:t>
      </w:r>
    </w:p>
    <w:p>
      <w:pPr>
        <w:numPr>
          <w:ilvl w:val="0"/>
          <w:numId w:val="432"/>
        </w:numPr>
        <w:ind w:left="720" w:hanging="192"/>
        <w:jc w:val="left"/>
        <w:rPr>
          <w:rFonts w:eastAsia="Arial" w:cs="Arial"/>
          <w:sz w:val="20"/>
          <w:szCs w:val="20"/>
        </w:rPr>
      </w:pPr>
      <w:r>
        <w:rPr>
          <w:rFonts w:eastAsia="Arial" w:cs="Arial"/>
          <w:sz w:val="20"/>
          <w:szCs w:val="20"/>
        </w:rPr>
        <w:t>Account number (if any)</w:t>
      </w:r>
    </w:p>
    <w:p>
      <w:pPr>
        <w:numPr>
          <w:ilvl w:val="0"/>
          <w:numId w:val="432"/>
        </w:numPr>
        <w:ind w:left="720" w:hanging="192"/>
        <w:jc w:val="left"/>
        <w:rPr>
          <w:rFonts w:eastAsia="Arial" w:cs="Arial"/>
          <w:sz w:val="20"/>
          <w:szCs w:val="20"/>
        </w:rPr>
      </w:pPr>
      <w:r>
        <w:rPr>
          <w:rFonts w:eastAsia="Arial" w:cs="Arial"/>
          <w:sz w:val="20"/>
          <w:szCs w:val="20"/>
        </w:rPr>
        <w:t>Description of error</w:t>
      </w:r>
    </w:p>
    <w:p>
      <w:pPr>
        <w:numPr>
          <w:ilvl w:val="0"/>
          <w:numId w:val="432"/>
        </w:numPr>
        <w:ind w:left="720" w:hanging="192"/>
        <w:jc w:val="left"/>
        <w:rPr>
          <w:rFonts w:eastAsia="Arial" w:cs="Arial"/>
          <w:sz w:val="20"/>
          <w:szCs w:val="20"/>
        </w:rPr>
      </w:pPr>
      <w:r>
        <w:rPr>
          <w:rFonts w:eastAsia="Arial" w:cs="Arial"/>
          <w:sz w:val="20"/>
          <w:szCs w:val="20"/>
        </w:rPr>
        <w:t>Description of correction of action</w:t>
      </w:r>
    </w:p>
    <w:p>
      <w:pPr>
        <w:numPr>
          <w:ilvl w:val="0"/>
          <w:numId w:val="432"/>
        </w:numPr>
        <w:ind w:left="720" w:hanging="192"/>
        <w:jc w:val="left"/>
        <w:rPr>
          <w:rFonts w:eastAsia="Arial" w:cs="Arial"/>
          <w:sz w:val="20"/>
          <w:szCs w:val="20"/>
        </w:rPr>
      </w:pPr>
      <w:r>
        <w:rPr>
          <w:rFonts w:eastAsia="Arial" w:cs="Arial"/>
          <w:sz w:val="20"/>
          <w:szCs w:val="20"/>
        </w:rPr>
        <w:t>Estimated financial impact on client</w:t>
      </w:r>
    </w:p>
    <w:p>
      <w:pPr>
        <w:numPr>
          <w:ilvl w:val="0"/>
          <w:numId w:val="432"/>
        </w:numPr>
        <w:ind w:left="720" w:hanging="192"/>
        <w:jc w:val="left"/>
        <w:rPr>
          <w:rFonts w:eastAsia="Arial" w:cs="Arial"/>
          <w:sz w:val="20"/>
          <w:szCs w:val="20"/>
        </w:rPr>
      </w:pPr>
      <w:r>
        <w:rPr>
          <w:rFonts w:eastAsia="Arial" w:cs="Arial"/>
          <w:sz w:val="20"/>
          <w:szCs w:val="20"/>
        </w:rPr>
        <w:t>Buy/sell ticket</w:t>
      </w:r>
    </w:p>
    <w:p>
      <w:pPr>
        <w:numPr>
          <w:ilvl w:val="0"/>
          <w:numId w:val="432"/>
        </w:numPr>
        <w:spacing w:after="200"/>
        <w:ind w:left="720" w:hanging="192"/>
        <w:jc w:val="left"/>
        <w:rPr>
          <w:rFonts w:eastAsia="Arial" w:cs="Arial"/>
          <w:sz w:val="20"/>
          <w:szCs w:val="20"/>
        </w:rPr>
      </w:pPr>
      <w:r>
        <w:rPr>
          <w:rFonts w:eastAsia="Arial" w:cs="Arial"/>
          <w:sz w:val="20"/>
          <w:szCs w:val="20"/>
        </w:rPr>
        <w:t>Signature/initial of investment personnel responsible for correcting error</w:t>
      </w:r>
    </w:p>
    <w:p>
      <w:pPr>
        <w:rPr>
          <w:rFonts w:ascii="Times New Roman" w:eastAsia="Times New Roman" w:hAnsi="Times New Roman" w:cs="Times New Roman"/>
          <w:sz w:val="24"/>
        </w:rPr>
      </w:pPr>
      <w:bookmarkEnd w:id="473"/>
    </w:p>
    <w:p>
      <w:r>
        <w:rPr>
          <w:rFonts w:ascii="Times New Roman" w:eastAsia="Times New Roman" w:hAnsi="Times New Roman" w:cs="Times New Roman"/>
          <w:sz w:val="24"/>
        </w:rPr>
        <w:br w:type="page"/>
      </w:r>
    </w:p>
    <w:p>
      <w:pPr>
        <w:pStyle w:val="Heading1"/>
      </w:pPr>
      <w:bookmarkStart w:id="475" w:name="_Toc256000114"/>
      <w:r>
        <w:t>7 BROKERAGE</w:t>
      </w:r>
      <w:bookmarkEnd w:id="475"/>
    </w:p>
    <w:p>
      <w:bookmarkStart w:id="476" w:name="Sec_Chp_061016102253187_061016102253234"/>
    </w:p>
    <w:p>
      <w:pPr>
        <w:pStyle w:val="Heading2"/>
      </w:pPr>
      <w:bookmarkStart w:id="477" w:name="_Toc256000115"/>
      <w:r>
        <w:t>Introduction</w:t>
      </w:r>
      <w:bookmarkEnd w:id="477"/>
    </w:p>
    <w:p/>
    <w:p>
      <w:pPr>
        <w:rPr>
          <w:rFonts w:eastAsia="Arial" w:cs="Arial"/>
          <w:sz w:val="16"/>
          <w:szCs w:val="16"/>
        </w:rPr>
      </w:pPr>
      <w:r>
        <w:rPr>
          <w:rFonts w:eastAsia="Arial" w:cs="Arial"/>
          <w:sz w:val="16"/>
          <w:szCs w:val="16"/>
        </w:rPr>
        <w:t>[SEC Securities Exchange Act of 1934 Section 28(e)]</w:t>
      </w:r>
    </w:p>
    <w:p/>
    <w:p>
      <w:pPr>
        <w:pStyle w:val="normal0"/>
        <w:spacing w:after="200"/>
        <w:rPr>
          <w:rFonts w:eastAsia="Arial" w:cs="Arial"/>
          <w:sz w:val="20"/>
          <w:szCs w:val="20"/>
        </w:rPr>
      </w:pPr>
      <w:r>
        <w:rPr>
          <w:rFonts w:eastAsia="Arial" w:cs="Arial"/>
          <w:sz w:val="20"/>
          <w:szCs w:val="20"/>
        </w:rPr>
        <w:t xml:space="preserve">An investment adviser has the fiduciary duty to engage in brokerage practices that are in the best interests of its clients. The three areas of brokerage that should receive the greatest attention from an adviser are: (1) best execution; (2) soft dollars; and (3) directed brokerage arrangements. </w:t>
      </w:r>
    </w:p>
    <w:p>
      <w:pPr>
        <w:pStyle w:val="normal0"/>
        <w:spacing w:before="200" w:after="200"/>
        <w:rPr>
          <w:rFonts w:eastAsia="Arial" w:cs="Arial"/>
          <w:sz w:val="20"/>
          <w:szCs w:val="20"/>
        </w:rPr>
      </w:pPr>
      <w:r>
        <w:rPr>
          <w:rFonts w:eastAsia="Arial" w:cs="Arial"/>
          <w:sz w:val="20"/>
          <w:szCs w:val="20"/>
          <w:u w:val="single"/>
        </w:rPr>
        <w:t>Best Execution</w:t>
      </w:r>
    </w:p>
    <w:p>
      <w:pPr>
        <w:pStyle w:val="normal0"/>
        <w:spacing w:before="200" w:after="200"/>
        <w:rPr>
          <w:rFonts w:eastAsia="Arial" w:cs="Arial"/>
          <w:sz w:val="20"/>
          <w:szCs w:val="20"/>
        </w:rPr>
      </w:pPr>
      <w:r>
        <w:rPr>
          <w:rFonts w:eastAsia="Arial" w:cs="Arial"/>
          <w:sz w:val="20"/>
          <w:szCs w:val="20"/>
        </w:rPr>
        <w:t>An investment adviser has a fiduciary duty to achieve best execution when it places trades with broker-dealers. Failure by an investment adviser to adhere to its best execution duties when selecting a broker-dealer may have significant regulatory and other consequences. "Best execution" is not defined in the securities laws. Nevertheless, a court or the SEC likely will find that an investment adviser achieves best execution for a given client trade when the trade is executed so that the client's total costs or proceeds in the transaction are the most favorable under the circumstances. In selecting a broker-dealer for a particular transaction, the adviser should consider the commission rate to be charged by the broker-dealer. Where multiple competing markets exist for listed stocks, an adviser should make sure that the security is executed on the best market (or by the best market maker). Best execution encompasses numerous other factors, including the broker-dealer's execution services, research provided, and responsiveness of the broker-dealer.</w:t>
      </w:r>
    </w:p>
    <w:p>
      <w:pPr>
        <w:pStyle w:val="normal0"/>
        <w:spacing w:before="200" w:after="200"/>
        <w:rPr>
          <w:rFonts w:eastAsia="Arial" w:cs="Arial"/>
          <w:sz w:val="20"/>
          <w:szCs w:val="20"/>
        </w:rPr>
      </w:pPr>
      <w:r>
        <w:rPr>
          <w:rFonts w:eastAsia="Arial" w:cs="Arial"/>
          <w:sz w:val="20"/>
          <w:szCs w:val="20"/>
          <w:u w:val="single"/>
        </w:rPr>
        <w:t>Soft Dollars</w:t>
      </w:r>
    </w:p>
    <w:p>
      <w:pPr>
        <w:pStyle w:val="normal0"/>
        <w:spacing w:before="200" w:after="200"/>
        <w:rPr>
          <w:rFonts w:eastAsia="Arial" w:cs="Arial"/>
          <w:sz w:val="20"/>
          <w:szCs w:val="20"/>
        </w:rPr>
      </w:pPr>
      <w:r>
        <w:rPr>
          <w:rFonts w:eastAsia="Arial" w:cs="Arial"/>
          <w:sz w:val="20"/>
          <w:szCs w:val="20"/>
        </w:rPr>
        <w:t>An investment adviser can enter into an arrangement with a broker-dealer whereby it receives free research in exchange for the placement of a specified amount of client trades. This is called a "soft dollar arrangement." Client commission dollars, instead of "hard" dollars, pay for research, which is used by the investment adviser for that client's account or other clients' accounts. The broker-dealer may provide research directly or obtain the research from third party vendors.</w:t>
      </w:r>
    </w:p>
    <w:p>
      <w:pPr>
        <w:pStyle w:val="normal0"/>
        <w:spacing w:before="200" w:after="200"/>
        <w:rPr>
          <w:rFonts w:eastAsia="Arial" w:cs="Arial"/>
          <w:sz w:val="20"/>
          <w:szCs w:val="20"/>
        </w:rPr>
      </w:pPr>
      <w:r>
        <w:rPr>
          <w:rFonts w:eastAsia="Arial" w:cs="Arial"/>
          <w:sz w:val="20"/>
          <w:szCs w:val="20"/>
        </w:rPr>
        <w:t xml:space="preserve">Section 28(e) of the Securities Exchange Act of 1934 ("Section 28(e)") permits an investment adviser to place a client trade with a broker-dealer that does not offer the lowest commission for trade and that provides the investment adviser with research provided certain conditions are met, including that the payment is reasonable in terms of the value of the services to be obtained through the soft dollars. Such an arrangement presents an obvious conflict of interest on the part of the investment adviser. The investment adviser has the incentive to direct client trades to the broker-dealer that will provide it with the most research. However, if the investment adviser meets the requirements of Section 28(e), it will not be deemed to breach its fiduciary duty to a client even if the client pays a commission higher than the lowest commission available to obtain the research. This is called "paying up" for the research. </w:t>
      </w:r>
    </w:p>
    <w:p>
      <w:pPr>
        <w:pStyle w:val="normal0"/>
        <w:spacing w:before="200" w:after="200"/>
        <w:rPr>
          <w:rFonts w:eastAsia="Arial" w:cs="Arial"/>
          <w:sz w:val="20"/>
          <w:szCs w:val="20"/>
        </w:rPr>
      </w:pPr>
      <w:r>
        <w:rPr>
          <w:rFonts w:eastAsia="Arial" w:cs="Arial"/>
          <w:sz w:val="20"/>
          <w:szCs w:val="20"/>
          <w:u w:val="single"/>
        </w:rPr>
        <w:t>Directed Brokerage</w:t>
      </w:r>
    </w:p>
    <w:p>
      <w:pPr>
        <w:pStyle w:val="normal0"/>
        <w:spacing w:before="200" w:after="200"/>
        <w:rPr>
          <w:rFonts w:eastAsia="Arial" w:cs="Arial"/>
          <w:sz w:val="20"/>
          <w:szCs w:val="20"/>
        </w:rPr>
      </w:pPr>
      <w:r>
        <w:rPr>
          <w:rFonts w:eastAsia="Arial" w:cs="Arial"/>
          <w:sz w:val="20"/>
          <w:szCs w:val="20"/>
        </w:rPr>
        <w:t>In a "directed brokerage" arrangement, a client directs the investment adviser to send commission business to particular broker-dealers that have agreed to provide services to the client, pay certain client expenses, or make cash rebates. Section 28(e) does not apply to directed brokerage arrangements.</w:t>
      </w:r>
    </w:p>
    <w:p>
      <w:pPr>
        <w:pStyle w:val="normal0"/>
        <w:spacing w:before="200" w:after="200"/>
        <w:rPr>
          <w:rFonts w:eastAsia="Arial" w:cs="Arial"/>
          <w:sz w:val="20"/>
          <w:szCs w:val="20"/>
        </w:rPr>
      </w:pPr>
      <w:r>
        <w:rPr>
          <w:rFonts w:eastAsia="Arial" w:cs="Arial"/>
          <w:sz w:val="20"/>
          <w:szCs w:val="20"/>
        </w:rPr>
        <w:t>A directed brokerage arrangement does not create a conflict of interest between the investment adviser and the client because the client, not the investment adviser, is receiving the services.</w:t>
      </w:r>
    </w:p>
    <w:p>
      <w:bookmarkEnd w:id="476"/>
      <w:bookmarkStart w:id="478" w:name="Sec_Chp_061016102253187_061016102253250"/>
    </w:p>
    <w:p>
      <w:pPr>
        <w:pStyle w:val="Heading2"/>
      </w:pPr>
      <w:bookmarkStart w:id="479" w:name="_Toc256000116"/>
      <w:r>
        <w:t>7.1 Compliance Reference Chart</w:t>
      </w:r>
      <w:bookmarkEnd w:id="479"/>
    </w:p>
    <w:p/>
    <w:p>
      <w:pPr>
        <w:rPr>
          <w:rFonts w:eastAsia="Arial" w:cs="Arial"/>
          <w:sz w:val="16"/>
          <w:szCs w:val="16"/>
        </w:rPr>
      </w:pPr>
      <w:r>
        <w:rPr>
          <w:rFonts w:eastAsia="Arial" w:cs="Arial"/>
          <w:sz w:val="16"/>
          <w:szCs w:val="16"/>
        </w:rPr>
        <w:t>[SEC Securities Exchange Act of 1934 Section 28(e)]</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3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Chief Compliance Officer </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3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Investments</w:t>
            </w:r>
          </w:p>
          <w:p>
            <w:pPr>
              <w:numPr>
                <w:ilvl w:val="0"/>
                <w:numId w:val="43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3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KCD enters into a soft dollar or directed brokerage arrangement</w:t>
            </w:r>
          </w:p>
          <w:p>
            <w:pPr>
              <w:numPr>
                <w:ilvl w:val="0"/>
                <w:numId w:val="43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Each business day when adviser places a trade for a client </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 xml:space="preserve">Statute/Rule </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3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 28(e) of the Securities Exchange Act of 1934</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37"/>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Various brokerage records</w:t>
            </w:r>
          </w:p>
          <w:p>
            <w:pPr>
              <w:numPr>
                <w:ilvl w:val="0"/>
                <w:numId w:val="437"/>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Documents related to soft dollar and directed brokerage arrangements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3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Brokerage Procedures annually.</w:t>
            </w:r>
          </w:p>
        </w:tc>
      </w:tr>
    </w:tbl>
    <w:p>
      <w:bookmarkEnd w:id="478"/>
      <w:bookmarkStart w:id="480" w:name="Sec_Chp_061016102253187_061016102253296"/>
    </w:p>
    <w:p>
      <w:pPr>
        <w:pStyle w:val="Heading2"/>
      </w:pPr>
      <w:bookmarkStart w:id="481" w:name="_Toc256000117"/>
      <w:r>
        <w:t>7.2 Policy</w:t>
      </w:r>
      <w:bookmarkEnd w:id="481"/>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achieve best execution when it places orders for client trades with broker-dealers and to enter into soft dollar and directed brokerage arrangements only if such arrangements comply with applicable securities laws and regulatory interpretations of such laws.</w:t>
      </w:r>
    </w:p>
    <w:p>
      <w:bookmarkEnd w:id="480"/>
      <w:bookmarkStart w:id="482" w:name="Sec_Chp_061016102253187_061016102253312"/>
    </w:p>
    <w:p>
      <w:pPr>
        <w:pStyle w:val="Heading2"/>
      </w:pPr>
      <w:bookmarkStart w:id="483" w:name="_Toc256000118"/>
      <w:r>
        <w:t>7.3 Procedures</w:t>
      </w:r>
      <w:bookmarkEnd w:id="483"/>
    </w:p>
    <w:p/>
    <w:p>
      <w:pPr>
        <w:rPr>
          <w:rFonts w:eastAsia="Arial" w:cs="Arial"/>
          <w:sz w:val="16"/>
          <w:szCs w:val="16"/>
        </w:rPr>
      </w:pPr>
    </w:p>
    <w:p>
      <w:bookmarkEnd w:id="482"/>
      <w:bookmarkStart w:id="484" w:name="Sec_Chp_061016102253187_061016102253328"/>
    </w:p>
    <w:p>
      <w:pPr>
        <w:pStyle w:val="Heading3"/>
      </w:pPr>
      <w:bookmarkStart w:id="485" w:name="_Toc256000119"/>
      <w:r>
        <w:t>7.3.1 Best Execution Procedures - service provided through clearing firm</w:t>
      </w:r>
      <w:bookmarkEnd w:id="485"/>
    </w:p>
    <w:p/>
    <w:p>
      <w:pPr>
        <w:rPr>
          <w:rFonts w:eastAsia="Arial" w:cs="Arial"/>
          <w:sz w:val="16"/>
          <w:szCs w:val="16"/>
        </w:rPr>
      </w:pPr>
    </w:p>
    <w:p>
      <w:bookmarkEnd w:id="484"/>
      <w:bookmarkStart w:id="486" w:name="Sec_Chp_061016102253187_061016102253359"/>
    </w:p>
    <w:p>
      <w:pPr>
        <w:pStyle w:val="Heading4"/>
      </w:pPr>
      <w:r>
        <w:t>7.3.1.1 Factors Considered When Placing a Trade</w:t>
      </w:r>
    </w:p>
    <w:p/>
    <w:p>
      <w:pPr>
        <w:rPr>
          <w:rFonts w:eastAsia="Arial" w:cs="Arial"/>
          <w:sz w:val="16"/>
          <w:szCs w:val="16"/>
        </w:rPr>
      </w:pPr>
    </w:p>
    <w:p>
      <w:pPr>
        <w:pStyle w:val="fmtssstext"/>
        <w:spacing w:after="200"/>
        <w:rPr>
          <w:rFonts w:eastAsia="Arial" w:cs="Arial"/>
          <w:sz w:val="20"/>
          <w:szCs w:val="20"/>
        </w:rPr>
      </w:pPr>
      <w:r>
        <w:rPr>
          <w:rFonts w:eastAsia="Arial" w:cs="Arial"/>
          <w:sz w:val="20"/>
          <w:szCs w:val="20"/>
        </w:rPr>
        <w:t xml:space="preserve">An Adviser Representative or trader may execute a client trade with a particular broker-dealer only if that broker-dealer appears on the Approved List of Broker-Dealers. Firm Adviser Representative or Trader seeks the following when placing a trade for a client with a particular broker-dealer. </w:t>
      </w:r>
    </w:p>
    <w:p>
      <w:bookmarkEnd w:id="486"/>
      <w:bookmarkStart w:id="487" w:name="Sec_Chp_061016102253187_0610161022533591"/>
    </w:p>
    <w:p>
      <w:pPr>
        <w:pStyle w:val="Heading5"/>
      </w:pPr>
      <w:r>
        <w:t>7.3.1.1.1 Speed of Execution</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Achieve the fastest execution reasonably possible. When possible, orders will be routed to those broker-dealers that automatically execute orders for up to a certain number of shares.</w:t>
      </w:r>
    </w:p>
    <w:p>
      <w:bookmarkEnd w:id="487"/>
      <w:bookmarkStart w:id="488" w:name="Sec_Chp_061016102253187_0610161022533592"/>
    </w:p>
    <w:p>
      <w:pPr>
        <w:pStyle w:val="Heading5"/>
      </w:pPr>
      <w:r>
        <w:t>7.3.1.1.2 Price Improvement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clearing firm will consider, among other factors, alternative trading systems or select broker-dealers that consider, among other factors, alternative trading systems where opportunities for price improvement exist. The clearing firm will verify whether the following can or are being used when placing securities orders for clients:</w:t>
      </w:r>
    </w:p>
    <w:p>
      <w:pPr>
        <w:numPr>
          <w:ilvl w:val="0"/>
          <w:numId w:val="439"/>
        </w:numPr>
        <w:spacing w:before="200"/>
        <w:ind w:left="720" w:hanging="192"/>
        <w:jc w:val="left"/>
        <w:rPr>
          <w:rFonts w:eastAsia="Arial" w:cs="Arial"/>
          <w:sz w:val="20"/>
          <w:szCs w:val="20"/>
        </w:rPr>
      </w:pPr>
      <w:r>
        <w:rPr>
          <w:rFonts w:eastAsia="Arial" w:cs="Arial"/>
          <w:sz w:val="20"/>
          <w:szCs w:val="20"/>
        </w:rPr>
        <w:t>market makers and/or market centers that automatically match incoming market and limit orders to pending limit orders;</w:t>
      </w:r>
    </w:p>
    <w:p>
      <w:pPr>
        <w:numPr>
          <w:ilvl w:val="0"/>
          <w:numId w:val="439"/>
        </w:numPr>
        <w:ind w:left="720" w:hanging="192"/>
        <w:jc w:val="left"/>
        <w:rPr>
          <w:rFonts w:eastAsia="Arial" w:cs="Arial"/>
          <w:sz w:val="20"/>
          <w:szCs w:val="20"/>
        </w:rPr>
      </w:pPr>
      <w:r>
        <w:rPr>
          <w:rFonts w:eastAsia="Arial" w:cs="Arial"/>
          <w:sz w:val="20"/>
          <w:szCs w:val="20"/>
        </w:rPr>
        <w:t>crossing networks where price improvement is offered to one or both sides of the trade;</w:t>
      </w:r>
    </w:p>
    <w:p>
      <w:pPr>
        <w:numPr>
          <w:ilvl w:val="0"/>
          <w:numId w:val="439"/>
        </w:numPr>
        <w:ind w:left="720" w:hanging="192"/>
        <w:jc w:val="left"/>
        <w:rPr>
          <w:rFonts w:eastAsia="Arial" w:cs="Arial"/>
          <w:sz w:val="20"/>
          <w:szCs w:val="20"/>
        </w:rPr>
      </w:pPr>
      <w:r>
        <w:rPr>
          <w:rFonts w:eastAsia="Arial" w:cs="Arial"/>
          <w:sz w:val="20"/>
          <w:szCs w:val="20"/>
        </w:rPr>
        <w:t>"dark pools," which are markets that do not display quotes but rather execute trades internally without displaying liquidity to other participants; and</w:t>
      </w:r>
    </w:p>
    <w:p>
      <w:pPr>
        <w:numPr>
          <w:ilvl w:val="0"/>
          <w:numId w:val="439"/>
        </w:numPr>
        <w:spacing w:after="200"/>
        <w:ind w:left="720" w:hanging="192"/>
        <w:jc w:val="left"/>
        <w:rPr>
          <w:rFonts w:eastAsia="Arial" w:cs="Arial"/>
          <w:sz w:val="20"/>
          <w:szCs w:val="20"/>
        </w:rPr>
      </w:pPr>
      <w:r>
        <w:rPr>
          <w:rFonts w:eastAsia="Arial" w:cs="Arial"/>
          <w:sz w:val="20"/>
          <w:szCs w:val="20"/>
        </w:rPr>
        <w:t xml:space="preserve">mathematical models or algorithmic trading systems. </w:t>
      </w:r>
    </w:p>
    <w:p>
      <w:bookmarkEnd w:id="488"/>
      <w:bookmarkStart w:id="489" w:name="Sec_Chp_061016102253187_0610161022533593"/>
    </w:p>
    <w:p>
      <w:pPr>
        <w:pStyle w:val="Heading5"/>
      </w:pPr>
      <w:r>
        <w:t>7.3.1.1.3 Size Improvement</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Select broker-dealers that execute trades in markets that provide the greatest liquidity and thus potential for execution of orders larger than the size quoted in the NBBO.</w:t>
      </w:r>
    </w:p>
    <w:p>
      <w:bookmarkEnd w:id="489"/>
      <w:bookmarkStart w:id="490" w:name="Sec_Chp_061016102253187_0610161022533594"/>
    </w:p>
    <w:p>
      <w:pPr>
        <w:pStyle w:val="Heading5"/>
      </w:pPr>
      <w:r>
        <w:t>7.3.1.1.4 Commission</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Select broker-dealers that charge competitive commissions.</w:t>
      </w:r>
    </w:p>
    <w:p>
      <w:bookmarkEnd w:id="490"/>
      <w:bookmarkStart w:id="491" w:name="Sec_Chp_061016102253187_0610161022533596"/>
    </w:p>
    <w:p>
      <w:pPr>
        <w:pStyle w:val="Heading5"/>
      </w:pPr>
      <w:r>
        <w:t>7.3.1.1.5 Quality of Overall Execution Services</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Select broker-dealers that consistently execute trades in an accurate and professional manner, including providing prompt and accurate oral, hard copy or electronic reports of execution. Number of incomplete trades the broker-dealer had made in the past will be considered.</w:t>
      </w:r>
    </w:p>
    <w:p>
      <w:bookmarkEnd w:id="491"/>
      <w:bookmarkStart w:id="492" w:name="Sec_Chp_061016102253187_0610161022533597"/>
    </w:p>
    <w:p>
      <w:pPr>
        <w:pStyle w:val="Heading5"/>
      </w:pPr>
      <w:r>
        <w:t>7.3.1.1.6 Expertise</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 xml:space="preserve">Select one broker-dealer over another qualified broker-dealer if the former broker-dealer has special expertise in executing trades for a particular type of security. </w:t>
      </w:r>
    </w:p>
    <w:p>
      <w:bookmarkEnd w:id="492"/>
      <w:bookmarkStart w:id="493" w:name="Sec_Chp_061016102253187_0610161022533598"/>
    </w:p>
    <w:p>
      <w:pPr>
        <w:pStyle w:val="Heading5"/>
      </w:pPr>
      <w:r>
        <w:t>7.3.1.1.7 Financial Condition</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Select broker-dealers only if they are in sound financial condition and can maintain and commit adequate capital when necessary to complete trades. In addition, the broker-dealer's ability and overall commitment to technology will be considered.</w:t>
      </w:r>
    </w:p>
    <w:p>
      <w:bookmarkEnd w:id="493"/>
      <w:bookmarkStart w:id="494" w:name="Sec_Chp_061016102253187_0610161022533599"/>
    </w:p>
    <w:p>
      <w:pPr>
        <w:pStyle w:val="Heading5"/>
      </w:pPr>
      <w:r>
        <w:t>7.3.1.1.8 Skill</w:t>
      </w:r>
    </w:p>
    <w:p/>
    <w:p>
      <w:pPr>
        <w:rPr>
          <w:rFonts w:eastAsia="Arial" w:cs="Arial"/>
          <w:sz w:val="16"/>
          <w:szCs w:val="16"/>
        </w:rPr>
      </w:pPr>
    </w:p>
    <w:p>
      <w:pPr>
        <w:pStyle w:val="fmtsssstext"/>
        <w:spacing w:after="200"/>
        <w:rPr>
          <w:rFonts w:eastAsia="Arial" w:cs="Arial"/>
          <w:sz w:val="20"/>
          <w:szCs w:val="20"/>
        </w:rPr>
      </w:pPr>
      <w:r>
        <w:rPr>
          <w:rFonts w:eastAsia="Arial" w:cs="Arial"/>
          <w:sz w:val="20"/>
          <w:szCs w:val="20"/>
        </w:rPr>
        <w:t>Select highly skilled broker-dealers, based on such factors as the broker-dealer's ability to search for and obtain liquidity to minimize market impact, accommodate unusual market conditions, complete trades, execute unique trading strategies, execute and settle difficult trades, and maintain the anonymity of KCD.</w:t>
      </w:r>
    </w:p>
    <w:p>
      <w:bookmarkEnd w:id="494"/>
      <w:bookmarkStart w:id="495" w:name="Sec_Chp_061016102253187_247066"/>
    </w:p>
    <w:p>
      <w:pPr>
        <w:pStyle w:val="Heading5"/>
      </w:pPr>
      <w:r>
        <w:t>7.3.1.1.9 Order Routing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Ensure that broker-dealers executing client trades consider various order routing arrangements. In particular, the eventual market chosen over other competing markets may depend on a number of factors including order type, size, and potential market impact.</w:t>
      </w:r>
    </w:p>
    <w:p>
      <w:bookmarkEnd w:id="495"/>
      <w:bookmarkStart w:id="496" w:name="Sec_Chp_061016102253187_247068"/>
    </w:p>
    <w:p>
      <w:pPr>
        <w:pStyle w:val="Heading5"/>
      </w:pPr>
      <w:r>
        <w:t>7.3.1.1.10 Liquidity Providers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Ensure that broker-dealers executing client trades consider the possible use of liquidity providers or retail liquidity programs when placing client trades especially with respect to odd-lot trades. Liquidity providers can work to improve executions relative to the National Best Bid or Offer (NBBO) by using capital to execute orders against their own account or by routing to Alternative Trading Systems (ATS), securities exchanges, or other market makers.</w:t>
      </w:r>
    </w:p>
    <w:p>
      <w:bookmarkEnd w:id="496"/>
      <w:bookmarkStart w:id="497" w:name="Sec_Chp_061016102253187_061016102253390"/>
    </w:p>
    <w:p>
      <w:pPr>
        <w:pStyle w:val="Heading4"/>
      </w:pPr>
      <w:r>
        <w:t>7.3.1.2 Reviewing Prices and Monitoring Execution</w:t>
      </w:r>
    </w:p>
    <w:p/>
    <w:p>
      <w:pPr>
        <w:rPr>
          <w:rFonts w:eastAsia="Arial" w:cs="Arial"/>
          <w:sz w:val="16"/>
          <w:szCs w:val="16"/>
        </w:rPr>
      </w:pPr>
      <w:r>
        <w:rPr>
          <w:rFonts w:eastAsia="Arial" w:cs="Arial"/>
          <w:sz w:val="16"/>
          <w:szCs w:val="16"/>
        </w:rPr>
        <w:t>[SEC Securities Exchange Act of 1934 Rule 11Ac1-6]</w:t>
      </w:r>
    </w:p>
    <w:p/>
    <w:p>
      <w:pPr>
        <w:pStyle w:val="normal0"/>
        <w:spacing w:after="200"/>
        <w:rPr>
          <w:rFonts w:eastAsia="Arial" w:cs="Arial"/>
          <w:sz w:val="20"/>
          <w:szCs w:val="20"/>
        </w:rPr>
      </w:pPr>
      <w:r>
        <w:rPr>
          <w:rFonts w:eastAsia="Arial" w:cs="Arial"/>
          <w:sz w:val="20"/>
          <w:szCs w:val="20"/>
        </w:rPr>
        <w:t xml:space="preserve">The trader or Adviser Representative who places the trade has the primary responsibility for monitoring the quality of trade execution. Trades made on behalf of clients will be placed either through an introducing broker, who in turn will route the trade to a clearing broker, or directly with a clearing broker. Periodically, the </w:t>
      </w:r>
      <w:r>
        <w:rPr>
          <w:rFonts w:eastAsia="Arial" w:cs="Arial"/>
          <w:sz w:val="20"/>
          <w:szCs w:val="20"/>
        </w:rPr>
        <w:t>Compliance Officer</w:t>
      </w:r>
      <w:r>
        <w:rPr>
          <w:rFonts w:eastAsia="Arial" w:cs="Arial"/>
          <w:sz w:val="20"/>
          <w:szCs w:val="20"/>
        </w:rPr>
        <w:t xml:space="preserve"> shall review records or a sample of client trades and compare the prices obtained in the trades with historical prices in the relevant markets. For example, the </w:t>
      </w:r>
      <w:r>
        <w:rPr>
          <w:rFonts w:eastAsia="Arial" w:cs="Arial"/>
          <w:sz w:val="20"/>
          <w:szCs w:val="20"/>
        </w:rPr>
        <w:t>Compliance Officer</w:t>
      </w:r>
      <w:r>
        <w:rPr>
          <w:rFonts w:eastAsia="Arial" w:cs="Arial"/>
          <w:sz w:val="20"/>
          <w:szCs w:val="20"/>
        </w:rPr>
        <w:t xml:space="preserve"> may spot check a number of trades on a given day and compare the prices obtained with quote information obtained from NASDAQ or ECNs. If clients of KCD are not receiving prices that fall within an acceptable range of these quotes, the </w:t>
      </w:r>
      <w:r>
        <w:rPr>
          <w:rFonts w:eastAsia="Arial" w:cs="Arial"/>
          <w:sz w:val="20"/>
          <w:szCs w:val="20"/>
        </w:rPr>
        <w:t>Compliance Officer</w:t>
      </w:r>
      <w:r>
        <w:rPr>
          <w:rFonts w:eastAsia="Arial" w:cs="Arial"/>
          <w:sz w:val="20"/>
          <w:szCs w:val="20"/>
        </w:rPr>
        <w:t xml:space="preserve"> will investigate the reason for the deviation and consider ways to improve execution.</w:t>
      </w:r>
    </w:p>
    <w:p>
      <w:pPr>
        <w:pStyle w:val="normal0"/>
        <w:spacing w:before="200" w:after="200"/>
        <w:rPr>
          <w:rFonts w:eastAsia="Arial" w:cs="Arial"/>
          <w:sz w:val="20"/>
          <w:szCs w:val="20"/>
        </w:rPr>
      </w:pPr>
      <w:r>
        <w:rPr>
          <w:rFonts w:eastAsia="Arial" w:cs="Arial"/>
          <w:sz w:val="20"/>
          <w:szCs w:val="20"/>
        </w:rPr>
        <w:t xml:space="preserve">Rule 11Ac1-6 under the Securities Exchange Act of 1934 requires broker-dealers to make publicly available quarterly reports on their order routing practices. The report provides information on the routing of "non-directed orders" - any order that the customer has not specifically instructed to be routed to a particular venue for execution. The report is divided into four sections: </w:t>
      </w:r>
    </w:p>
    <w:p>
      <w:pPr>
        <w:numPr>
          <w:ilvl w:val="0"/>
          <w:numId w:val="440"/>
        </w:numPr>
        <w:spacing w:before="200"/>
        <w:ind w:left="720" w:hanging="192"/>
        <w:jc w:val="left"/>
        <w:rPr>
          <w:rFonts w:eastAsia="Arial" w:cs="Arial"/>
          <w:sz w:val="20"/>
          <w:szCs w:val="20"/>
        </w:rPr>
      </w:pPr>
      <w:r>
        <w:rPr>
          <w:rFonts w:eastAsia="Arial" w:cs="Arial"/>
          <w:sz w:val="20"/>
          <w:szCs w:val="20"/>
        </w:rPr>
        <w:t>securities listed on the New York Stock Exchange,</w:t>
      </w:r>
    </w:p>
    <w:p>
      <w:pPr>
        <w:numPr>
          <w:ilvl w:val="0"/>
          <w:numId w:val="440"/>
        </w:numPr>
        <w:ind w:left="720" w:hanging="192"/>
        <w:jc w:val="left"/>
        <w:rPr>
          <w:rFonts w:eastAsia="Arial" w:cs="Arial"/>
          <w:sz w:val="20"/>
          <w:szCs w:val="20"/>
        </w:rPr>
      </w:pPr>
      <w:r>
        <w:rPr>
          <w:rFonts w:eastAsia="Arial" w:cs="Arial"/>
          <w:sz w:val="20"/>
          <w:szCs w:val="20"/>
        </w:rPr>
        <w:t>securities listed on the NASDAQ Stock Market,</w:t>
      </w:r>
    </w:p>
    <w:p>
      <w:pPr>
        <w:numPr>
          <w:ilvl w:val="0"/>
          <w:numId w:val="440"/>
        </w:numPr>
        <w:ind w:left="720" w:hanging="192"/>
        <w:jc w:val="left"/>
        <w:rPr>
          <w:rFonts w:eastAsia="Arial" w:cs="Arial"/>
          <w:sz w:val="20"/>
          <w:szCs w:val="20"/>
        </w:rPr>
      </w:pPr>
      <w:r>
        <w:rPr>
          <w:rFonts w:eastAsia="Arial" w:cs="Arial"/>
          <w:sz w:val="20"/>
          <w:szCs w:val="20"/>
        </w:rPr>
        <w:t>securities listed on the American Stock Exchange or regional exchanges, and</w:t>
      </w:r>
    </w:p>
    <w:p>
      <w:pPr>
        <w:numPr>
          <w:ilvl w:val="0"/>
          <w:numId w:val="440"/>
        </w:numPr>
        <w:spacing w:after="200"/>
        <w:ind w:left="720" w:hanging="192"/>
        <w:jc w:val="left"/>
        <w:rPr>
          <w:rFonts w:eastAsia="Arial" w:cs="Arial"/>
          <w:sz w:val="20"/>
          <w:szCs w:val="20"/>
        </w:rPr>
      </w:pPr>
      <w:r>
        <w:rPr>
          <w:rFonts w:eastAsia="Arial" w:cs="Arial"/>
          <w:sz w:val="20"/>
          <w:szCs w:val="20"/>
        </w:rPr>
        <w:t xml:space="preserve">exchange-listed options. </w:t>
      </w:r>
    </w:p>
    <w:p>
      <w:pPr>
        <w:pStyle w:val="normal0"/>
        <w:spacing w:before="200" w:after="200"/>
        <w:rPr>
          <w:rFonts w:eastAsia="Arial" w:cs="Arial"/>
          <w:sz w:val="20"/>
          <w:szCs w:val="20"/>
        </w:rPr>
      </w:pPr>
      <w:r>
        <w:rPr>
          <w:rFonts w:eastAsia="Arial" w:cs="Arial"/>
          <w:sz w:val="20"/>
          <w:szCs w:val="20"/>
        </w:rPr>
        <w:t>For each section, this report identifies the venues most often selected by the broker-dealer, sets forth the percentage of various types of orders routed to the venues, and discusses the material aspects of broker-dealer's relationship with the venues.</w:t>
      </w:r>
    </w:p>
    <w:p>
      <w:pPr>
        <w:pStyle w:val="normal0"/>
        <w:spacing w:before="200" w:after="200"/>
        <w:rPr>
          <w:rFonts w:eastAsia="Arial" w:cs="Arial"/>
          <w:sz w:val="20"/>
          <w:szCs w:val="20"/>
        </w:rPr>
      </w:pPr>
      <w:r>
        <w:rPr>
          <w:rFonts w:eastAsia="Arial" w:cs="Arial"/>
          <w:sz w:val="20"/>
          <w:szCs w:val="20"/>
        </w:rPr>
        <w:t>KCD will regularly monitor and evaluate clearing broker-dealer performance and execution quality reviewing, at a minimum, the following information:</w:t>
      </w:r>
    </w:p>
    <w:p>
      <w:pPr>
        <w:numPr>
          <w:ilvl w:val="0"/>
          <w:numId w:val="441"/>
        </w:numPr>
        <w:spacing w:before="200"/>
        <w:ind w:left="720" w:hanging="192"/>
        <w:jc w:val="left"/>
        <w:rPr>
          <w:rFonts w:eastAsia="Arial" w:cs="Arial"/>
          <w:sz w:val="20"/>
          <w:szCs w:val="20"/>
        </w:rPr>
      </w:pPr>
      <w:r>
        <w:rPr>
          <w:rFonts w:eastAsia="Arial" w:cs="Arial"/>
          <w:sz w:val="20"/>
          <w:szCs w:val="20"/>
        </w:rPr>
        <w:t>Rule 11Ac1-6 trading reports;</w:t>
      </w:r>
    </w:p>
    <w:p>
      <w:pPr>
        <w:numPr>
          <w:ilvl w:val="0"/>
          <w:numId w:val="441"/>
        </w:numPr>
        <w:ind w:left="720" w:hanging="192"/>
        <w:jc w:val="left"/>
        <w:rPr>
          <w:rFonts w:eastAsia="Arial" w:cs="Arial"/>
          <w:sz w:val="20"/>
          <w:szCs w:val="20"/>
        </w:rPr>
      </w:pPr>
      <w:r>
        <w:rPr>
          <w:rFonts w:eastAsia="Arial" w:cs="Arial"/>
          <w:sz w:val="20"/>
          <w:szCs w:val="20"/>
        </w:rPr>
        <w:t>Other broker-dealer reports, including, but is not limited to, the following data:</w:t>
      </w:r>
    </w:p>
    <w:p>
      <w:pPr>
        <w:numPr>
          <w:ilvl w:val="1"/>
          <w:numId w:val="441"/>
        </w:numPr>
        <w:ind w:left="1440" w:hanging="220"/>
        <w:jc w:val="left"/>
        <w:rPr>
          <w:rFonts w:eastAsia="Arial" w:cs="Arial"/>
          <w:sz w:val="20"/>
          <w:szCs w:val="20"/>
        </w:rPr>
      </w:pPr>
      <w:r>
        <w:rPr>
          <w:rFonts w:eastAsia="Arial" w:cs="Arial"/>
          <w:sz w:val="20"/>
          <w:szCs w:val="20"/>
        </w:rPr>
        <w:t xml:space="preserve">commission summaries, </w:t>
      </w:r>
    </w:p>
    <w:p>
      <w:pPr>
        <w:numPr>
          <w:ilvl w:val="1"/>
          <w:numId w:val="441"/>
        </w:numPr>
        <w:ind w:left="1440" w:hanging="220"/>
        <w:jc w:val="left"/>
        <w:rPr>
          <w:rFonts w:eastAsia="Arial" w:cs="Arial"/>
          <w:sz w:val="20"/>
          <w:szCs w:val="20"/>
        </w:rPr>
      </w:pPr>
      <w:r>
        <w:rPr>
          <w:rFonts w:eastAsia="Arial" w:cs="Arial"/>
          <w:sz w:val="20"/>
          <w:szCs w:val="20"/>
        </w:rPr>
        <w:t xml:space="preserve">transaction reports, and </w:t>
      </w:r>
    </w:p>
    <w:p>
      <w:pPr>
        <w:numPr>
          <w:ilvl w:val="1"/>
          <w:numId w:val="441"/>
        </w:numPr>
        <w:ind w:left="1440" w:hanging="220"/>
        <w:jc w:val="left"/>
        <w:rPr>
          <w:rFonts w:eastAsia="Arial" w:cs="Arial"/>
          <w:sz w:val="20"/>
          <w:szCs w:val="20"/>
        </w:rPr>
      </w:pPr>
      <w:r>
        <w:rPr>
          <w:rFonts w:eastAsia="Arial" w:cs="Arial"/>
          <w:sz w:val="20"/>
          <w:szCs w:val="20"/>
        </w:rPr>
        <w:t>failed trades;</w:t>
      </w:r>
    </w:p>
    <w:p>
      <w:pPr>
        <w:numPr>
          <w:ilvl w:val="0"/>
          <w:numId w:val="441"/>
        </w:numPr>
        <w:ind w:left="720" w:hanging="192"/>
        <w:jc w:val="left"/>
        <w:rPr>
          <w:rFonts w:eastAsia="Arial" w:cs="Arial"/>
          <w:sz w:val="20"/>
          <w:szCs w:val="20"/>
        </w:rPr>
      </w:pPr>
      <w:r>
        <w:rPr>
          <w:rFonts w:eastAsia="Arial" w:cs="Arial"/>
          <w:sz w:val="20"/>
          <w:szCs w:val="20"/>
        </w:rPr>
        <w:t xml:space="preserve">Feedback from traders, portfolio managers and other Firm employees having substantive contact with the broker-dealer; and </w:t>
      </w:r>
    </w:p>
    <w:p>
      <w:pPr>
        <w:numPr>
          <w:ilvl w:val="0"/>
          <w:numId w:val="441"/>
        </w:numPr>
        <w:spacing w:after="200"/>
        <w:ind w:left="720" w:hanging="192"/>
        <w:jc w:val="left"/>
        <w:rPr>
          <w:rFonts w:eastAsia="Arial" w:cs="Arial"/>
          <w:sz w:val="20"/>
          <w:szCs w:val="20"/>
        </w:rPr>
      </w:pPr>
      <w:r>
        <w:rPr>
          <w:rFonts w:eastAsia="Arial" w:cs="Arial"/>
          <w:sz w:val="20"/>
          <w:szCs w:val="20"/>
        </w:rPr>
        <w:t>Information generated by investment personnel who make post-trade evaluation.</w:t>
      </w:r>
    </w:p>
    <w:p>
      <w:pPr>
        <w:pStyle w:val="normal0"/>
        <w:spacing w:before="200" w:after="200"/>
        <w:rPr>
          <w:rFonts w:eastAsia="Arial" w:cs="Arial"/>
          <w:sz w:val="20"/>
          <w:szCs w:val="20"/>
        </w:rPr>
      </w:pPr>
      <w:r>
        <w:rPr>
          <w:rFonts w:eastAsia="Arial" w:cs="Arial"/>
          <w:sz w:val="20"/>
          <w:szCs w:val="20"/>
        </w:rPr>
        <w:t xml:space="preserve">Periodically, the </w:t>
      </w:r>
      <w:r>
        <w:rPr>
          <w:rFonts w:eastAsia="Arial" w:cs="Arial"/>
          <w:sz w:val="20"/>
          <w:szCs w:val="20"/>
        </w:rPr>
        <w:t>Compliance Officer</w:t>
      </w:r>
      <w:r>
        <w:rPr>
          <w:rFonts w:eastAsia="Arial" w:cs="Arial"/>
          <w:sz w:val="20"/>
          <w:szCs w:val="20"/>
        </w:rPr>
        <w:t xml:space="preserve"> will review KCD's List of Approved Broker-Dealers, compare the List with actual brokerage allocations made over the past quarter or some other period, and make changes to such List pursuant to the procedures in the "Selection of Broker-Dealers" section.</w:t>
      </w:r>
    </w:p>
    <w:p>
      <w:pPr>
        <w:pStyle w:val="normal0"/>
        <w:spacing w:before="200" w:after="200"/>
        <w:rPr>
          <w:rFonts w:eastAsia="Arial" w:cs="Arial"/>
          <w:sz w:val="20"/>
          <w:szCs w:val="20"/>
        </w:rPr>
      </w:pPr>
      <w:r>
        <w:rPr>
          <w:rFonts w:eastAsia="Arial" w:cs="Arial"/>
          <w:sz w:val="20"/>
          <w:szCs w:val="20"/>
        </w:rPr>
        <w:t>When performing this review for a particular broker-dealer, KCD will consider, at a minimum, the following factors:</w:t>
      </w:r>
    </w:p>
    <w:p>
      <w:pPr>
        <w:numPr>
          <w:ilvl w:val="0"/>
          <w:numId w:val="442"/>
        </w:numPr>
        <w:spacing w:before="200"/>
        <w:ind w:left="720" w:hanging="192"/>
        <w:jc w:val="left"/>
        <w:rPr>
          <w:rFonts w:eastAsia="Arial" w:cs="Arial"/>
          <w:sz w:val="20"/>
          <w:szCs w:val="20"/>
        </w:rPr>
      </w:pPr>
      <w:r>
        <w:rPr>
          <w:rFonts w:eastAsia="Arial" w:cs="Arial"/>
          <w:sz w:val="20"/>
          <w:szCs w:val="20"/>
        </w:rPr>
        <w:t>Average commission rate;</w:t>
      </w:r>
    </w:p>
    <w:p>
      <w:pPr>
        <w:numPr>
          <w:ilvl w:val="0"/>
          <w:numId w:val="442"/>
        </w:numPr>
        <w:ind w:left="720" w:hanging="192"/>
        <w:jc w:val="left"/>
        <w:rPr>
          <w:rFonts w:eastAsia="Arial" w:cs="Arial"/>
          <w:sz w:val="20"/>
          <w:szCs w:val="20"/>
        </w:rPr>
      </w:pPr>
      <w:r>
        <w:rPr>
          <w:rFonts w:eastAsia="Arial" w:cs="Arial"/>
          <w:sz w:val="20"/>
          <w:szCs w:val="20"/>
        </w:rPr>
        <w:t>The type and quality of research provided by the broker-dealer;</w:t>
      </w:r>
    </w:p>
    <w:p>
      <w:pPr>
        <w:numPr>
          <w:ilvl w:val="0"/>
          <w:numId w:val="442"/>
        </w:numPr>
        <w:ind w:left="720" w:hanging="192"/>
        <w:jc w:val="left"/>
        <w:rPr>
          <w:rFonts w:eastAsia="Arial" w:cs="Arial"/>
          <w:sz w:val="20"/>
          <w:szCs w:val="20"/>
        </w:rPr>
      </w:pPr>
      <w:r>
        <w:rPr>
          <w:rFonts w:eastAsia="Arial" w:cs="Arial"/>
          <w:sz w:val="20"/>
          <w:szCs w:val="20"/>
        </w:rPr>
        <w:t>Reasons for initially selecting the broker-dealer;</w:t>
      </w:r>
    </w:p>
    <w:p>
      <w:pPr>
        <w:numPr>
          <w:ilvl w:val="0"/>
          <w:numId w:val="442"/>
        </w:numPr>
        <w:ind w:left="720" w:hanging="192"/>
        <w:jc w:val="left"/>
        <w:rPr>
          <w:rFonts w:eastAsia="Arial" w:cs="Arial"/>
          <w:sz w:val="20"/>
          <w:szCs w:val="20"/>
        </w:rPr>
      </w:pPr>
      <w:r>
        <w:rPr>
          <w:rFonts w:eastAsia="Arial" w:cs="Arial"/>
          <w:sz w:val="20"/>
          <w:szCs w:val="20"/>
        </w:rPr>
        <w:t>Any trade errors involving the broker-dealer;</w:t>
      </w:r>
    </w:p>
    <w:p>
      <w:pPr>
        <w:numPr>
          <w:ilvl w:val="0"/>
          <w:numId w:val="442"/>
        </w:numPr>
        <w:ind w:left="720" w:hanging="192"/>
        <w:jc w:val="left"/>
        <w:rPr>
          <w:rFonts w:eastAsia="Arial" w:cs="Arial"/>
          <w:sz w:val="20"/>
          <w:szCs w:val="20"/>
        </w:rPr>
      </w:pPr>
      <w:r>
        <w:rPr>
          <w:rFonts w:eastAsia="Arial" w:cs="Arial"/>
          <w:sz w:val="20"/>
          <w:szCs w:val="20"/>
        </w:rPr>
        <w:t>Non-execution services provided by the broker-dealer;</w:t>
      </w:r>
    </w:p>
    <w:p>
      <w:pPr>
        <w:numPr>
          <w:ilvl w:val="0"/>
          <w:numId w:val="442"/>
        </w:numPr>
        <w:ind w:left="720" w:hanging="192"/>
        <w:jc w:val="left"/>
        <w:rPr>
          <w:rFonts w:eastAsia="Arial" w:cs="Arial"/>
          <w:sz w:val="20"/>
          <w:szCs w:val="20"/>
        </w:rPr>
      </w:pPr>
      <w:r>
        <w:rPr>
          <w:rFonts w:eastAsia="Arial" w:cs="Arial"/>
          <w:sz w:val="20"/>
          <w:szCs w:val="20"/>
        </w:rPr>
        <w:t>The quality of the execution services (including speed of execution, handling of large or difficult orders and dependability);</w:t>
      </w:r>
    </w:p>
    <w:p>
      <w:pPr>
        <w:numPr>
          <w:ilvl w:val="0"/>
          <w:numId w:val="442"/>
        </w:numPr>
        <w:ind w:left="720" w:hanging="192"/>
        <w:jc w:val="left"/>
        <w:rPr>
          <w:rFonts w:eastAsia="Arial" w:cs="Arial"/>
          <w:sz w:val="20"/>
          <w:szCs w:val="20"/>
        </w:rPr>
      </w:pPr>
      <w:r>
        <w:rPr>
          <w:rFonts w:eastAsia="Arial" w:cs="Arial"/>
          <w:sz w:val="20"/>
          <w:szCs w:val="20"/>
        </w:rPr>
        <w:t>The level of expertise it has taking in account of the current business and investment strategies of KCD;</w:t>
      </w:r>
    </w:p>
    <w:p>
      <w:pPr>
        <w:numPr>
          <w:ilvl w:val="0"/>
          <w:numId w:val="442"/>
        </w:numPr>
        <w:ind w:left="720" w:hanging="192"/>
        <w:jc w:val="left"/>
        <w:rPr>
          <w:rFonts w:eastAsia="Arial" w:cs="Arial"/>
          <w:sz w:val="20"/>
          <w:szCs w:val="20"/>
        </w:rPr>
      </w:pPr>
      <w:r>
        <w:rPr>
          <w:rFonts w:eastAsia="Arial" w:cs="Arial"/>
          <w:sz w:val="20"/>
          <w:szCs w:val="20"/>
        </w:rPr>
        <w:t>The broker-dealer's financial condition;</w:t>
      </w:r>
    </w:p>
    <w:p>
      <w:pPr>
        <w:numPr>
          <w:ilvl w:val="0"/>
          <w:numId w:val="442"/>
        </w:numPr>
        <w:ind w:left="720" w:hanging="192"/>
        <w:jc w:val="left"/>
        <w:rPr>
          <w:rFonts w:eastAsia="Arial" w:cs="Arial"/>
          <w:sz w:val="20"/>
          <w:szCs w:val="20"/>
        </w:rPr>
      </w:pPr>
      <w:r>
        <w:rPr>
          <w:rFonts w:eastAsia="Arial" w:cs="Arial"/>
          <w:sz w:val="20"/>
          <w:szCs w:val="20"/>
        </w:rPr>
        <w:t>Responsiveness of the broker-dealer to KCD;</w:t>
      </w:r>
    </w:p>
    <w:p>
      <w:pPr>
        <w:numPr>
          <w:ilvl w:val="0"/>
          <w:numId w:val="442"/>
        </w:numPr>
        <w:ind w:left="720" w:hanging="192"/>
        <w:jc w:val="left"/>
        <w:rPr>
          <w:rFonts w:eastAsia="Arial" w:cs="Arial"/>
          <w:sz w:val="20"/>
          <w:szCs w:val="20"/>
        </w:rPr>
      </w:pPr>
      <w:r>
        <w:rPr>
          <w:rFonts w:eastAsia="Arial" w:cs="Arial"/>
          <w:sz w:val="20"/>
          <w:szCs w:val="20"/>
        </w:rPr>
        <w:t>Conflicts of interest, if any, raised by the use of the broker-dealer; and</w:t>
      </w:r>
    </w:p>
    <w:p>
      <w:pPr>
        <w:numPr>
          <w:ilvl w:val="0"/>
          <w:numId w:val="442"/>
        </w:numPr>
        <w:spacing w:after="200"/>
        <w:ind w:left="720" w:hanging="192"/>
        <w:jc w:val="left"/>
        <w:rPr>
          <w:rFonts w:eastAsia="Arial" w:cs="Arial"/>
          <w:sz w:val="20"/>
          <w:szCs w:val="20"/>
        </w:rPr>
      </w:pPr>
      <w:r>
        <w:rPr>
          <w:rFonts w:eastAsia="Arial" w:cs="Arial"/>
          <w:sz w:val="20"/>
          <w:szCs w:val="20"/>
        </w:rPr>
        <w:t>Any irregularities associated with the trades executed by the broker-dealer.</w:t>
      </w:r>
    </w:p>
    <w:p>
      <w:pPr>
        <w:pStyle w:val="normal0"/>
        <w:spacing w:before="200" w:after="200"/>
        <w:rPr>
          <w:rFonts w:eastAsia="Arial" w:cs="Arial"/>
          <w:sz w:val="20"/>
          <w:szCs w:val="20"/>
        </w:rPr>
      </w:pPr>
      <w:r>
        <w:rPr>
          <w:rFonts w:eastAsia="Arial" w:cs="Arial"/>
          <w:sz w:val="20"/>
          <w:szCs w:val="20"/>
        </w:rPr>
        <w:t>KCD will document this review at least quarterly by preparing broker utilization reports consisting of:</w:t>
      </w:r>
    </w:p>
    <w:p>
      <w:pPr>
        <w:numPr>
          <w:ilvl w:val="0"/>
          <w:numId w:val="443"/>
        </w:numPr>
        <w:spacing w:before="200"/>
        <w:ind w:left="720" w:hanging="192"/>
        <w:jc w:val="left"/>
        <w:rPr>
          <w:rFonts w:eastAsia="Arial" w:cs="Arial"/>
          <w:sz w:val="20"/>
          <w:szCs w:val="20"/>
        </w:rPr>
      </w:pPr>
      <w:r>
        <w:rPr>
          <w:rFonts w:eastAsia="Arial" w:cs="Arial"/>
          <w:sz w:val="20"/>
          <w:szCs w:val="20"/>
        </w:rPr>
        <w:t>Broker-dealers retained by KCD;</w:t>
      </w:r>
    </w:p>
    <w:p>
      <w:pPr>
        <w:numPr>
          <w:ilvl w:val="0"/>
          <w:numId w:val="443"/>
        </w:numPr>
        <w:ind w:left="720" w:hanging="192"/>
        <w:jc w:val="left"/>
        <w:rPr>
          <w:rFonts w:eastAsia="Arial" w:cs="Arial"/>
          <w:sz w:val="20"/>
          <w:szCs w:val="20"/>
        </w:rPr>
      </w:pPr>
      <w:r>
        <w:rPr>
          <w:rFonts w:eastAsia="Arial" w:cs="Arial"/>
          <w:sz w:val="20"/>
          <w:szCs w:val="20"/>
        </w:rPr>
        <w:t>Research provided by each broker-dealer;</w:t>
      </w:r>
    </w:p>
    <w:p>
      <w:pPr>
        <w:numPr>
          <w:ilvl w:val="0"/>
          <w:numId w:val="443"/>
        </w:numPr>
        <w:ind w:left="720" w:hanging="192"/>
        <w:jc w:val="left"/>
        <w:rPr>
          <w:rFonts w:eastAsia="Arial" w:cs="Arial"/>
          <w:sz w:val="20"/>
          <w:szCs w:val="20"/>
        </w:rPr>
      </w:pPr>
      <w:r>
        <w:rPr>
          <w:rFonts w:eastAsia="Arial" w:cs="Arial"/>
          <w:sz w:val="20"/>
          <w:szCs w:val="20"/>
        </w:rPr>
        <w:t>Dollar amount of total trade execution with each broker-dealer separately and all broker-dealers in the aggregate; and</w:t>
      </w:r>
    </w:p>
    <w:p>
      <w:pPr>
        <w:numPr>
          <w:ilvl w:val="0"/>
          <w:numId w:val="443"/>
        </w:numPr>
        <w:spacing w:after="200"/>
        <w:ind w:left="720" w:hanging="192"/>
        <w:jc w:val="left"/>
        <w:rPr>
          <w:rFonts w:eastAsia="Arial" w:cs="Arial"/>
          <w:sz w:val="20"/>
          <w:szCs w:val="20"/>
        </w:rPr>
      </w:pPr>
      <w:r>
        <w:rPr>
          <w:rFonts w:eastAsia="Arial" w:cs="Arial"/>
          <w:sz w:val="20"/>
          <w:szCs w:val="20"/>
        </w:rPr>
        <w:t>Percentage of trades executed through each broker-dealer.</w:t>
      </w:r>
    </w:p>
    <w:p>
      <w:pPr>
        <w:pStyle w:val="normal0"/>
        <w:spacing w:before="200" w:after="200"/>
        <w:rPr>
          <w:rFonts w:eastAsia="Arial" w:cs="Arial"/>
          <w:sz w:val="20"/>
          <w:szCs w:val="20"/>
        </w:rPr>
      </w:pPr>
      <w:r>
        <w:rPr>
          <w:rFonts w:eastAsia="Arial" w:cs="Arial"/>
          <w:sz w:val="20"/>
          <w:szCs w:val="20"/>
        </w:rPr>
        <w:t xml:space="preserve">KCD will periodically perform tests and review data to ensure that no client account has been the subject of excessive trading that generated excessive brokerage commissions including the following: </w:t>
      </w:r>
    </w:p>
    <w:p>
      <w:pPr>
        <w:numPr>
          <w:ilvl w:val="0"/>
          <w:numId w:val="444"/>
        </w:numPr>
        <w:spacing w:before="200"/>
        <w:ind w:left="720" w:hanging="192"/>
        <w:jc w:val="left"/>
        <w:rPr>
          <w:rFonts w:eastAsia="Arial" w:cs="Arial"/>
          <w:sz w:val="20"/>
          <w:szCs w:val="20"/>
        </w:rPr>
      </w:pPr>
      <w:r>
        <w:rPr>
          <w:rFonts w:eastAsia="Arial" w:cs="Arial"/>
          <w:sz w:val="20"/>
          <w:szCs w:val="20"/>
        </w:rPr>
        <w:t xml:space="preserve">Calculating the cost-to-equity for a client's trade by dividing the total annual costs (including commissions and margin interests) by the client account's average balance; </w:t>
      </w:r>
    </w:p>
    <w:p>
      <w:pPr>
        <w:numPr>
          <w:ilvl w:val="0"/>
          <w:numId w:val="444"/>
        </w:numPr>
        <w:ind w:left="720" w:hanging="192"/>
        <w:jc w:val="left"/>
        <w:rPr>
          <w:rFonts w:eastAsia="Arial" w:cs="Arial"/>
          <w:sz w:val="20"/>
          <w:szCs w:val="20"/>
        </w:rPr>
      </w:pPr>
      <w:r>
        <w:rPr>
          <w:rFonts w:eastAsia="Arial" w:cs="Arial"/>
          <w:sz w:val="20"/>
          <w:szCs w:val="20"/>
        </w:rPr>
        <w:t xml:space="preserve">Reviewing random client account's or all client accounts' turnover rate(s); and </w:t>
      </w:r>
    </w:p>
    <w:p>
      <w:pPr>
        <w:numPr>
          <w:ilvl w:val="0"/>
          <w:numId w:val="444"/>
        </w:numPr>
        <w:spacing w:after="200"/>
        <w:ind w:left="720" w:hanging="192"/>
        <w:jc w:val="left"/>
        <w:rPr>
          <w:rFonts w:eastAsia="Arial" w:cs="Arial"/>
          <w:sz w:val="20"/>
          <w:szCs w:val="20"/>
        </w:rPr>
      </w:pPr>
      <w:r>
        <w:rPr>
          <w:rFonts w:eastAsia="Arial" w:cs="Arial"/>
          <w:sz w:val="20"/>
          <w:szCs w:val="20"/>
        </w:rPr>
        <w:t xml:space="preserve">Monitoring for "in-and-out" trading of client portfolio holdings. </w:t>
      </w:r>
    </w:p>
    <w:p>
      <w:pPr>
        <w:pStyle w:val="normal0"/>
        <w:spacing w:before="200" w:after="200"/>
        <w:rPr>
          <w:rFonts w:eastAsia="Arial" w:cs="Arial"/>
          <w:sz w:val="20"/>
          <w:szCs w:val="20"/>
        </w:rPr>
      </w:pPr>
      <w:r>
        <w:rPr>
          <w:rFonts w:eastAsia="Arial" w:cs="Arial"/>
          <w:sz w:val="20"/>
          <w:szCs w:val="20"/>
        </w:rPr>
        <w:t xml:space="preserve">In the event the above tests or reviews reveal unusual trading suggesting that there might have been excessive commissions paid by a client, the Chief Compliance Officer will investigate such trading including interviewing Firm personnel responsible for the affected client account, increasing the monitoring of brokerage of the affected client account and taking appropriate action if in fact excessive trading has occurred with respect to the client account. </w:t>
      </w:r>
    </w:p>
    <w:p>
      <w:bookmarkEnd w:id="497"/>
      <w:bookmarkStart w:id="498" w:name="Sec_Chp_061016102253187_06101610227315"/>
    </w:p>
    <w:p>
      <w:pPr>
        <w:pStyle w:val="Heading4"/>
      </w:pPr>
      <w:r>
        <w:t>7.3.1.3 ETF, Mutual Fund and ETF-Mutual Fund Shares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purchasing or entering orders on behalf of a client for shares of (i) an ETF; (ii) a mutual fund; or (iii) a fund that simultaneously offers ETF and mutual fund shares for a client, KCD shall refer to the section </w:t>
      </w:r>
      <w:r>
        <w:rPr>
          <w:rFonts w:eastAsia="Arial" w:cs="Arial"/>
          <w:i/>
          <w:iCs/>
          <w:sz w:val="20"/>
          <w:szCs w:val="20"/>
        </w:rPr>
        <w:t>ETF Mutual Fund Dual Class Shares</w:t>
      </w:r>
      <w:r>
        <w:rPr>
          <w:rFonts w:eastAsia="Arial" w:cs="Arial"/>
          <w:sz w:val="20"/>
          <w:szCs w:val="20"/>
        </w:rPr>
        <w:t xml:space="preserve"> in the Investment Management chapter of this Manual. </w:t>
      </w:r>
    </w:p>
    <w:p>
      <w:bookmarkEnd w:id="498"/>
      <w:bookmarkStart w:id="499" w:name="Sec_Chp_061016102253187_0610161022731573"/>
    </w:p>
    <w:p>
      <w:pPr>
        <w:pStyle w:val="Heading4"/>
      </w:pPr>
      <w:r>
        <w:t>7.3.1.4 Use of a Single Broker-Dealer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uses a single broker-dealer instead of multiple broker-dealers or if one broker-dealer executes a high percentage of client trades, KCD will:</w:t>
      </w:r>
    </w:p>
    <w:p>
      <w:pPr>
        <w:numPr>
          <w:ilvl w:val="0"/>
          <w:numId w:val="445"/>
        </w:numPr>
        <w:spacing w:before="200"/>
        <w:ind w:left="720" w:hanging="192"/>
        <w:jc w:val="left"/>
        <w:rPr>
          <w:rFonts w:eastAsia="Arial" w:cs="Arial"/>
          <w:sz w:val="20"/>
          <w:szCs w:val="20"/>
        </w:rPr>
      </w:pPr>
      <w:r>
        <w:rPr>
          <w:rFonts w:eastAsia="Arial" w:cs="Arial"/>
          <w:sz w:val="20"/>
          <w:szCs w:val="20"/>
        </w:rPr>
        <w:t>periodically seek comparisons from competing broker-dealers and assess its current broker-dealer's execution performance with the services offered by the competing broker-dealers;</w:t>
      </w:r>
    </w:p>
    <w:p>
      <w:pPr>
        <w:numPr>
          <w:ilvl w:val="0"/>
          <w:numId w:val="445"/>
        </w:numPr>
        <w:ind w:left="720" w:hanging="192"/>
        <w:jc w:val="left"/>
        <w:rPr>
          <w:rFonts w:eastAsia="Arial" w:cs="Arial"/>
          <w:sz w:val="20"/>
          <w:szCs w:val="20"/>
        </w:rPr>
      </w:pPr>
      <w:r>
        <w:rPr>
          <w:rFonts w:eastAsia="Arial" w:cs="Arial"/>
          <w:sz w:val="20"/>
          <w:szCs w:val="20"/>
        </w:rPr>
        <w:t>heighten its review of the single broker-dealer that it uses in order to avoid a cursory review of its services; and</w:t>
      </w:r>
    </w:p>
    <w:p>
      <w:pPr>
        <w:numPr>
          <w:ilvl w:val="0"/>
          <w:numId w:val="445"/>
        </w:numPr>
        <w:spacing w:after="200"/>
        <w:ind w:left="720" w:hanging="192"/>
        <w:jc w:val="left"/>
        <w:rPr>
          <w:rFonts w:eastAsia="Arial" w:cs="Arial"/>
          <w:sz w:val="20"/>
          <w:szCs w:val="20"/>
        </w:rPr>
      </w:pPr>
      <w:r>
        <w:rPr>
          <w:rFonts w:eastAsia="Arial" w:cs="Arial"/>
          <w:sz w:val="20"/>
          <w:szCs w:val="20"/>
        </w:rPr>
        <w:t>seek and obtain up-to-date information from the single broker-dealer that facilitates comparisons with other broker-dealers.</w:t>
      </w:r>
    </w:p>
    <w:p>
      <w:bookmarkEnd w:id="499"/>
      <w:bookmarkStart w:id="500" w:name="Sec_Chp_061016102253187_0610161022536457"/>
    </w:p>
    <w:p>
      <w:pPr>
        <w:pStyle w:val="Heading3"/>
      </w:pPr>
      <w:bookmarkStart w:id="501" w:name="_Toc256000120"/>
      <w:r>
        <w:t>7.3.2 Parking</w:t>
      </w:r>
      <w:bookmarkEnd w:id="501"/>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"Parking" or "Pre-Arranged Trading" is the practice of selling shares to a third-party with the understanding that the original owner will buy them back after a short period of time. Illicit parking may be done for a variety of reasons including avoiding disclosure of a person's position in a stock on a required regulatory report.</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Brokerage firms and their registered representatives may engage in illegal parking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to inflate their net capital to meet regulatory requirements).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will periodically monitor client accounts and transactions for indications of parking. When conducting such monitoring, KCD will look for:</w:t>
      </w:r>
    </w:p>
    <w:p>
      <w:pPr>
        <w:numPr>
          <w:ilvl w:val="0"/>
          <w:numId w:val="446"/>
        </w:numPr>
        <w:spacing w:before="200"/>
        <w:ind w:left="720" w:hanging="192"/>
        <w:jc w:val="left"/>
        <w:rPr>
          <w:rFonts w:eastAsia="Arial" w:cs="Arial"/>
          <w:sz w:val="20"/>
          <w:szCs w:val="20"/>
        </w:rPr>
      </w:pPr>
      <w:r>
        <w:rPr>
          <w:rFonts w:eastAsia="Arial" w:cs="Arial"/>
          <w:sz w:val="20"/>
          <w:szCs w:val="20"/>
        </w:rPr>
        <w:t>Patterns of trades by a client that do not appear to have any investment reason;</w:t>
      </w:r>
    </w:p>
    <w:p>
      <w:pPr>
        <w:numPr>
          <w:ilvl w:val="0"/>
          <w:numId w:val="446"/>
        </w:numPr>
        <w:ind w:left="720" w:hanging="192"/>
        <w:jc w:val="left"/>
        <w:rPr>
          <w:rFonts w:eastAsia="Arial" w:cs="Arial"/>
          <w:sz w:val="20"/>
          <w:szCs w:val="20"/>
        </w:rPr>
      </w:pPr>
      <w:r>
        <w:rPr>
          <w:rFonts w:eastAsia="Arial" w:cs="Arial"/>
          <w:sz w:val="20"/>
          <w:szCs w:val="20"/>
        </w:rPr>
        <w:t>Frequent sales to, followed by purchases back, from the same party;</w:t>
      </w:r>
    </w:p>
    <w:p>
      <w:pPr>
        <w:numPr>
          <w:ilvl w:val="0"/>
          <w:numId w:val="446"/>
        </w:numPr>
        <w:ind w:left="720" w:hanging="192"/>
        <w:jc w:val="left"/>
        <w:rPr>
          <w:rFonts w:eastAsia="Arial" w:cs="Arial"/>
          <w:sz w:val="20"/>
          <w:szCs w:val="20"/>
        </w:rPr>
      </w:pPr>
      <w:r>
        <w:rPr>
          <w:rFonts w:eastAsia="Arial" w:cs="Arial"/>
          <w:sz w:val="20"/>
          <w:szCs w:val="20"/>
        </w:rPr>
        <w:t>Allocating trades in a manner that advantages some clients while disadvantaging other clients; and</w:t>
      </w:r>
    </w:p>
    <w:p>
      <w:pPr>
        <w:numPr>
          <w:ilvl w:val="0"/>
          <w:numId w:val="446"/>
        </w:numPr>
        <w:spacing w:after="200"/>
        <w:ind w:left="720" w:hanging="192"/>
        <w:jc w:val="left"/>
        <w:rPr>
          <w:rFonts w:eastAsia="Arial" w:cs="Arial"/>
          <w:sz w:val="20"/>
          <w:szCs w:val="20"/>
        </w:rPr>
      </w:pPr>
      <w:r>
        <w:rPr>
          <w:rFonts w:eastAsia="Arial" w:cs="Arial"/>
          <w:sz w:val="20"/>
          <w:szCs w:val="20"/>
        </w:rPr>
        <w:t>High number of trades near month-end or other reporting periods.</w:t>
      </w:r>
    </w:p>
    <w:p>
      <w:bookmarkEnd w:id="500"/>
      <w:bookmarkStart w:id="502" w:name="Sec_Chp_061016102253187_061016102253656"/>
    </w:p>
    <w:p>
      <w:pPr>
        <w:pStyle w:val="Heading2"/>
      </w:pPr>
      <w:bookmarkStart w:id="503" w:name="_Toc256000121"/>
      <w:r>
        <w:t>7.4 Form ADV Disclosure</w:t>
      </w:r>
      <w:bookmarkEnd w:id="503"/>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provide sufficient disclosure in its Brochure (Part 2A) so that clients and potential clients can understand its brokerage policies and procedures.</w:t>
      </w:r>
    </w:p>
    <w:p>
      <w:pPr>
        <w:pStyle w:val="normal0"/>
        <w:spacing w:before="200" w:after="200"/>
        <w:rPr>
          <w:rFonts w:eastAsia="Arial" w:cs="Arial"/>
          <w:sz w:val="20"/>
          <w:szCs w:val="20"/>
        </w:rPr>
      </w:pPr>
      <w:r>
        <w:rPr>
          <w:rFonts w:eastAsia="Arial" w:cs="Arial"/>
          <w:sz w:val="20"/>
          <w:szCs w:val="20"/>
        </w:rPr>
        <w:t xml:space="preserve">KCD will fully disclose in the Firm's Brochure </w:t>
      </w:r>
      <w:r>
        <w:rPr>
          <w:rFonts w:eastAsia="Arial" w:cs="Arial"/>
          <w:sz w:val="20"/>
          <w:szCs w:val="20"/>
        </w:rPr>
        <w:t>whether it has "brokerage" discretion for client accounts.</w:t>
      </w:r>
    </w:p>
    <w:p>
      <w:pPr>
        <w:pStyle w:val="normal0"/>
        <w:spacing w:before="200" w:after="200"/>
        <w:rPr>
          <w:rFonts w:eastAsia="Arial" w:cs="Arial"/>
          <w:sz w:val="20"/>
          <w:szCs w:val="20"/>
        </w:rPr>
      </w:pPr>
      <w:r>
        <w:rPr>
          <w:rFonts w:eastAsia="Arial" w:cs="Arial"/>
          <w:sz w:val="20"/>
          <w:szCs w:val="20"/>
        </w:rPr>
        <w:t xml:space="preserve">Periodically, the Chief Compliance Officer will review the Firm's Brochure disclosure about its best execution in order to ensure consistency with actual practice. If the current disclosure is not adequate, the Chief Compliance Officer will make appropriate changes in the disclosure. </w:t>
      </w:r>
    </w:p>
    <w:p>
      <w:bookmarkEnd w:id="502"/>
      <w:bookmarkStart w:id="504" w:name="Sec_Chp_061016102253187_061016102253671"/>
    </w:p>
    <w:p>
      <w:pPr>
        <w:pStyle w:val="Heading2"/>
      </w:pPr>
      <w:bookmarkStart w:id="505" w:name="_Toc256000122"/>
      <w:r>
        <w:t>7.5 Books and Records</w:t>
      </w:r>
      <w:bookmarkEnd w:id="505"/>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its books and records, KCD will maintain records regarding brokerage transactions in client accounts, soft dollar arrangements and directed brokerage arrangements.</w:t>
      </w:r>
    </w:p>
    <w:p>
      <w:pPr>
        <w:pStyle w:val="normal0"/>
        <w:spacing w:before="200" w:after="200"/>
        <w:rPr>
          <w:rFonts w:eastAsia="Arial" w:cs="Arial"/>
          <w:sz w:val="20"/>
          <w:szCs w:val="20"/>
        </w:rPr>
      </w:pPr>
      <w:r>
        <w:rPr>
          <w:rFonts w:eastAsia="Arial" w:cs="Arial"/>
          <w:sz w:val="20"/>
          <w:szCs w:val="20"/>
        </w:rPr>
        <w:t xml:space="preserve">KCD will maintain in the Brokerage section in its books and records: </w:t>
      </w:r>
    </w:p>
    <w:p>
      <w:pPr>
        <w:numPr>
          <w:ilvl w:val="0"/>
          <w:numId w:val="447"/>
        </w:numPr>
        <w:spacing w:before="200"/>
        <w:ind w:left="720" w:hanging="267"/>
        <w:jc w:val="left"/>
        <w:rPr>
          <w:rFonts w:eastAsia="Arial" w:cs="Arial"/>
          <w:sz w:val="20"/>
          <w:szCs w:val="20"/>
        </w:rPr>
      </w:pPr>
      <w:r>
        <w:rPr>
          <w:rFonts w:eastAsia="Arial" w:cs="Arial"/>
          <w:sz w:val="20"/>
          <w:szCs w:val="20"/>
        </w:rPr>
        <w:t xml:space="preserve">the total amount of brokerage commissions generated for each client in connection with KCD's soft dollar arrangements; </w:t>
      </w:r>
    </w:p>
    <w:p>
      <w:pPr>
        <w:numPr>
          <w:ilvl w:val="0"/>
          <w:numId w:val="447"/>
        </w:numPr>
        <w:ind w:left="720" w:hanging="267"/>
        <w:jc w:val="left"/>
        <w:rPr>
          <w:rFonts w:eastAsia="Arial" w:cs="Arial"/>
          <w:sz w:val="20"/>
          <w:szCs w:val="20"/>
        </w:rPr>
      </w:pPr>
      <w:r>
        <w:rPr>
          <w:rFonts w:eastAsia="Arial" w:cs="Arial"/>
          <w:sz w:val="20"/>
          <w:szCs w:val="20"/>
        </w:rPr>
        <w:t xml:space="preserve">an itemized description of what products and services KCD obtained through soft dollar arrangements; </w:t>
      </w:r>
    </w:p>
    <w:p>
      <w:pPr>
        <w:numPr>
          <w:ilvl w:val="0"/>
          <w:numId w:val="447"/>
        </w:numPr>
        <w:ind w:left="720" w:hanging="267"/>
        <w:jc w:val="left"/>
        <w:rPr>
          <w:rFonts w:eastAsia="Arial" w:cs="Arial"/>
          <w:sz w:val="20"/>
          <w:szCs w:val="20"/>
        </w:rPr>
      </w:pPr>
      <w:r>
        <w:rPr>
          <w:rFonts w:eastAsia="Arial" w:cs="Arial"/>
          <w:sz w:val="20"/>
          <w:szCs w:val="20"/>
        </w:rPr>
        <w:t xml:space="preserve">the identity of all broker-dealers providing research products and services; </w:t>
      </w:r>
    </w:p>
    <w:p>
      <w:pPr>
        <w:numPr>
          <w:ilvl w:val="0"/>
          <w:numId w:val="447"/>
        </w:numPr>
        <w:ind w:left="720" w:hanging="267"/>
        <w:jc w:val="left"/>
        <w:rPr>
          <w:rFonts w:eastAsia="Arial" w:cs="Arial"/>
          <w:sz w:val="20"/>
          <w:szCs w:val="20"/>
        </w:rPr>
      </w:pPr>
      <w:r>
        <w:rPr>
          <w:rFonts w:eastAsia="Arial" w:cs="Arial"/>
          <w:sz w:val="20"/>
          <w:szCs w:val="20"/>
        </w:rPr>
        <w:t xml:space="preserve">a written description of all oral and written agreements obligating KCD to generate a specific amount of brokerage for a particular broker-dealer; </w:t>
      </w:r>
    </w:p>
    <w:p>
      <w:pPr>
        <w:numPr>
          <w:ilvl w:val="0"/>
          <w:numId w:val="447"/>
        </w:numPr>
        <w:ind w:left="720" w:hanging="267"/>
        <w:jc w:val="left"/>
        <w:rPr>
          <w:rFonts w:eastAsia="Arial" w:cs="Arial"/>
          <w:sz w:val="20"/>
          <w:szCs w:val="20"/>
        </w:rPr>
      </w:pPr>
      <w:r>
        <w:rPr>
          <w:rFonts w:eastAsia="Arial" w:cs="Arial"/>
          <w:sz w:val="20"/>
          <w:szCs w:val="20"/>
        </w:rPr>
        <w:t>each written agreement with a broker-dealer obligating KCD to place client trades with such broker-dealer in return for research;</w:t>
      </w:r>
    </w:p>
    <w:p>
      <w:pPr>
        <w:numPr>
          <w:ilvl w:val="0"/>
          <w:numId w:val="447"/>
        </w:numPr>
        <w:ind w:left="720" w:hanging="267"/>
        <w:jc w:val="left"/>
        <w:rPr>
          <w:rFonts w:eastAsia="Arial" w:cs="Arial"/>
          <w:sz w:val="20"/>
          <w:szCs w:val="20"/>
        </w:rPr>
      </w:pPr>
      <w:r>
        <w:rPr>
          <w:rFonts w:eastAsia="Arial" w:cs="Arial"/>
          <w:sz w:val="20"/>
          <w:szCs w:val="20"/>
        </w:rPr>
        <w:t xml:space="preserve">the basis for the determination to enter into each soft dollar arrangement, including that the products and services to be provided are research, that the research primarily benefits the clients, and the basis for allocating mixed-used products and services in a particular way; </w:t>
      </w:r>
    </w:p>
    <w:p>
      <w:pPr>
        <w:numPr>
          <w:ilvl w:val="0"/>
          <w:numId w:val="447"/>
        </w:numPr>
        <w:ind w:left="720" w:hanging="267"/>
        <w:jc w:val="left"/>
        <w:rPr>
          <w:rFonts w:eastAsia="Arial" w:cs="Arial"/>
          <w:sz w:val="20"/>
          <w:szCs w:val="20"/>
        </w:rPr>
      </w:pPr>
      <w:r>
        <w:rPr>
          <w:rFonts w:eastAsia="Arial" w:cs="Arial"/>
          <w:sz w:val="20"/>
          <w:szCs w:val="20"/>
        </w:rPr>
        <w:t>a written description of how the soft dollar products and services assisted KCD in its investment management functions;</w:t>
      </w:r>
    </w:p>
    <w:p>
      <w:pPr>
        <w:numPr>
          <w:ilvl w:val="0"/>
          <w:numId w:val="447"/>
        </w:numPr>
        <w:ind w:left="720" w:hanging="267"/>
        <w:jc w:val="left"/>
        <w:rPr>
          <w:rFonts w:eastAsia="Arial" w:cs="Arial"/>
          <w:sz w:val="20"/>
          <w:szCs w:val="20"/>
        </w:rPr>
      </w:pPr>
      <w:r>
        <w:rPr>
          <w:rFonts w:eastAsia="Arial" w:cs="Arial"/>
          <w:sz w:val="20"/>
          <w:szCs w:val="20"/>
        </w:rPr>
        <w:t>documentation generated by its broker-dealer selection process, including the information received and evaluated and conclusions reached and decisions made;</w:t>
      </w:r>
    </w:p>
    <w:p>
      <w:pPr>
        <w:numPr>
          <w:ilvl w:val="0"/>
          <w:numId w:val="447"/>
        </w:numPr>
        <w:ind w:left="720" w:hanging="267"/>
        <w:jc w:val="left"/>
        <w:rPr>
          <w:rFonts w:eastAsia="Arial" w:cs="Arial"/>
          <w:sz w:val="20"/>
          <w:szCs w:val="20"/>
        </w:rPr>
      </w:pPr>
      <w:r>
        <w:rPr>
          <w:rFonts w:eastAsia="Arial" w:cs="Arial"/>
          <w:sz w:val="20"/>
          <w:szCs w:val="20"/>
        </w:rPr>
        <w:t xml:space="preserve">documents related to each client's directed brokerage arrangement; and </w:t>
      </w:r>
    </w:p>
    <w:p>
      <w:pPr>
        <w:numPr>
          <w:ilvl w:val="0"/>
          <w:numId w:val="447"/>
        </w:numPr>
        <w:ind w:left="720" w:hanging="378"/>
        <w:jc w:val="left"/>
        <w:rPr>
          <w:rFonts w:eastAsia="Arial" w:cs="Arial"/>
          <w:sz w:val="20"/>
          <w:szCs w:val="20"/>
        </w:rPr>
      </w:pPr>
      <w:r>
        <w:rPr>
          <w:rFonts w:eastAsia="Arial" w:cs="Arial"/>
          <w:sz w:val="20"/>
          <w:szCs w:val="20"/>
        </w:rPr>
        <w:t xml:space="preserve">records that document the process used to select broker-dealers and to oversee broker-dealer performance on an aggregate trading basis, including: </w:t>
      </w:r>
    </w:p>
    <w:p>
      <w:pPr>
        <w:numPr>
          <w:ilvl w:val="1"/>
          <w:numId w:val="447"/>
        </w:numPr>
        <w:ind w:left="1440" w:hanging="220"/>
        <w:jc w:val="left"/>
        <w:rPr>
          <w:rFonts w:eastAsia="Arial" w:cs="Arial"/>
          <w:sz w:val="20"/>
          <w:szCs w:val="20"/>
        </w:rPr>
      </w:pPr>
      <w:r>
        <w:rPr>
          <w:rFonts w:eastAsia="Arial" w:cs="Arial"/>
          <w:sz w:val="20"/>
          <w:szCs w:val="20"/>
        </w:rPr>
        <w:t xml:space="preserve">records that demonstrate how it considered relevant factors during the broker-dealer selection process, </w:t>
      </w:r>
    </w:p>
    <w:p>
      <w:pPr>
        <w:numPr>
          <w:ilvl w:val="1"/>
          <w:numId w:val="447"/>
        </w:numPr>
        <w:ind w:left="1440" w:hanging="220"/>
        <w:jc w:val="left"/>
        <w:rPr>
          <w:rFonts w:eastAsia="Arial" w:cs="Arial"/>
          <w:sz w:val="20"/>
          <w:szCs w:val="20"/>
        </w:rPr>
      </w:pPr>
      <w:r>
        <w:rPr>
          <w:rFonts w:eastAsia="Arial" w:cs="Arial"/>
          <w:sz w:val="20"/>
          <w:szCs w:val="20"/>
        </w:rPr>
        <w:t xml:space="preserve">the broker-dealer characteristics and other factors believed necessary to deliver quality executions to clients, </w:t>
      </w:r>
    </w:p>
    <w:p>
      <w:pPr>
        <w:numPr>
          <w:ilvl w:val="1"/>
          <w:numId w:val="447"/>
        </w:numPr>
        <w:ind w:left="1440" w:hanging="220"/>
        <w:jc w:val="left"/>
        <w:rPr>
          <w:rFonts w:eastAsia="Arial" w:cs="Arial"/>
          <w:sz w:val="20"/>
          <w:szCs w:val="20"/>
        </w:rPr>
      </w:pPr>
      <w:r>
        <w:rPr>
          <w:rFonts w:eastAsia="Arial" w:cs="Arial"/>
          <w:sz w:val="20"/>
          <w:szCs w:val="20"/>
        </w:rPr>
        <w:t xml:space="preserve">the post-trade analysis of execution quality and any steps taken to improve the process, and </w:t>
      </w:r>
    </w:p>
    <w:p>
      <w:pPr>
        <w:numPr>
          <w:ilvl w:val="1"/>
          <w:numId w:val="447"/>
        </w:numPr>
        <w:spacing w:after="200"/>
        <w:ind w:left="1440" w:hanging="220"/>
        <w:jc w:val="left"/>
        <w:rPr>
          <w:rFonts w:eastAsia="Arial" w:cs="Arial"/>
          <w:sz w:val="20"/>
          <w:szCs w:val="20"/>
        </w:rPr>
      </w:pPr>
      <w:r>
        <w:rPr>
          <w:rFonts w:eastAsia="Arial" w:cs="Arial"/>
          <w:sz w:val="20"/>
          <w:szCs w:val="20"/>
        </w:rPr>
        <w:t>records that support negotiated broker-dealer commissions or spreads.</w:t>
      </w:r>
    </w:p>
    <w:p>
      <w:pPr>
        <w:rPr>
          <w:rFonts w:ascii="Times New Roman" w:eastAsia="Times New Roman" w:hAnsi="Times New Roman" w:cs="Times New Roman"/>
          <w:sz w:val="24"/>
        </w:rPr>
      </w:pPr>
      <w:bookmarkEnd w:id="504"/>
    </w:p>
    <w:p>
      <w:r>
        <w:rPr>
          <w:rFonts w:ascii="Times New Roman" w:eastAsia="Times New Roman" w:hAnsi="Times New Roman" w:cs="Times New Roman"/>
          <w:sz w:val="24"/>
        </w:rPr>
        <w:br w:type="page"/>
      </w:r>
    </w:p>
    <w:p>
      <w:pPr>
        <w:pStyle w:val="Heading1"/>
      </w:pPr>
      <w:bookmarkStart w:id="506" w:name="_Toc256000123"/>
      <w:r>
        <w:t>8 CUSTODY</w:t>
      </w:r>
      <w:bookmarkEnd w:id="506"/>
    </w:p>
    <w:p>
      <w:bookmarkStart w:id="507" w:name="Sec_Chp_07212721336499101_06101610225393"/>
    </w:p>
    <w:p>
      <w:pPr>
        <w:pStyle w:val="Heading2"/>
      </w:pPr>
      <w:bookmarkStart w:id="508" w:name="_Toc256000124"/>
      <w:r>
        <w:t>Introduction</w:t>
      </w:r>
      <w:bookmarkEnd w:id="508"/>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 xml:space="preserve">An adviser that has custody of client assets must implement a set of controls designed to protect those assets from being lost or misappropriated. The SEC deems an investment adviser to have "custody" when it (1) directly or indirectly holds client funds or securities, (2) has any authority to possess them, or (3) has access to client funds or assets. </w:t>
      </w:r>
    </w:p>
    <w:p>
      <w:pPr>
        <w:pStyle w:val="normal0"/>
        <w:spacing w:before="200" w:after="200"/>
        <w:rPr>
          <w:rFonts w:eastAsia="Arial" w:cs="Arial"/>
          <w:sz w:val="20"/>
          <w:szCs w:val="20"/>
        </w:rPr>
      </w:pPr>
      <w:r>
        <w:rPr>
          <w:rFonts w:eastAsia="Arial" w:cs="Arial"/>
          <w:sz w:val="20"/>
          <w:szCs w:val="20"/>
        </w:rPr>
        <w:t>Because of this broad definition, many investment advisers are deemed to have custody of client assets. Advisers generally can meet the requirements of Rule 206(4)-2 under the Investment Advisers Act of 1940, the SEC's custody rule, by maintaining client assets with "qualified custodians" (</w:t>
      </w:r>
      <w:r>
        <w:rPr>
          <w:rFonts w:eastAsia="Arial" w:cs="Arial"/>
          <w:i/>
          <w:iCs/>
          <w:sz w:val="20"/>
          <w:szCs w:val="20"/>
        </w:rPr>
        <w:t>e.g.,</w:t>
      </w:r>
      <w:r>
        <w:rPr>
          <w:rFonts w:eastAsia="Arial" w:cs="Arial"/>
          <w:sz w:val="20"/>
          <w:szCs w:val="20"/>
        </w:rPr>
        <w:t xml:space="preserve"> banks and broker-dealers).</w:t>
      </w:r>
    </w:p>
    <w:p>
      <w:pPr>
        <w:pStyle w:val="normal0"/>
        <w:spacing w:before="200" w:after="200"/>
        <w:rPr>
          <w:rFonts w:eastAsia="Arial" w:cs="Arial"/>
          <w:sz w:val="20"/>
          <w:szCs w:val="20"/>
        </w:rPr>
      </w:pPr>
      <w:r>
        <w:rPr>
          <w:rFonts w:eastAsia="Arial" w:cs="Arial"/>
          <w:sz w:val="20"/>
          <w:szCs w:val="20"/>
        </w:rPr>
        <w:t>The SEC recently issued a no-action letter that permits registered investment advisers with clients who own crypto through the advisers to meet the custody requirements of Rule 206(4)-2 if such assets are placed with and maintained by a bank organized as a state trust company (provided certain conditions are met). See Simpson Thacher &amp; Bartlett (pub. avail. September 30, 2025) (Simpson Thacher Letter).</w:t>
      </w:r>
    </w:p>
    <w:p>
      <w:bookmarkEnd w:id="507"/>
      <w:bookmarkStart w:id="509" w:name="Sec_Chp_07212721336499101_06101610225395"/>
    </w:p>
    <w:p>
      <w:pPr>
        <w:pStyle w:val="Heading2"/>
      </w:pPr>
      <w:bookmarkStart w:id="510" w:name="_Toc256000125"/>
      <w:r>
        <w:t>8.1 Compliance Reference Chart</w:t>
      </w:r>
      <w:bookmarkEnd w:id="510"/>
    </w:p>
    <w:p/>
    <w:p>
      <w:pPr>
        <w:rPr>
          <w:rFonts w:eastAsia="Arial" w:cs="Arial"/>
          <w:sz w:val="16"/>
          <w:szCs w:val="16"/>
        </w:rPr>
      </w:pPr>
      <w:r>
        <w:rPr>
          <w:rFonts w:eastAsia="Arial" w:cs="Arial"/>
          <w:sz w:val="16"/>
          <w:szCs w:val="16"/>
        </w:rPr>
        <w:t>[Investment Advisers Act of 1940 Rule 206(4)-2]</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4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4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Investments</w:t>
            </w:r>
          </w:p>
          <w:p>
            <w:pPr>
              <w:numPr>
                <w:ilvl w:val="0"/>
                <w:numId w:val="44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Accounting</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5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business day when client securities transactions take place</w:t>
            </w:r>
          </w:p>
          <w:p>
            <w:pPr>
              <w:numPr>
                <w:ilvl w:val="0"/>
                <w:numId w:val="45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At least quarterly to verify clients' assets are held by the bank or broker-dealer custodian and client account statements are accurate</w:t>
            </w:r>
          </w:p>
          <w:p>
            <w:pPr>
              <w:numPr>
                <w:ilvl w:val="0"/>
                <w:numId w:val="45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Periodically when adviser must arrange for a surprise examination, internal control report or audited financial statements of a client</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 xml:space="preserve">Statute/Rule </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5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206(4)-2 under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5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Quarterly client account statements sent by banks or broker-dealer custodian</w:t>
            </w:r>
          </w:p>
          <w:p>
            <w:pPr>
              <w:numPr>
                <w:ilvl w:val="0"/>
                <w:numId w:val="45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Work papers demonstrating reconciliation of accounts</w:t>
            </w:r>
          </w:p>
          <w:p>
            <w:pPr>
              <w:numPr>
                <w:ilvl w:val="0"/>
                <w:numId w:val="45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Surprise exam related records</w:t>
            </w:r>
          </w:p>
          <w:p>
            <w:pPr>
              <w:numPr>
                <w:ilvl w:val="0"/>
                <w:numId w:val="45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Internal control reports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45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Custody Procedures annually</w:t>
            </w:r>
          </w:p>
        </w:tc>
      </w:tr>
    </w:tbl>
    <w:p>
      <w:bookmarkEnd w:id="509"/>
      <w:bookmarkStart w:id="511" w:name="Sec_Chp_07212721336499101_06101610225400"/>
    </w:p>
    <w:p>
      <w:pPr>
        <w:pStyle w:val="Heading2"/>
      </w:pPr>
      <w:bookmarkStart w:id="512" w:name="_Toc256000126"/>
      <w:r>
        <w:t>8.2 Policy</w:t>
      </w:r>
      <w:bookmarkEnd w:id="512"/>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determine whether or not it has custody of each client's assets and, if it has custody of a client's assets, KCD will arrange for the safekeeping of the assets of each such client with a broker-dealer or bank or make other arrangements permissible under SEC rules.</w:t>
      </w:r>
    </w:p>
    <w:p>
      <w:bookmarkEnd w:id="511"/>
      <w:bookmarkStart w:id="513" w:name="Sec_Chp_07212721336499101_06101610225401"/>
    </w:p>
    <w:p>
      <w:pPr>
        <w:pStyle w:val="Heading2"/>
      </w:pPr>
      <w:bookmarkStart w:id="514" w:name="_Toc256000127"/>
      <w:r>
        <w:t>8.3 Procedures</w:t>
      </w:r>
      <w:bookmarkEnd w:id="514"/>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take steps to ensure that all assets of clients are maintained in a manner designed to safeguard them from theft, misappropriation or other loss. </w:t>
      </w:r>
    </w:p>
    <w:p>
      <w:bookmarkEnd w:id="513"/>
      <w:bookmarkStart w:id="515" w:name="Sec_Chp_07212721336499101_06101610225403"/>
    </w:p>
    <w:p>
      <w:pPr>
        <w:pStyle w:val="Heading3"/>
      </w:pPr>
      <w:bookmarkStart w:id="516" w:name="_Toc256000128"/>
      <w:r>
        <w:t>8.3.1 Custody Determination</w:t>
      </w:r>
      <w:bookmarkEnd w:id="516"/>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Rule 206(4)-2, the custody rule under the Advisers Act, only applies to investment advisers that have "custody" of client assets. Consequently, the initial step taken by an adviser with respect to its custody procedures should be to determine whether KCD has "custody" for purposes of the Advisers Act.</w:t>
      </w:r>
    </w:p>
    <w:p>
      <w:bookmarkEnd w:id="515"/>
      <w:bookmarkStart w:id="517" w:name="Sec_Chp_07212721336499101_06101610225404"/>
    </w:p>
    <w:p>
      <w:pPr>
        <w:pStyle w:val="Heading4"/>
      </w:pPr>
      <w:r>
        <w:t>8.3.1.1 Custody Status</w:t>
      </w:r>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For each client, the Chief Compliance Officer will determine whether it has custody of any assets of such client under Rule 206(4)-2 under the Advisers Act. Such determination will be made for:</w:t>
      </w:r>
    </w:p>
    <w:p>
      <w:pPr>
        <w:numPr>
          <w:ilvl w:val="0"/>
          <w:numId w:val="454"/>
        </w:numPr>
        <w:spacing w:before="200"/>
        <w:ind w:left="720" w:hanging="192"/>
        <w:jc w:val="left"/>
        <w:rPr>
          <w:rFonts w:eastAsia="Arial" w:cs="Arial"/>
          <w:sz w:val="20"/>
          <w:szCs w:val="20"/>
        </w:rPr>
      </w:pPr>
      <w:r>
        <w:rPr>
          <w:rFonts w:eastAsia="Arial" w:cs="Arial"/>
          <w:sz w:val="20"/>
          <w:szCs w:val="20"/>
        </w:rPr>
        <w:t>New Clients: Initially, immediately after the client first becomes a client of KCD; and</w:t>
      </w:r>
    </w:p>
    <w:p>
      <w:pPr>
        <w:numPr>
          <w:ilvl w:val="0"/>
          <w:numId w:val="454"/>
        </w:numPr>
        <w:spacing w:after="200"/>
        <w:ind w:left="720" w:hanging="192"/>
        <w:jc w:val="left"/>
        <w:rPr>
          <w:rFonts w:eastAsia="Arial" w:cs="Arial"/>
          <w:sz w:val="20"/>
          <w:szCs w:val="20"/>
        </w:rPr>
      </w:pPr>
      <w:r>
        <w:rPr>
          <w:rFonts w:eastAsia="Arial" w:cs="Arial"/>
          <w:sz w:val="20"/>
          <w:szCs w:val="20"/>
        </w:rPr>
        <w:t>Existing Clients: At least quarterly, when the Chief Compliance Officer will review the custody status of each client's account.</w:t>
      </w:r>
    </w:p>
    <w:p>
      <w:bookmarkEnd w:id="517"/>
      <w:bookmarkStart w:id="518" w:name="Sec_Chp_07212721336499101_06101610225406"/>
    </w:p>
    <w:p>
      <w:pPr>
        <w:pStyle w:val="Heading4"/>
      </w:pPr>
      <w:r>
        <w:t>8.3.1.2 Client Assets</w:t>
      </w:r>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For purposes of these Custody Procedures, "client assets" shall mean funds and securities owned by the client. These procedures (unless otherwise noted) and Rule 206(4)-2 do not apply to client assets that are not funds or securities.</w:t>
      </w:r>
    </w:p>
    <w:p>
      <w:bookmarkEnd w:id="518"/>
      <w:bookmarkStart w:id="519" w:name="Sec_Chp_07212721336499101_06101610225407"/>
    </w:p>
    <w:p>
      <w:pPr>
        <w:pStyle w:val="Heading4"/>
      </w:pPr>
      <w:r>
        <w:t>8.3.1.3 Qualified Custodian</w:t>
      </w:r>
    </w:p>
    <w:p/>
    <w:p>
      <w:pPr>
        <w:rPr>
          <w:rFonts w:eastAsia="Arial" w:cs="Arial"/>
          <w:sz w:val="16"/>
          <w:szCs w:val="16"/>
        </w:rPr>
      </w:pPr>
      <w:r>
        <w:rPr>
          <w:rFonts w:eastAsia="Arial" w:cs="Arial"/>
          <w:sz w:val="16"/>
          <w:szCs w:val="16"/>
        </w:rPr>
        <w:t>[Investment Advisers Act of 1940 Section 202(a)(2); Federal Deposit Insurance Act Section 3(b)(1)]</w:t>
      </w:r>
    </w:p>
    <w:p/>
    <w:p>
      <w:pPr>
        <w:pStyle w:val="normal0"/>
        <w:spacing w:after="200"/>
        <w:rPr>
          <w:rFonts w:eastAsia="Arial" w:cs="Arial"/>
          <w:sz w:val="20"/>
          <w:szCs w:val="20"/>
        </w:rPr>
      </w:pPr>
      <w:r>
        <w:rPr>
          <w:rFonts w:eastAsia="Arial" w:cs="Arial"/>
          <w:sz w:val="20"/>
          <w:szCs w:val="20"/>
        </w:rPr>
        <w:t>KCD shall deem an entity to be a "Qualified Custodian" only if it falls within one of the following categories:</w:t>
      </w:r>
    </w:p>
    <w:p>
      <w:pPr>
        <w:numPr>
          <w:ilvl w:val="0"/>
          <w:numId w:val="455"/>
        </w:numPr>
        <w:spacing w:before="200"/>
        <w:ind w:left="720" w:hanging="192"/>
        <w:jc w:val="left"/>
        <w:rPr>
          <w:rFonts w:eastAsia="Arial" w:cs="Arial"/>
          <w:sz w:val="20"/>
          <w:szCs w:val="20"/>
        </w:rPr>
      </w:pPr>
      <w:r>
        <w:rPr>
          <w:rFonts w:eastAsia="Arial" w:cs="Arial"/>
          <w:sz w:val="20"/>
          <w:szCs w:val="20"/>
        </w:rPr>
        <w:t xml:space="preserve">Banks (as defined in Section 202(a)(2) of the Investment Advisers Act of 1940); </w:t>
      </w:r>
    </w:p>
    <w:p>
      <w:pPr>
        <w:numPr>
          <w:ilvl w:val="0"/>
          <w:numId w:val="455"/>
        </w:numPr>
        <w:ind w:left="720" w:hanging="192"/>
        <w:jc w:val="left"/>
        <w:rPr>
          <w:rFonts w:eastAsia="Arial" w:cs="Arial"/>
          <w:sz w:val="20"/>
          <w:szCs w:val="20"/>
        </w:rPr>
      </w:pPr>
      <w:r>
        <w:rPr>
          <w:rFonts w:eastAsia="Arial" w:cs="Arial"/>
          <w:sz w:val="20"/>
          <w:szCs w:val="20"/>
        </w:rPr>
        <w:t>Broker-Dealers that are registered with the SEC;</w:t>
      </w:r>
    </w:p>
    <w:p>
      <w:pPr>
        <w:numPr>
          <w:ilvl w:val="0"/>
          <w:numId w:val="455"/>
        </w:numPr>
        <w:ind w:left="720" w:hanging="192"/>
        <w:jc w:val="left"/>
        <w:rPr>
          <w:rFonts w:eastAsia="Arial" w:cs="Arial"/>
          <w:sz w:val="20"/>
          <w:szCs w:val="20"/>
        </w:rPr>
      </w:pPr>
      <w:r>
        <w:rPr>
          <w:rFonts w:eastAsia="Arial" w:cs="Arial"/>
          <w:sz w:val="20"/>
          <w:szCs w:val="20"/>
        </w:rPr>
        <w:t>Savings Associations (as defined in Section 3(b)(1) of the Federal Deposit Insurance Act);</w:t>
      </w:r>
    </w:p>
    <w:p>
      <w:pPr>
        <w:numPr>
          <w:ilvl w:val="0"/>
          <w:numId w:val="455"/>
        </w:numPr>
        <w:ind w:left="720" w:hanging="192"/>
        <w:jc w:val="left"/>
        <w:rPr>
          <w:rFonts w:eastAsia="Arial" w:cs="Arial"/>
          <w:sz w:val="20"/>
          <w:szCs w:val="20"/>
        </w:rPr>
      </w:pPr>
      <w:r>
        <w:rPr>
          <w:rFonts w:eastAsia="Arial" w:cs="Arial"/>
          <w:sz w:val="20"/>
          <w:szCs w:val="20"/>
        </w:rPr>
        <w:t>Futures Commissions Merchants; and</w:t>
      </w:r>
    </w:p>
    <w:p>
      <w:pPr>
        <w:numPr>
          <w:ilvl w:val="0"/>
          <w:numId w:val="455"/>
        </w:numPr>
        <w:spacing w:after="200"/>
        <w:ind w:left="720" w:hanging="192"/>
        <w:jc w:val="left"/>
        <w:rPr>
          <w:rFonts w:eastAsia="Arial" w:cs="Arial"/>
          <w:sz w:val="20"/>
          <w:szCs w:val="20"/>
        </w:rPr>
      </w:pPr>
      <w:r>
        <w:rPr>
          <w:rFonts w:eastAsia="Arial" w:cs="Arial"/>
          <w:sz w:val="20"/>
          <w:szCs w:val="20"/>
        </w:rPr>
        <w:t>Foreign Financial Institutions (provided that KCD has a reasonable basis for believing that the foreign financial institution will provide a level of safety for client assets similar to that which would be provided by a U.S. "qualified custodian").</w:t>
      </w:r>
    </w:p>
    <w:p>
      <w:bookmarkEnd w:id="519"/>
      <w:bookmarkStart w:id="520" w:name="Sec_Chp_07212721336499101_06101610225409"/>
    </w:p>
    <w:p>
      <w:pPr>
        <w:pStyle w:val="Heading4"/>
      </w:pPr>
      <w:r>
        <w:t>8.3.1.4 Arrangements or Circumstances Constituting Custody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deems the following arrangements or circumstances involving KCD or its Related Persons (as defined herein) acting in connection with advisory services to clients to constitute "custody" of client assets:</w:t>
      </w:r>
    </w:p>
    <w:p>
      <w:pPr>
        <w:numPr>
          <w:ilvl w:val="0"/>
          <w:numId w:val="456"/>
        </w:numPr>
        <w:spacing w:before="200"/>
        <w:ind w:left="720" w:hanging="192"/>
        <w:jc w:val="left"/>
        <w:rPr>
          <w:rFonts w:eastAsia="Arial" w:cs="Arial"/>
          <w:sz w:val="20"/>
          <w:szCs w:val="20"/>
        </w:rPr>
      </w:pPr>
      <w:r>
        <w:rPr>
          <w:rFonts w:eastAsia="Arial" w:cs="Arial"/>
          <w:sz w:val="20"/>
          <w:szCs w:val="20"/>
        </w:rPr>
        <w:t>Holding client assets;</w:t>
      </w:r>
    </w:p>
    <w:p>
      <w:pPr>
        <w:numPr>
          <w:ilvl w:val="0"/>
          <w:numId w:val="456"/>
        </w:numPr>
        <w:ind w:left="720" w:hanging="192"/>
        <w:jc w:val="left"/>
        <w:rPr>
          <w:rFonts w:eastAsia="Arial" w:cs="Arial"/>
          <w:sz w:val="20"/>
          <w:szCs w:val="20"/>
        </w:rPr>
      </w:pPr>
      <w:r>
        <w:rPr>
          <w:rFonts w:eastAsia="Arial" w:cs="Arial"/>
          <w:sz w:val="20"/>
          <w:szCs w:val="20"/>
        </w:rPr>
        <w:t>Holding certificated securities (not privately issued certificated securities under certain conditions) owned by the client in a safe deposit box controlled by the adviser at a bank;</w:t>
      </w:r>
    </w:p>
    <w:p>
      <w:pPr>
        <w:numPr>
          <w:ilvl w:val="0"/>
          <w:numId w:val="456"/>
        </w:numPr>
        <w:ind w:left="720" w:hanging="192"/>
        <w:jc w:val="left"/>
        <w:rPr>
          <w:rFonts w:eastAsia="Arial" w:cs="Arial"/>
          <w:sz w:val="20"/>
          <w:szCs w:val="20"/>
        </w:rPr>
      </w:pPr>
      <w:r>
        <w:rPr>
          <w:rFonts w:eastAsia="Arial" w:cs="Arial"/>
          <w:sz w:val="20"/>
          <w:szCs w:val="20"/>
        </w:rPr>
        <w:t>Authority (through a general power of attorney or otherwise) to obtain possession of, or withdraw, client assets;</w:t>
      </w:r>
    </w:p>
    <w:p>
      <w:pPr>
        <w:numPr>
          <w:ilvl w:val="0"/>
          <w:numId w:val="456"/>
        </w:numPr>
        <w:ind w:left="720" w:hanging="192"/>
        <w:jc w:val="left"/>
        <w:rPr>
          <w:rFonts w:eastAsia="Arial" w:cs="Arial"/>
          <w:sz w:val="20"/>
          <w:szCs w:val="20"/>
        </w:rPr>
      </w:pPr>
      <w:r>
        <w:rPr>
          <w:rFonts w:eastAsia="Arial" w:cs="Arial"/>
          <w:sz w:val="20"/>
          <w:szCs w:val="20"/>
        </w:rPr>
        <w:t>A custodial agreement that grants KCD the right to receive money, securities, and property of every kind and dispose of same;</w:t>
      </w:r>
    </w:p>
    <w:p>
      <w:pPr>
        <w:numPr>
          <w:ilvl w:val="0"/>
          <w:numId w:val="456"/>
        </w:numPr>
        <w:ind w:left="720" w:hanging="192"/>
        <w:jc w:val="left"/>
        <w:rPr>
          <w:rFonts w:eastAsia="Arial" w:cs="Arial"/>
          <w:sz w:val="20"/>
          <w:szCs w:val="20"/>
        </w:rPr>
      </w:pPr>
      <w:r>
        <w:rPr>
          <w:rFonts w:eastAsia="Arial" w:cs="Arial"/>
          <w:sz w:val="20"/>
          <w:szCs w:val="20"/>
        </w:rPr>
        <w:t>A custodial agreement under which a custodian may rely on KCD's instructions without any direction from the client (</w:t>
      </w:r>
      <w:r>
        <w:rPr>
          <w:rStyle w:val="Emphasis"/>
          <w:rFonts w:eastAsia="Arial" w:cs="Arial"/>
          <w:i/>
          <w:iCs/>
          <w:sz w:val="20"/>
          <w:szCs w:val="20"/>
        </w:rPr>
        <w:t>e.g.,</w:t>
      </w:r>
      <w:r>
        <w:rPr>
          <w:rFonts w:eastAsia="Arial" w:cs="Arial"/>
          <w:sz w:val="20"/>
          <w:szCs w:val="20"/>
        </w:rPr>
        <w:t xml:space="preserve"> a clause that states "Client hereby ratifies and confirms any and all transactions with the custodian made by the Adviser for the Client's account."); </w:t>
      </w:r>
    </w:p>
    <w:p>
      <w:pPr>
        <w:numPr>
          <w:ilvl w:val="0"/>
          <w:numId w:val="456"/>
        </w:numPr>
        <w:ind w:left="720" w:hanging="192"/>
        <w:jc w:val="left"/>
        <w:rPr>
          <w:rFonts w:eastAsia="Arial" w:cs="Arial"/>
          <w:sz w:val="20"/>
          <w:szCs w:val="20"/>
        </w:rPr>
      </w:pPr>
      <w:r>
        <w:rPr>
          <w:rFonts w:eastAsia="Arial" w:cs="Arial"/>
          <w:sz w:val="20"/>
          <w:szCs w:val="20"/>
        </w:rPr>
        <w:t>A custodial agreement that provides authorization for KCD to instruct the Qualified Custodian to disburse cash from the client's cash account for any purpose;</w:t>
      </w:r>
    </w:p>
    <w:p>
      <w:pPr>
        <w:numPr>
          <w:ilvl w:val="0"/>
          <w:numId w:val="456"/>
        </w:numPr>
        <w:ind w:left="720" w:hanging="192"/>
        <w:jc w:val="left"/>
        <w:rPr>
          <w:rFonts w:eastAsia="Arial" w:cs="Arial"/>
          <w:sz w:val="20"/>
          <w:szCs w:val="20"/>
        </w:rPr>
      </w:pPr>
      <w:r>
        <w:rPr>
          <w:rFonts w:eastAsia="Arial" w:cs="Arial"/>
          <w:sz w:val="20"/>
          <w:szCs w:val="20"/>
        </w:rPr>
        <w:t>Instructing the Qualified Custodian to debit the client's account for advisory fees after KCD makes the fee calculation;</w:t>
      </w:r>
    </w:p>
    <w:p>
      <w:pPr>
        <w:numPr>
          <w:ilvl w:val="0"/>
          <w:numId w:val="456"/>
        </w:numPr>
        <w:ind w:left="720" w:hanging="192"/>
        <w:jc w:val="left"/>
        <w:rPr>
          <w:rFonts w:eastAsia="Arial" w:cs="Arial"/>
          <w:sz w:val="20"/>
          <w:szCs w:val="20"/>
        </w:rPr>
      </w:pPr>
      <w:r>
        <w:rPr>
          <w:rFonts w:eastAsia="Arial" w:cs="Arial"/>
          <w:sz w:val="20"/>
          <w:szCs w:val="20"/>
        </w:rPr>
        <w:t>Providing bill-paying services to the client and in connection therewith being authorized to withdraw funds and securities from a client's account;</w:t>
      </w:r>
    </w:p>
    <w:p>
      <w:pPr>
        <w:numPr>
          <w:ilvl w:val="0"/>
          <w:numId w:val="456"/>
        </w:numPr>
        <w:ind w:left="720" w:hanging="192"/>
        <w:jc w:val="left"/>
        <w:rPr>
          <w:rFonts w:eastAsia="Arial" w:cs="Arial"/>
          <w:sz w:val="20"/>
          <w:szCs w:val="20"/>
        </w:rPr>
      </w:pPr>
      <w:r>
        <w:rPr>
          <w:rFonts w:eastAsia="Arial" w:cs="Arial"/>
          <w:sz w:val="20"/>
          <w:szCs w:val="20"/>
        </w:rPr>
        <w:t>Signatory and check-writing authority for client accounts allowing KCD to deduct KCD's advisory or other fee from a client account;</w:t>
      </w:r>
    </w:p>
    <w:p>
      <w:pPr>
        <w:numPr>
          <w:ilvl w:val="0"/>
          <w:numId w:val="456"/>
        </w:numPr>
        <w:ind w:left="720" w:hanging="192"/>
        <w:jc w:val="left"/>
        <w:rPr>
          <w:rFonts w:eastAsia="Arial" w:cs="Arial"/>
          <w:sz w:val="20"/>
          <w:szCs w:val="20"/>
        </w:rPr>
      </w:pPr>
      <w:r>
        <w:rPr>
          <w:rFonts w:eastAsia="Arial" w:cs="Arial"/>
          <w:sz w:val="20"/>
          <w:szCs w:val="20"/>
        </w:rPr>
        <w:t>Acting in any capacity that gives KCD the authority to withdraw funds or securities from the client's account;</w:t>
      </w:r>
    </w:p>
    <w:p>
      <w:pPr>
        <w:numPr>
          <w:ilvl w:val="0"/>
          <w:numId w:val="456"/>
        </w:numPr>
        <w:ind w:left="720" w:hanging="192"/>
        <w:jc w:val="left"/>
        <w:rPr>
          <w:rFonts w:eastAsia="Arial" w:cs="Arial"/>
          <w:sz w:val="20"/>
          <w:szCs w:val="20"/>
        </w:rPr>
      </w:pPr>
      <w:r>
        <w:rPr>
          <w:rFonts w:eastAsia="Arial" w:cs="Arial"/>
          <w:sz w:val="20"/>
          <w:szCs w:val="20"/>
        </w:rPr>
        <w:t>Acting in the capacity as a general partner (or managing member) of a limited partnership (or limited liability company) and having the authority to withdraw funds or securities from, or otherwise access, the limited partnership's (or limited liability company's) account;</w:t>
      </w:r>
    </w:p>
    <w:p>
      <w:pPr>
        <w:numPr>
          <w:ilvl w:val="0"/>
          <w:numId w:val="456"/>
        </w:numPr>
        <w:ind w:left="720" w:hanging="192"/>
        <w:jc w:val="left"/>
        <w:rPr>
          <w:rFonts w:eastAsia="Arial" w:cs="Arial"/>
          <w:sz w:val="20"/>
          <w:szCs w:val="20"/>
        </w:rPr>
      </w:pPr>
      <w:r>
        <w:rPr>
          <w:rFonts w:eastAsia="Arial" w:cs="Arial"/>
          <w:sz w:val="20"/>
          <w:szCs w:val="20"/>
        </w:rPr>
        <w:t>Acting as trustee (including an employee of KCD) of a trust for the benefit of a client, except where the trustee appointment is as a result of a family or personal relationship with the grantor or beneficiary, and;</w:t>
      </w:r>
    </w:p>
    <w:p>
      <w:pPr>
        <w:numPr>
          <w:ilvl w:val="0"/>
          <w:numId w:val="456"/>
        </w:numPr>
        <w:spacing w:after="200"/>
        <w:ind w:left="720" w:hanging="192"/>
        <w:jc w:val="left"/>
        <w:rPr>
          <w:rFonts w:eastAsia="Arial" w:cs="Arial"/>
          <w:sz w:val="20"/>
          <w:szCs w:val="20"/>
        </w:rPr>
      </w:pPr>
      <w:r>
        <w:rPr>
          <w:rFonts w:eastAsia="Arial" w:cs="Arial"/>
          <w:sz w:val="20"/>
          <w:szCs w:val="20"/>
        </w:rPr>
        <w:t>Acting as an executor (including an employee of KCD) to an estate for the benefit of a client, except where the executor appointment is as a result of a family or personal relationship with the decedent or beneficiary.</w:t>
      </w:r>
      <w:r>
        <w:rPr>
          <w:rFonts w:eastAsia="Arial" w:cs="Arial"/>
          <w:sz w:val="20"/>
          <w:szCs w:val="20"/>
        </w:rPr>
        <w:br/>
      </w:r>
    </w:p>
    <w:p>
      <w:bookmarkEnd w:id="520"/>
    </w:p>
    <w:p>
      <w:pPr>
        <w:pStyle w:val="Heading4"/>
      </w:pPr>
      <w:r>
        <w:t>8.3.1.5 Arrangements or Circumstances Not Constituting Custody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deems the following arrangements or circumstances involving KCD or its Related Persons to not constitute custody:</w:t>
      </w:r>
    </w:p>
    <w:p>
      <w:pPr>
        <w:numPr>
          <w:ilvl w:val="0"/>
          <w:numId w:val="457"/>
        </w:numPr>
        <w:spacing w:before="200"/>
        <w:ind w:left="720" w:hanging="192"/>
        <w:jc w:val="left"/>
        <w:rPr>
          <w:rFonts w:eastAsia="Arial" w:cs="Arial"/>
          <w:sz w:val="20"/>
          <w:szCs w:val="20"/>
        </w:rPr>
      </w:pPr>
      <w:r>
        <w:rPr>
          <w:rFonts w:eastAsia="Arial" w:cs="Arial"/>
          <w:sz w:val="20"/>
          <w:szCs w:val="20"/>
        </w:rPr>
        <w:t>Authority to place a trade for a client's account and to instruct the broker, bank or other custodian to deduct funds from the client's account in connection with such trade;</w:t>
      </w:r>
    </w:p>
    <w:p>
      <w:pPr>
        <w:numPr>
          <w:ilvl w:val="0"/>
          <w:numId w:val="457"/>
        </w:numPr>
        <w:ind w:left="720" w:hanging="192"/>
        <w:jc w:val="left"/>
        <w:rPr>
          <w:rFonts w:eastAsia="Arial" w:cs="Arial"/>
          <w:sz w:val="20"/>
          <w:szCs w:val="20"/>
        </w:rPr>
      </w:pPr>
      <w:r>
        <w:rPr>
          <w:rFonts w:eastAsia="Arial" w:cs="Arial"/>
          <w:sz w:val="20"/>
          <w:szCs w:val="20"/>
        </w:rPr>
        <w:t>Limited authority to transfer client assets between client accounts maintained at a Qualified Custodian, provided the client has authorized KCD in writing to make such transfers and a copy of such authorization is provided to the Qualified Custodian, specifying the client accounts maintained with Qualified Custodians;</w:t>
      </w:r>
    </w:p>
    <w:p>
      <w:pPr>
        <w:numPr>
          <w:ilvl w:val="0"/>
          <w:numId w:val="457"/>
        </w:numPr>
        <w:ind w:left="720" w:hanging="192"/>
        <w:jc w:val="left"/>
        <w:rPr>
          <w:rFonts w:eastAsia="Arial" w:cs="Arial"/>
          <w:sz w:val="20"/>
          <w:szCs w:val="20"/>
        </w:rPr>
      </w:pPr>
      <w:r>
        <w:rPr>
          <w:rFonts w:eastAsia="Arial" w:cs="Arial"/>
          <w:sz w:val="20"/>
          <w:szCs w:val="20"/>
        </w:rPr>
        <w:t xml:space="preserve">Custody of client assets that are not funds or securities; </w:t>
      </w:r>
    </w:p>
    <w:p>
      <w:pPr>
        <w:numPr>
          <w:ilvl w:val="0"/>
          <w:numId w:val="457"/>
        </w:numPr>
        <w:ind w:left="720" w:hanging="192"/>
        <w:jc w:val="left"/>
        <w:rPr>
          <w:rFonts w:eastAsia="Arial" w:cs="Arial"/>
          <w:sz w:val="20"/>
          <w:szCs w:val="20"/>
        </w:rPr>
      </w:pPr>
      <w:r>
        <w:rPr>
          <w:rFonts w:eastAsia="Arial" w:cs="Arial"/>
          <w:sz w:val="20"/>
          <w:szCs w:val="20"/>
        </w:rPr>
        <w:t>The authority to instruct the Qualified Custodian maintaining a client's account to remit the funds or securities from the account to the same client at his or her address of record as having custody if (1) the client has granted such authority to KCD in writing and a copy of that authorization is provided to the Qualified Custodian, and (2) KCD has neither the authority to open an account on behalf of the client nor the authority to designate or change the client's address of record with the Qualified Custodian;</w:t>
      </w:r>
    </w:p>
    <w:p>
      <w:pPr>
        <w:numPr>
          <w:ilvl w:val="0"/>
          <w:numId w:val="457"/>
        </w:numPr>
        <w:ind w:left="720" w:hanging="192"/>
        <w:jc w:val="left"/>
        <w:rPr>
          <w:rFonts w:eastAsia="Arial" w:cs="Arial"/>
          <w:sz w:val="20"/>
          <w:szCs w:val="20"/>
        </w:rPr>
      </w:pPr>
      <w:r>
        <w:rPr>
          <w:rFonts w:eastAsia="Arial" w:cs="Arial"/>
          <w:sz w:val="20"/>
          <w:szCs w:val="20"/>
        </w:rPr>
        <w:t>When a related person of KCD is a natural person and is both the legal and beneficial owner (e.g., he or she is not the trustee of another person) of the account and the beneficial owner for purposes of the securities laws, this related person's access to his or her own account will not impute custody to the adviser; and</w:t>
      </w:r>
    </w:p>
    <w:p>
      <w:pPr>
        <w:numPr>
          <w:ilvl w:val="0"/>
          <w:numId w:val="457"/>
        </w:numPr>
        <w:spacing w:after="200"/>
        <w:ind w:left="720" w:hanging="192"/>
        <w:jc w:val="left"/>
        <w:rPr>
          <w:rFonts w:eastAsia="Arial" w:cs="Arial"/>
          <w:sz w:val="20"/>
          <w:szCs w:val="20"/>
        </w:rPr>
      </w:pPr>
      <w:r>
        <w:rPr>
          <w:rFonts w:eastAsia="Arial" w:cs="Arial"/>
          <w:sz w:val="20"/>
          <w:szCs w:val="20"/>
        </w:rPr>
        <w:t>When a client instructs the Qualified Custodian to debit his or her account for advisory fees and the Qualified Custodian makes all fee calculations based on the advisory contract, provided that the Qualified Custodian is not a related person of KCD.</w:t>
      </w:r>
    </w:p>
    <w:p/>
    <w:p>
      <w:pPr>
        <w:pStyle w:val="Heading3"/>
      </w:pPr>
      <w:bookmarkStart w:id="521" w:name="_Toc256000129"/>
      <w:r>
        <w:t>8.3.2 Procedures for Types of Custody Arrangements</w:t>
      </w:r>
      <w:bookmarkEnd w:id="521"/>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only be subject to these Custody Procedures if it shall have custody of any funds and securities (called "assets") of clients. If KCD has custody of client assets, it shall maintain client assets in accordance with one or more of the following procedures:</w:t>
      </w:r>
    </w:p>
    <w:p>
      <w:pPr>
        <w:numPr>
          <w:ilvl w:val="0"/>
          <w:numId w:val="458"/>
        </w:numPr>
        <w:spacing w:before="200"/>
        <w:ind w:left="720" w:hanging="192"/>
        <w:jc w:val="left"/>
        <w:rPr>
          <w:rFonts w:eastAsia="Arial" w:cs="Arial"/>
          <w:sz w:val="20"/>
          <w:szCs w:val="20"/>
        </w:rPr>
      </w:pPr>
      <w:r>
        <w:rPr>
          <w:rFonts w:eastAsia="Arial" w:cs="Arial"/>
          <w:sz w:val="20"/>
          <w:szCs w:val="20"/>
        </w:rPr>
        <w:t>Unaffiliated Custody Arrangements;</w:t>
      </w:r>
    </w:p>
    <w:p>
      <w:pPr>
        <w:numPr>
          <w:ilvl w:val="0"/>
          <w:numId w:val="458"/>
        </w:numPr>
        <w:ind w:left="720" w:hanging="192"/>
        <w:jc w:val="left"/>
        <w:rPr>
          <w:rFonts w:eastAsia="Arial" w:cs="Arial"/>
          <w:sz w:val="20"/>
          <w:szCs w:val="20"/>
        </w:rPr>
      </w:pPr>
      <w:r>
        <w:rPr>
          <w:rFonts w:eastAsia="Arial" w:cs="Arial"/>
          <w:sz w:val="20"/>
          <w:szCs w:val="20"/>
        </w:rPr>
        <w:t>Self-Custody Arrangements;</w:t>
      </w:r>
    </w:p>
    <w:p>
      <w:pPr>
        <w:numPr>
          <w:ilvl w:val="0"/>
          <w:numId w:val="458"/>
        </w:numPr>
        <w:ind w:left="720" w:hanging="192"/>
        <w:jc w:val="left"/>
        <w:rPr>
          <w:rFonts w:eastAsia="Arial" w:cs="Arial"/>
          <w:sz w:val="20"/>
          <w:szCs w:val="20"/>
        </w:rPr>
      </w:pPr>
      <w:r>
        <w:rPr>
          <w:rFonts w:eastAsia="Arial" w:cs="Arial"/>
          <w:sz w:val="20"/>
          <w:szCs w:val="20"/>
        </w:rPr>
        <w:t xml:space="preserve">Related Person Custody Arrangements; </w:t>
      </w:r>
    </w:p>
    <w:p>
      <w:pPr>
        <w:numPr>
          <w:ilvl w:val="0"/>
          <w:numId w:val="458"/>
        </w:numPr>
        <w:ind w:left="720" w:hanging="192"/>
        <w:jc w:val="left"/>
        <w:rPr>
          <w:rFonts w:eastAsia="Arial" w:cs="Arial"/>
          <w:sz w:val="20"/>
          <w:szCs w:val="20"/>
        </w:rPr>
      </w:pPr>
      <w:r>
        <w:rPr>
          <w:rFonts w:eastAsia="Arial" w:cs="Arial"/>
          <w:sz w:val="20"/>
          <w:szCs w:val="20"/>
        </w:rPr>
        <w:t>Hedge Fund Custody Arrangements;</w:t>
      </w:r>
    </w:p>
    <w:p>
      <w:pPr>
        <w:numPr>
          <w:ilvl w:val="0"/>
          <w:numId w:val="458"/>
        </w:numPr>
        <w:ind w:left="720" w:hanging="192"/>
        <w:jc w:val="left"/>
        <w:rPr>
          <w:rFonts w:eastAsia="Arial" w:cs="Arial"/>
          <w:sz w:val="20"/>
          <w:szCs w:val="20"/>
        </w:rPr>
      </w:pPr>
      <w:r>
        <w:rPr>
          <w:rFonts w:eastAsia="Arial" w:cs="Arial"/>
          <w:sz w:val="20"/>
          <w:szCs w:val="20"/>
        </w:rPr>
        <w:t xml:space="preserve">Mutual Fund Shares Custody Arrangements; </w:t>
      </w:r>
    </w:p>
    <w:p>
      <w:pPr>
        <w:numPr>
          <w:ilvl w:val="0"/>
          <w:numId w:val="458"/>
        </w:numPr>
        <w:ind w:left="720" w:hanging="192"/>
        <w:jc w:val="left"/>
        <w:rPr>
          <w:rFonts w:eastAsia="Arial" w:cs="Arial"/>
          <w:sz w:val="20"/>
          <w:szCs w:val="20"/>
        </w:rPr>
      </w:pPr>
      <w:r>
        <w:rPr>
          <w:rFonts w:eastAsia="Arial" w:cs="Arial"/>
          <w:sz w:val="20"/>
          <w:szCs w:val="20"/>
        </w:rPr>
        <w:t>Privately Placed Securities Custody Arrangements;</w:t>
      </w:r>
    </w:p>
    <w:p>
      <w:pPr>
        <w:numPr>
          <w:ilvl w:val="0"/>
          <w:numId w:val="458"/>
        </w:numPr>
        <w:ind w:left="720" w:hanging="192"/>
        <w:jc w:val="left"/>
        <w:rPr>
          <w:rFonts w:eastAsia="Arial" w:cs="Arial"/>
          <w:sz w:val="20"/>
          <w:szCs w:val="20"/>
        </w:rPr>
      </w:pPr>
      <w:r>
        <w:rPr>
          <w:rFonts w:eastAsia="Arial" w:cs="Arial"/>
          <w:sz w:val="20"/>
          <w:szCs w:val="20"/>
        </w:rPr>
        <w:t>Constructive Custody; and</w:t>
      </w:r>
    </w:p>
    <w:p>
      <w:pPr>
        <w:numPr>
          <w:ilvl w:val="0"/>
          <w:numId w:val="458"/>
        </w:numPr>
        <w:spacing w:after="200"/>
        <w:ind w:left="720" w:hanging="192"/>
        <w:jc w:val="left"/>
        <w:rPr>
          <w:rFonts w:eastAsia="Arial" w:cs="Arial"/>
          <w:sz w:val="20"/>
          <w:szCs w:val="20"/>
        </w:rPr>
      </w:pPr>
      <w:r>
        <w:rPr>
          <w:rFonts w:eastAsia="Arial" w:cs="Arial"/>
          <w:sz w:val="20"/>
          <w:szCs w:val="20"/>
        </w:rPr>
        <w:t>Inadvertent Receipt of and Temporary Custody of Client Assets.</w:t>
      </w:r>
    </w:p>
    <w:p>
      <w:bookmarkStart w:id="522" w:name="Sec_Chp_07212721336499101_06101610225410"/>
    </w:p>
    <w:p>
      <w:pPr>
        <w:pStyle w:val="Heading3"/>
      </w:pPr>
      <w:bookmarkStart w:id="523" w:name="_Toc256000130"/>
      <w:r>
        <w:t>8.3.3 Unaffiliated Custody Arrangements</w:t>
      </w:r>
      <w:bookmarkEnd w:id="523"/>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maintains client assets with a custodian that is not affiliated with KCD or affiliates of KCD, it will avoid being subject to certain requirements under Rule 206(4)-2 applicable to affiliated custodian arrangements.</w:t>
      </w:r>
    </w:p>
    <w:p>
      <w:bookmarkEnd w:id="522"/>
      <w:bookmarkStart w:id="524" w:name="Sec_Chp_07212721336499101_06101610225412"/>
    </w:p>
    <w:p>
      <w:pPr>
        <w:pStyle w:val="Heading4"/>
      </w:pPr>
      <w:r>
        <w:t>8.3.3.1 Unaffiliated Custody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KCD maintains client assets with an unaffiliated Qualified Custodian, the Chief Compliance Officer will:</w:t>
      </w:r>
    </w:p>
    <w:p>
      <w:pPr>
        <w:numPr>
          <w:ilvl w:val="0"/>
          <w:numId w:val="459"/>
        </w:numPr>
        <w:spacing w:before="200"/>
        <w:ind w:left="720" w:hanging="192"/>
        <w:jc w:val="left"/>
        <w:rPr>
          <w:rFonts w:eastAsia="Arial" w:cs="Arial"/>
          <w:sz w:val="20"/>
          <w:szCs w:val="20"/>
        </w:rPr>
      </w:pPr>
      <w:r>
        <w:rPr>
          <w:rFonts w:eastAsia="Arial" w:cs="Arial"/>
          <w:sz w:val="20"/>
          <w:szCs w:val="20"/>
        </w:rPr>
        <w:t>Verify that the unaffiliated firm is a Qualified Custodian;</w:t>
      </w:r>
    </w:p>
    <w:p>
      <w:pPr>
        <w:numPr>
          <w:ilvl w:val="0"/>
          <w:numId w:val="459"/>
        </w:numPr>
        <w:ind w:left="720" w:hanging="192"/>
        <w:jc w:val="left"/>
        <w:rPr>
          <w:rFonts w:eastAsia="Arial" w:cs="Arial"/>
          <w:sz w:val="20"/>
          <w:szCs w:val="20"/>
        </w:rPr>
      </w:pPr>
      <w:r>
        <w:rPr>
          <w:rFonts w:eastAsia="Arial" w:cs="Arial"/>
          <w:sz w:val="20"/>
          <w:szCs w:val="20"/>
        </w:rPr>
        <w:t xml:space="preserve">Arrange for KCD to enter into a contract with the unaffiliated Qualified Custodian; </w:t>
      </w:r>
    </w:p>
    <w:p>
      <w:pPr>
        <w:numPr>
          <w:ilvl w:val="0"/>
          <w:numId w:val="459"/>
        </w:numPr>
        <w:ind w:left="720" w:hanging="192"/>
        <w:jc w:val="left"/>
        <w:rPr>
          <w:rFonts w:eastAsia="Arial" w:cs="Arial"/>
          <w:sz w:val="20"/>
          <w:szCs w:val="20"/>
        </w:rPr>
      </w:pPr>
      <w:r>
        <w:rPr>
          <w:rFonts w:eastAsia="Arial" w:cs="Arial"/>
          <w:sz w:val="20"/>
          <w:szCs w:val="20"/>
        </w:rPr>
        <w:t xml:space="preserve">Require the Qualified Custodian to maintain client funds and securities: </w:t>
      </w:r>
    </w:p>
    <w:p>
      <w:pPr>
        <w:numPr>
          <w:ilvl w:val="1"/>
          <w:numId w:val="459"/>
        </w:numPr>
        <w:ind w:left="1440" w:hanging="220"/>
        <w:jc w:val="left"/>
        <w:rPr>
          <w:rFonts w:eastAsia="Arial" w:cs="Arial"/>
          <w:sz w:val="20"/>
          <w:szCs w:val="20"/>
        </w:rPr>
      </w:pPr>
      <w:r>
        <w:rPr>
          <w:rFonts w:eastAsia="Arial" w:cs="Arial"/>
          <w:sz w:val="20"/>
          <w:szCs w:val="20"/>
        </w:rPr>
        <w:t xml:space="preserve">In a separate account for each client under that client's name; or </w:t>
      </w:r>
    </w:p>
    <w:p>
      <w:pPr>
        <w:numPr>
          <w:ilvl w:val="1"/>
          <w:numId w:val="459"/>
        </w:numPr>
        <w:ind w:left="1440" w:hanging="220"/>
        <w:jc w:val="left"/>
        <w:rPr>
          <w:rFonts w:eastAsia="Arial" w:cs="Arial"/>
          <w:sz w:val="20"/>
          <w:szCs w:val="20"/>
        </w:rPr>
      </w:pPr>
      <w:r>
        <w:rPr>
          <w:rFonts w:eastAsia="Arial" w:cs="Arial"/>
          <w:sz w:val="20"/>
          <w:szCs w:val="20"/>
        </w:rPr>
        <w:t xml:space="preserve">In accounts that contain only KCD's client funds and securities and under the name of the Firm as agent or trustee for the clients; </w:t>
      </w:r>
    </w:p>
    <w:p>
      <w:pPr>
        <w:numPr>
          <w:ilvl w:val="0"/>
          <w:numId w:val="459"/>
        </w:numPr>
        <w:ind w:left="720" w:hanging="192"/>
        <w:jc w:val="left"/>
        <w:rPr>
          <w:rFonts w:eastAsia="Arial" w:cs="Arial"/>
          <w:sz w:val="20"/>
          <w:szCs w:val="20"/>
        </w:rPr>
      </w:pPr>
      <w:r>
        <w:rPr>
          <w:rFonts w:eastAsia="Arial" w:cs="Arial"/>
          <w:sz w:val="20"/>
          <w:szCs w:val="20"/>
        </w:rPr>
        <w:t>Notify each client in writing of the name and address of the Qualified Custodian, and the manner in which the funds or securities are maintained, promptly when the account is opened and following any changes to this information; and</w:t>
      </w:r>
    </w:p>
    <w:p>
      <w:pPr>
        <w:numPr>
          <w:ilvl w:val="0"/>
          <w:numId w:val="459"/>
        </w:numPr>
        <w:spacing w:after="200"/>
        <w:ind w:left="720" w:hanging="192"/>
        <w:jc w:val="left"/>
        <w:rPr>
          <w:rFonts w:eastAsia="Arial" w:cs="Arial"/>
          <w:sz w:val="20"/>
          <w:szCs w:val="20"/>
        </w:rPr>
      </w:pPr>
      <w:r>
        <w:rPr>
          <w:rFonts w:eastAsia="Arial" w:cs="Arial"/>
          <w:sz w:val="20"/>
          <w:szCs w:val="20"/>
        </w:rPr>
        <w:t xml:space="preserve">Require the Qualified Custodian to transmit account statements to clients in accordance with the Account Statements procedures set forth herein. </w:t>
      </w:r>
    </w:p>
    <w:p>
      <w:bookmarkEnd w:id="524"/>
      <w:bookmarkStart w:id="525" w:name="Sec_Chp_07212721336499101_06101610225414"/>
    </w:p>
    <w:p>
      <w:pPr>
        <w:pStyle w:val="Heading4"/>
      </w:pPr>
      <w:r>
        <w:t>8.3.3.2 Fee Deduction Only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KCD maintains client assets at an unaffiliated Qualified Custodian, it will be deemed to have custody of client assets if it has the authority to deduct its advisory fees from client assets maintained at the unaffiliated Qualified Custodian. Nevertheless, the unaffiliated Qualified Custodian arrangement will not be subject to the:</w:t>
      </w:r>
    </w:p>
    <w:p>
      <w:pPr>
        <w:numPr>
          <w:ilvl w:val="0"/>
          <w:numId w:val="460"/>
        </w:numPr>
        <w:spacing w:before="200"/>
        <w:ind w:left="720" w:hanging="192"/>
        <w:jc w:val="left"/>
        <w:rPr>
          <w:rFonts w:eastAsia="Arial" w:cs="Arial"/>
          <w:sz w:val="20"/>
          <w:szCs w:val="20"/>
        </w:rPr>
      </w:pPr>
      <w:r>
        <w:rPr>
          <w:rFonts w:eastAsia="Arial" w:cs="Arial"/>
          <w:sz w:val="20"/>
          <w:szCs w:val="20"/>
        </w:rPr>
        <w:t>Surprise Examination requirement; and</w:t>
      </w:r>
    </w:p>
    <w:p>
      <w:pPr>
        <w:numPr>
          <w:ilvl w:val="0"/>
          <w:numId w:val="460"/>
        </w:numPr>
        <w:spacing w:after="200"/>
        <w:ind w:left="720" w:hanging="192"/>
        <w:jc w:val="left"/>
        <w:rPr>
          <w:rFonts w:eastAsia="Arial" w:cs="Arial"/>
          <w:sz w:val="20"/>
          <w:szCs w:val="20"/>
        </w:rPr>
      </w:pPr>
      <w:r>
        <w:rPr>
          <w:rFonts w:eastAsia="Arial" w:cs="Arial"/>
          <w:sz w:val="20"/>
          <w:szCs w:val="20"/>
        </w:rPr>
        <w:t>Internal Control Report requirement.</w:t>
      </w:r>
    </w:p>
    <w:p>
      <w:bookmarkEnd w:id="525"/>
      <w:bookmarkStart w:id="526" w:name="Sec_Chp_07212721336499101_06101610225417"/>
    </w:p>
    <w:p>
      <w:pPr>
        <w:pStyle w:val="Heading3"/>
      </w:pPr>
      <w:bookmarkStart w:id="527" w:name="_Toc256000131"/>
      <w:r>
        <w:t>8.3.4 Self-Custody Arrangement</w:t>
      </w:r>
      <w:bookmarkEnd w:id="527"/>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KCD maintains custody of client assets, the Chief Compliance Officer will:</w:t>
      </w:r>
    </w:p>
    <w:p>
      <w:pPr>
        <w:numPr>
          <w:ilvl w:val="0"/>
          <w:numId w:val="461"/>
        </w:numPr>
        <w:spacing w:before="200"/>
        <w:ind w:left="720" w:hanging="192"/>
        <w:jc w:val="left"/>
        <w:rPr>
          <w:rFonts w:eastAsia="Arial" w:cs="Arial"/>
          <w:sz w:val="20"/>
          <w:szCs w:val="20"/>
        </w:rPr>
      </w:pPr>
      <w:r>
        <w:rPr>
          <w:rFonts w:eastAsia="Arial" w:cs="Arial"/>
          <w:sz w:val="20"/>
          <w:szCs w:val="20"/>
        </w:rPr>
        <w:t>Verify that KCD is a Qualified Custodian;</w:t>
      </w:r>
    </w:p>
    <w:p>
      <w:pPr>
        <w:numPr>
          <w:ilvl w:val="0"/>
          <w:numId w:val="461"/>
        </w:numPr>
        <w:ind w:left="720" w:hanging="192"/>
        <w:jc w:val="left"/>
        <w:rPr>
          <w:rFonts w:eastAsia="Arial" w:cs="Arial"/>
          <w:sz w:val="20"/>
          <w:szCs w:val="20"/>
        </w:rPr>
      </w:pPr>
      <w:r>
        <w:rPr>
          <w:rFonts w:eastAsia="Arial" w:cs="Arial"/>
          <w:sz w:val="20"/>
          <w:szCs w:val="20"/>
        </w:rPr>
        <w:t xml:space="preserve">Verify KCD maintains client funds and securities: </w:t>
      </w:r>
    </w:p>
    <w:p>
      <w:pPr>
        <w:numPr>
          <w:ilvl w:val="1"/>
          <w:numId w:val="461"/>
        </w:numPr>
        <w:ind w:left="1440" w:hanging="220"/>
        <w:jc w:val="left"/>
        <w:rPr>
          <w:rFonts w:eastAsia="Arial" w:cs="Arial"/>
          <w:sz w:val="20"/>
          <w:szCs w:val="20"/>
        </w:rPr>
      </w:pPr>
      <w:r>
        <w:rPr>
          <w:rFonts w:eastAsia="Arial" w:cs="Arial"/>
          <w:sz w:val="20"/>
          <w:szCs w:val="20"/>
        </w:rPr>
        <w:t xml:space="preserve">In a separate account for each client under that client's name; or </w:t>
      </w:r>
    </w:p>
    <w:p>
      <w:pPr>
        <w:numPr>
          <w:ilvl w:val="1"/>
          <w:numId w:val="461"/>
        </w:numPr>
        <w:ind w:left="1440" w:hanging="220"/>
        <w:jc w:val="left"/>
        <w:rPr>
          <w:rFonts w:eastAsia="Arial" w:cs="Arial"/>
          <w:sz w:val="20"/>
          <w:szCs w:val="20"/>
        </w:rPr>
      </w:pPr>
      <w:r>
        <w:rPr>
          <w:rFonts w:eastAsia="Arial" w:cs="Arial"/>
          <w:sz w:val="20"/>
          <w:szCs w:val="20"/>
        </w:rPr>
        <w:t xml:space="preserve">In accounts that contain only KCD's client funds and securities and under the name of the Firm as agent or trustee for the clients; </w:t>
      </w:r>
    </w:p>
    <w:p>
      <w:pPr>
        <w:numPr>
          <w:ilvl w:val="0"/>
          <w:numId w:val="461"/>
        </w:numPr>
        <w:ind w:left="720" w:hanging="192"/>
        <w:jc w:val="left"/>
        <w:rPr>
          <w:rFonts w:eastAsia="Arial" w:cs="Arial"/>
          <w:sz w:val="20"/>
          <w:szCs w:val="20"/>
        </w:rPr>
      </w:pPr>
      <w:r>
        <w:rPr>
          <w:rFonts w:eastAsia="Arial" w:cs="Arial"/>
          <w:sz w:val="20"/>
          <w:szCs w:val="20"/>
        </w:rPr>
        <w:t xml:space="preserve">Notify each client in writing of the name and address of the Firm, and the manner in which the funds or securities are maintained, promptly when the account is opened and following any changes to this information; </w:t>
      </w:r>
    </w:p>
    <w:p>
      <w:pPr>
        <w:numPr>
          <w:ilvl w:val="0"/>
          <w:numId w:val="461"/>
        </w:numPr>
        <w:ind w:left="720" w:hanging="192"/>
        <w:jc w:val="left"/>
        <w:rPr>
          <w:rFonts w:eastAsia="Arial" w:cs="Arial"/>
          <w:sz w:val="20"/>
          <w:szCs w:val="20"/>
        </w:rPr>
      </w:pPr>
      <w:r>
        <w:rPr>
          <w:rFonts w:eastAsia="Arial" w:cs="Arial"/>
          <w:sz w:val="20"/>
          <w:szCs w:val="20"/>
        </w:rPr>
        <w:t xml:space="preserve">Transmit account statements to clients in accordance with the Account Statements procedures set forth herein; </w:t>
      </w:r>
    </w:p>
    <w:p>
      <w:pPr>
        <w:numPr>
          <w:ilvl w:val="0"/>
          <w:numId w:val="461"/>
        </w:numPr>
        <w:ind w:left="720" w:hanging="192"/>
        <w:jc w:val="left"/>
        <w:rPr>
          <w:rFonts w:eastAsia="Arial" w:cs="Arial"/>
          <w:sz w:val="20"/>
          <w:szCs w:val="20"/>
        </w:rPr>
      </w:pPr>
      <w:r>
        <w:rPr>
          <w:rFonts w:eastAsia="Arial" w:cs="Arial"/>
          <w:sz w:val="20"/>
          <w:szCs w:val="20"/>
        </w:rPr>
        <w:t>Arrange for a Surprise Examination of KCD in accordance with the Surprise Examinations procedures set forth herein; and</w:t>
      </w:r>
    </w:p>
    <w:p>
      <w:pPr>
        <w:numPr>
          <w:ilvl w:val="0"/>
          <w:numId w:val="461"/>
        </w:numPr>
        <w:spacing w:after="200"/>
        <w:ind w:left="720" w:hanging="192"/>
        <w:jc w:val="left"/>
        <w:rPr>
          <w:rFonts w:eastAsia="Arial" w:cs="Arial"/>
          <w:sz w:val="20"/>
          <w:szCs w:val="20"/>
        </w:rPr>
      </w:pPr>
      <w:r>
        <w:rPr>
          <w:rFonts w:eastAsia="Arial" w:cs="Arial"/>
          <w:sz w:val="20"/>
          <w:szCs w:val="20"/>
        </w:rPr>
        <w:t>Arrange for an Independent Public Accountant to prepare a written Internal Control Report in accordance with the Internal Control Reports procedures set forth herein.</w:t>
      </w:r>
    </w:p>
    <w:p>
      <w:bookmarkEnd w:id="526"/>
      <w:bookmarkStart w:id="528" w:name="Sec_Chp_07212721336499101_835"/>
    </w:p>
    <w:p>
      <w:pPr>
        <w:pStyle w:val="Heading3"/>
      </w:pPr>
      <w:bookmarkStart w:id="529" w:name="_Toc256000132"/>
      <w:r>
        <w:t>8.3.5 Check Requests</w:t>
      </w:r>
      <w:bookmarkEnd w:id="529"/>
    </w:p>
    <w:p/>
    <w:p>
      <w:pPr>
        <w:rPr>
          <w:rFonts w:eastAsia="Arial" w:cs="Arial"/>
          <w:sz w:val="16"/>
          <w:szCs w:val="16"/>
        </w:rPr>
      </w:pPr>
    </w:p>
    <w:p>
      <w:pPr>
        <w:spacing w:after="200"/>
        <w:rPr>
          <w:rFonts w:eastAsia="Arial" w:cs="Arial"/>
          <w:sz w:val="20"/>
          <w:szCs w:val="20"/>
        </w:rPr>
      </w:pPr>
      <w:r>
        <w:rPr>
          <w:rFonts w:eastAsia="Arial" w:cs="Arial"/>
          <w:sz w:val="20"/>
          <w:szCs w:val="20"/>
        </w:rPr>
        <w:t>When a client requests a check in an amount of $100,000 or more to be delivered to his or her primary address or to an account of the client held at a bank or other outside entity, KCD employee interfacing with the client must receive verbal confirmation from a senior officer of KCD which may include the Chief Compliance Officer prior to processing the request.</w:t>
      </w:r>
    </w:p>
    <w:p>
      <w:pPr>
        <w:spacing w:before="200" w:after="200"/>
        <w:rPr>
          <w:rFonts w:eastAsia="Arial" w:cs="Arial"/>
          <w:sz w:val="20"/>
          <w:szCs w:val="20"/>
        </w:rPr>
      </w:pPr>
      <w:r>
        <w:rPr>
          <w:rFonts w:eastAsia="Arial" w:cs="Arial"/>
          <w:sz w:val="20"/>
          <w:szCs w:val="20"/>
        </w:rPr>
        <w:t>Third party checks sent to an address other than the primary account address may be transmitted only with the client's written consent or in the absence of such consent with the approval of a senior officer of KCD which may include the Chief Compliance Officer. Clients may provide KCD with standing instructions for periodic distributions via check.</w:t>
      </w:r>
    </w:p>
    <w:p>
      <w:pPr>
        <w:spacing w:before="200" w:after="200"/>
        <w:rPr>
          <w:rFonts w:eastAsia="Arial" w:cs="Arial"/>
          <w:sz w:val="20"/>
          <w:szCs w:val="20"/>
        </w:rPr>
      </w:pPr>
      <w:r>
        <w:rPr>
          <w:rFonts w:eastAsia="Arial" w:cs="Arial"/>
          <w:sz w:val="20"/>
          <w:szCs w:val="20"/>
        </w:rPr>
        <w:t>KCD shall maintain a copy of such approvals in its records.</w:t>
      </w:r>
    </w:p>
    <w:p>
      <w:bookmarkEnd w:id="528"/>
      <w:bookmarkStart w:id="530" w:name="Sec_Chp_07212721336499101_836"/>
    </w:p>
    <w:p>
      <w:pPr>
        <w:pStyle w:val="Heading3"/>
      </w:pPr>
      <w:bookmarkStart w:id="531" w:name="_Toc256000133"/>
      <w:r>
        <w:t>8.3.6 Wiring Funds</w:t>
      </w:r>
      <w:bookmarkEnd w:id="531"/>
    </w:p>
    <w:p/>
    <w:p>
      <w:pPr>
        <w:rPr>
          <w:rFonts w:eastAsia="Arial" w:cs="Arial"/>
          <w:sz w:val="16"/>
          <w:szCs w:val="16"/>
        </w:rPr>
      </w:pPr>
    </w:p>
    <w:p>
      <w:pPr>
        <w:spacing w:after="200"/>
        <w:rPr>
          <w:rFonts w:eastAsia="Arial" w:cs="Arial"/>
          <w:sz w:val="20"/>
          <w:szCs w:val="20"/>
        </w:rPr>
      </w:pPr>
      <w:r>
        <w:rPr>
          <w:rFonts w:eastAsia="Arial" w:cs="Arial"/>
          <w:sz w:val="20"/>
          <w:szCs w:val="20"/>
        </w:rPr>
        <w:t>When wiring disbursement amounts to clients, KCD shall obtain the name of the bank the funds are being wired to, the ABA number of the bank and the account number of the receiving client. KCD will transmit written confirmation of the wire sent on the day following the sending of the wire.</w:t>
      </w:r>
    </w:p>
    <w:p>
      <w:pPr>
        <w:spacing w:before="200" w:after="200"/>
        <w:rPr>
          <w:rFonts w:eastAsia="Arial" w:cs="Arial"/>
          <w:sz w:val="20"/>
          <w:szCs w:val="20"/>
        </w:rPr>
      </w:pPr>
      <w:r>
        <w:rPr>
          <w:rFonts w:eastAsia="Arial" w:cs="Arial"/>
          <w:sz w:val="20"/>
          <w:szCs w:val="20"/>
        </w:rPr>
        <w:t>When a client requests a wire in an amount of $100,000 or more to be delivered to his or her account of the client held at a bank or other outside entity, KCD employee interfacing with the client must receive verbal confirmation from a senior officer of KCD which may include the Chief Compliance Officer prior to processing the request.</w:t>
      </w:r>
    </w:p>
    <w:p>
      <w:pPr>
        <w:spacing w:before="200" w:after="200"/>
        <w:rPr>
          <w:rFonts w:eastAsia="Arial" w:cs="Arial"/>
          <w:sz w:val="20"/>
          <w:szCs w:val="20"/>
        </w:rPr>
      </w:pPr>
      <w:r>
        <w:rPr>
          <w:rFonts w:eastAsia="Arial" w:cs="Arial"/>
          <w:sz w:val="20"/>
          <w:szCs w:val="20"/>
        </w:rPr>
        <w:t>Clients may provide KCD with standing instructions for periodic distributions via wire transfers.</w:t>
      </w:r>
    </w:p>
    <w:p>
      <w:pPr>
        <w:spacing w:before="200" w:after="200"/>
        <w:rPr>
          <w:rFonts w:eastAsia="Arial" w:cs="Arial"/>
          <w:sz w:val="20"/>
          <w:szCs w:val="20"/>
        </w:rPr>
      </w:pPr>
      <w:r>
        <w:rPr>
          <w:rFonts w:eastAsia="Arial" w:cs="Arial"/>
          <w:sz w:val="20"/>
          <w:szCs w:val="20"/>
        </w:rPr>
        <w:t>KCD shall maintain a copy of such approvals in its records.</w:t>
      </w:r>
    </w:p>
    <w:p>
      <w:bookmarkEnd w:id="530"/>
      <w:bookmarkStart w:id="532" w:name="Sec_Chp_07212721336499101_06101610225418"/>
    </w:p>
    <w:p>
      <w:pPr>
        <w:pStyle w:val="Heading3"/>
      </w:pPr>
      <w:bookmarkStart w:id="533" w:name="_Toc256000134"/>
      <w:r>
        <w:t>8.3.7 Related Person Custody Arrangement</w:t>
      </w:r>
      <w:bookmarkEnd w:id="533"/>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If KCD itself maintains client assets or it maintains client assets with a custodian that is affiliated with KCD, it will be potentially subject to additional requirements under Rule 206(4)-2 including surprise examination and internal control report requirements.</w:t>
      </w:r>
    </w:p>
    <w:p>
      <w:bookmarkEnd w:id="532"/>
      <w:bookmarkStart w:id="534" w:name="Sec_Chp_07212721336499101_06101610225420"/>
    </w:p>
    <w:p>
      <w:pPr>
        <w:pStyle w:val="Heading4"/>
      </w:pPr>
      <w:r>
        <w:t>8.3.7.1 Related Person Custody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KCD maintains client assets with a Related Person of KCD, the Chief Compliance Officer will:</w:t>
      </w:r>
    </w:p>
    <w:p>
      <w:pPr>
        <w:numPr>
          <w:ilvl w:val="0"/>
          <w:numId w:val="462"/>
        </w:numPr>
        <w:spacing w:before="200"/>
        <w:ind w:left="720" w:hanging="192"/>
        <w:jc w:val="left"/>
        <w:rPr>
          <w:rFonts w:eastAsia="Arial" w:cs="Arial"/>
          <w:sz w:val="20"/>
          <w:szCs w:val="20"/>
        </w:rPr>
      </w:pPr>
      <w:r>
        <w:rPr>
          <w:rFonts w:eastAsia="Arial" w:cs="Arial"/>
          <w:sz w:val="20"/>
          <w:szCs w:val="20"/>
        </w:rPr>
        <w:t>Verify that the Related Person is a Qualified Custodian;</w:t>
      </w:r>
    </w:p>
    <w:p>
      <w:pPr>
        <w:numPr>
          <w:ilvl w:val="0"/>
          <w:numId w:val="462"/>
        </w:numPr>
        <w:ind w:left="720" w:hanging="192"/>
        <w:jc w:val="left"/>
        <w:rPr>
          <w:rFonts w:eastAsia="Arial" w:cs="Arial"/>
          <w:sz w:val="20"/>
          <w:szCs w:val="20"/>
        </w:rPr>
      </w:pPr>
      <w:r>
        <w:rPr>
          <w:rFonts w:eastAsia="Arial" w:cs="Arial"/>
          <w:sz w:val="20"/>
          <w:szCs w:val="20"/>
        </w:rPr>
        <w:t xml:space="preserve">Verify the Related Person maintains client funds and securities: </w:t>
      </w:r>
    </w:p>
    <w:p>
      <w:pPr>
        <w:numPr>
          <w:ilvl w:val="1"/>
          <w:numId w:val="462"/>
        </w:numPr>
        <w:ind w:left="1440" w:hanging="220"/>
        <w:jc w:val="left"/>
        <w:rPr>
          <w:rFonts w:eastAsia="Arial" w:cs="Arial"/>
          <w:sz w:val="20"/>
          <w:szCs w:val="20"/>
        </w:rPr>
      </w:pPr>
      <w:r>
        <w:rPr>
          <w:rFonts w:eastAsia="Arial" w:cs="Arial"/>
          <w:sz w:val="20"/>
          <w:szCs w:val="20"/>
        </w:rPr>
        <w:t xml:space="preserve">In a separate account for each client under that client's name; or </w:t>
      </w:r>
    </w:p>
    <w:p>
      <w:pPr>
        <w:numPr>
          <w:ilvl w:val="1"/>
          <w:numId w:val="462"/>
        </w:numPr>
        <w:ind w:left="1440" w:hanging="220"/>
        <w:jc w:val="left"/>
        <w:rPr>
          <w:rFonts w:eastAsia="Arial" w:cs="Arial"/>
          <w:sz w:val="20"/>
          <w:szCs w:val="20"/>
        </w:rPr>
      </w:pPr>
      <w:r>
        <w:rPr>
          <w:rFonts w:eastAsia="Arial" w:cs="Arial"/>
          <w:sz w:val="20"/>
          <w:szCs w:val="20"/>
        </w:rPr>
        <w:t xml:space="preserve">In accounts that contain only KCD's client funds and securities and under the name of KCD as agent or trustee for the clients; </w:t>
      </w:r>
    </w:p>
    <w:p>
      <w:pPr>
        <w:numPr>
          <w:ilvl w:val="0"/>
          <w:numId w:val="462"/>
        </w:numPr>
        <w:ind w:left="720" w:hanging="192"/>
        <w:jc w:val="left"/>
        <w:rPr>
          <w:rFonts w:eastAsia="Arial" w:cs="Arial"/>
          <w:sz w:val="20"/>
          <w:szCs w:val="20"/>
        </w:rPr>
      </w:pPr>
      <w:r>
        <w:rPr>
          <w:rFonts w:eastAsia="Arial" w:cs="Arial"/>
          <w:sz w:val="20"/>
          <w:szCs w:val="20"/>
        </w:rPr>
        <w:t xml:space="preserve">Notify each client in writing of the name and address of the Related Person, and the manner in which the funds or securities are maintained, promptly when the account is opened and following any changes to this information; </w:t>
      </w:r>
    </w:p>
    <w:p>
      <w:pPr>
        <w:numPr>
          <w:ilvl w:val="0"/>
          <w:numId w:val="462"/>
        </w:numPr>
        <w:ind w:left="720" w:hanging="192"/>
        <w:jc w:val="left"/>
        <w:rPr>
          <w:rFonts w:eastAsia="Arial" w:cs="Arial"/>
          <w:sz w:val="20"/>
          <w:szCs w:val="20"/>
        </w:rPr>
      </w:pPr>
      <w:r>
        <w:rPr>
          <w:rFonts w:eastAsia="Arial" w:cs="Arial"/>
          <w:sz w:val="20"/>
          <w:szCs w:val="20"/>
        </w:rPr>
        <w:t xml:space="preserve">Require the Related Person to transmit account statements to clients in accordance with the Account Statements procedures set forth herein; </w:t>
      </w:r>
    </w:p>
    <w:p>
      <w:pPr>
        <w:numPr>
          <w:ilvl w:val="0"/>
          <w:numId w:val="462"/>
        </w:numPr>
        <w:ind w:left="720" w:hanging="192"/>
        <w:jc w:val="left"/>
        <w:rPr>
          <w:rFonts w:eastAsia="Arial" w:cs="Arial"/>
          <w:sz w:val="20"/>
          <w:szCs w:val="20"/>
        </w:rPr>
      </w:pPr>
      <w:r>
        <w:rPr>
          <w:rFonts w:eastAsia="Arial" w:cs="Arial"/>
          <w:sz w:val="20"/>
          <w:szCs w:val="20"/>
        </w:rPr>
        <w:t>Arrange for a Surprise Examination of the Related Person in accordance with the Surprise Examinations procedures set forth herein unless the Related Person is Operationally Independent from KCD; and</w:t>
      </w:r>
    </w:p>
    <w:p>
      <w:pPr>
        <w:numPr>
          <w:ilvl w:val="0"/>
          <w:numId w:val="462"/>
        </w:numPr>
        <w:spacing w:after="200"/>
        <w:ind w:left="720" w:hanging="192"/>
        <w:jc w:val="left"/>
        <w:rPr>
          <w:rFonts w:eastAsia="Arial" w:cs="Arial"/>
          <w:sz w:val="20"/>
          <w:szCs w:val="20"/>
        </w:rPr>
      </w:pPr>
      <w:r>
        <w:rPr>
          <w:rFonts w:eastAsia="Arial" w:cs="Arial"/>
          <w:sz w:val="20"/>
          <w:szCs w:val="20"/>
        </w:rPr>
        <w:t>Arrange for an Independent Public Accountant to prepare a written Internal Control Report in accordance with the Internal Control Reports procedures set forth herein.</w:t>
      </w:r>
    </w:p>
    <w:p>
      <w:bookmarkEnd w:id="534"/>
      <w:bookmarkStart w:id="535" w:name="Sec_Chp_07212721336499101_06101610225421"/>
    </w:p>
    <w:p>
      <w:pPr>
        <w:pStyle w:val="Heading4"/>
      </w:pPr>
      <w:r>
        <w:t>8.3.7.2 Definition of Related Person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"Related Person" means:</w:t>
      </w:r>
    </w:p>
    <w:p>
      <w:pPr>
        <w:numPr>
          <w:ilvl w:val="0"/>
          <w:numId w:val="463"/>
        </w:numPr>
        <w:spacing w:before="200"/>
        <w:ind w:left="720" w:hanging="192"/>
        <w:jc w:val="left"/>
        <w:rPr>
          <w:rFonts w:eastAsia="Arial" w:cs="Arial"/>
          <w:sz w:val="20"/>
          <w:szCs w:val="20"/>
        </w:rPr>
      </w:pPr>
      <w:r>
        <w:rPr>
          <w:rFonts w:eastAsia="Arial" w:cs="Arial"/>
          <w:sz w:val="20"/>
          <w:szCs w:val="20"/>
        </w:rPr>
        <w:t xml:space="preserve">any person, directly or indirectly, controlling or controlled by KCD; or </w:t>
      </w:r>
    </w:p>
    <w:p>
      <w:pPr>
        <w:numPr>
          <w:ilvl w:val="0"/>
          <w:numId w:val="463"/>
        </w:numPr>
        <w:spacing w:after="200"/>
        <w:ind w:left="720" w:hanging="192"/>
        <w:jc w:val="left"/>
        <w:rPr>
          <w:rFonts w:eastAsia="Arial" w:cs="Arial"/>
          <w:sz w:val="20"/>
          <w:szCs w:val="20"/>
        </w:rPr>
      </w:pPr>
      <w:r>
        <w:rPr>
          <w:rFonts w:eastAsia="Arial" w:cs="Arial"/>
          <w:sz w:val="20"/>
          <w:szCs w:val="20"/>
        </w:rPr>
        <w:t>any person under the common control with KCD.</w:t>
      </w:r>
    </w:p>
    <w:p>
      <w:bookmarkEnd w:id="535"/>
      <w:bookmarkStart w:id="536" w:name="Sec_Chp_07212721336499101_06101610225423"/>
    </w:p>
    <w:p>
      <w:pPr>
        <w:pStyle w:val="Heading4"/>
      </w:pPr>
      <w:r>
        <w:t>8.3.7.3 Operationally Independent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Related Person is "operationally independent" of KCD if the following conditions are met:</w:t>
      </w:r>
    </w:p>
    <w:p>
      <w:pPr>
        <w:numPr>
          <w:ilvl w:val="0"/>
          <w:numId w:val="464"/>
        </w:numPr>
        <w:spacing w:before="200"/>
        <w:ind w:left="720" w:hanging="192"/>
        <w:jc w:val="left"/>
        <w:rPr>
          <w:rFonts w:eastAsia="Arial" w:cs="Arial"/>
          <w:sz w:val="20"/>
          <w:szCs w:val="20"/>
        </w:rPr>
      </w:pPr>
      <w:r>
        <w:rPr>
          <w:rFonts w:eastAsia="Arial" w:cs="Arial"/>
          <w:sz w:val="20"/>
          <w:szCs w:val="20"/>
        </w:rPr>
        <w:t>Client assets maintained by the Related Person are not subject to KCD's creditors;</w:t>
      </w:r>
    </w:p>
    <w:p>
      <w:pPr>
        <w:numPr>
          <w:ilvl w:val="0"/>
          <w:numId w:val="464"/>
        </w:numPr>
        <w:ind w:left="720" w:hanging="192"/>
        <w:jc w:val="left"/>
        <w:rPr>
          <w:rFonts w:eastAsia="Arial" w:cs="Arial"/>
          <w:sz w:val="20"/>
          <w:szCs w:val="20"/>
        </w:rPr>
      </w:pPr>
      <w:r>
        <w:rPr>
          <w:rFonts w:eastAsia="Arial" w:cs="Arial"/>
          <w:sz w:val="20"/>
          <w:szCs w:val="20"/>
        </w:rPr>
        <w:t>Firm personnel do not have custody or possession of, or direct or indirect access to client assets that are maintained at the Related Person;</w:t>
      </w:r>
    </w:p>
    <w:p>
      <w:pPr>
        <w:numPr>
          <w:ilvl w:val="0"/>
          <w:numId w:val="464"/>
        </w:numPr>
        <w:ind w:left="720" w:hanging="192"/>
        <w:jc w:val="left"/>
        <w:rPr>
          <w:rFonts w:eastAsia="Arial" w:cs="Arial"/>
          <w:sz w:val="20"/>
          <w:szCs w:val="20"/>
        </w:rPr>
      </w:pPr>
      <w:r>
        <w:rPr>
          <w:rFonts w:eastAsia="Arial" w:cs="Arial"/>
          <w:sz w:val="20"/>
          <w:szCs w:val="20"/>
        </w:rPr>
        <w:t>Firm personnel and Related Person personnel who have access to client assets are not under common supervision;</w:t>
      </w:r>
    </w:p>
    <w:p>
      <w:pPr>
        <w:numPr>
          <w:ilvl w:val="0"/>
          <w:numId w:val="464"/>
        </w:numPr>
        <w:ind w:left="720" w:hanging="192"/>
        <w:jc w:val="left"/>
        <w:rPr>
          <w:rFonts w:eastAsia="Arial" w:cs="Arial"/>
          <w:sz w:val="20"/>
          <w:szCs w:val="20"/>
        </w:rPr>
      </w:pPr>
      <w:r>
        <w:rPr>
          <w:rFonts w:eastAsia="Arial" w:cs="Arial"/>
          <w:sz w:val="20"/>
          <w:szCs w:val="20"/>
        </w:rPr>
        <w:t>Firm personnel do not hold any position with the Related Person; and</w:t>
      </w:r>
    </w:p>
    <w:p>
      <w:pPr>
        <w:numPr>
          <w:ilvl w:val="0"/>
          <w:numId w:val="464"/>
        </w:numPr>
        <w:spacing w:after="200"/>
        <w:ind w:left="720" w:hanging="192"/>
        <w:jc w:val="left"/>
        <w:rPr>
          <w:rFonts w:eastAsia="Arial" w:cs="Arial"/>
          <w:sz w:val="20"/>
          <w:szCs w:val="20"/>
        </w:rPr>
      </w:pPr>
      <w:r>
        <w:rPr>
          <w:rFonts w:eastAsia="Arial" w:cs="Arial"/>
          <w:sz w:val="20"/>
          <w:szCs w:val="20"/>
        </w:rPr>
        <w:t>Firm personnel do not share premises with the Related Person.</w:t>
      </w:r>
    </w:p>
    <w:p>
      <w:bookmarkEnd w:id="536"/>
      <w:bookmarkStart w:id="537" w:name="Sec_Chp_07212721336499101_0610168354"/>
    </w:p>
    <w:p>
      <w:pPr>
        <w:pStyle w:val="Heading4"/>
      </w:pPr>
      <w:r>
        <w:t>8.3.7.4 Affiliated Sub-Adviser Custody Arrangements</w:t>
      </w:r>
    </w:p>
    <w:p/>
    <w:p>
      <w:pPr>
        <w:rPr>
          <w:rFonts w:eastAsia="Arial" w:cs="Arial"/>
          <w:sz w:val="16"/>
          <w:szCs w:val="16"/>
        </w:rPr>
      </w:pPr>
    </w:p>
    <w:p>
      <w:pPr>
        <w:pStyle w:val="normal0"/>
        <w:spacing w:after="200"/>
        <w:rPr>
          <w:rFonts w:eastAsia="Arial" w:cs="Arial"/>
          <w:sz w:val="20"/>
          <w:szCs w:val="20"/>
        </w:rPr>
      </w:pPr>
      <w:r>
        <w:rPr>
          <w:rFonts w:eastAsia="Arial" w:cs="Arial"/>
          <w:i/>
          <w:iCs/>
          <w:sz w:val="20"/>
          <w:szCs w:val="20"/>
        </w:rPr>
        <w:t>Investment Adviser Association (pub. avail. Apr. 25, 2016)</w:t>
      </w:r>
    </w:p>
    <w:p>
      <w:pPr>
        <w:pStyle w:val="normal0"/>
        <w:spacing w:before="200" w:after="200"/>
        <w:rPr>
          <w:rFonts w:eastAsia="Arial" w:cs="Arial"/>
          <w:sz w:val="20"/>
          <w:szCs w:val="20"/>
        </w:rPr>
      </w:pPr>
      <w:r>
        <w:rPr>
          <w:rFonts w:eastAsia="Arial" w:cs="Arial"/>
          <w:sz w:val="20"/>
          <w:szCs w:val="20"/>
        </w:rPr>
        <w:t>If KCD is a sub-adviser or is affiliated with a sub-adviser ("Sub-Adviser") in an arrangement where sub-advisory services are being provided pursuant to a program in which a related person of the Sub-Adviser is the qualified custodian for the account assets, and such related person is also the primary investment adviser, and the Sub-Adviser is deemed to have custody solely by virtue of its affiliate serving as qualified custodian, the Sub-Adviser will not be subject to the surprise audit and internal audit requirements of Rule 206(4)-2 under the Advisers Act if the following conditions are met:</w:t>
      </w:r>
    </w:p>
    <w:p>
      <w:pPr>
        <w:numPr>
          <w:ilvl w:val="0"/>
          <w:numId w:val="465"/>
        </w:numPr>
        <w:spacing w:before="200"/>
        <w:ind w:left="720" w:hanging="267"/>
        <w:jc w:val="left"/>
        <w:rPr>
          <w:rFonts w:eastAsia="Arial" w:cs="Arial"/>
          <w:sz w:val="20"/>
          <w:szCs w:val="20"/>
        </w:rPr>
      </w:pPr>
      <w:r>
        <w:rPr>
          <w:rFonts w:eastAsia="Arial" w:cs="Arial"/>
          <w:sz w:val="20"/>
          <w:szCs w:val="20"/>
        </w:rPr>
        <w:t>the sole basis for the Sub-Adviser having custody is its affiliation with the qualified custodian and the primary adviser;</w:t>
      </w:r>
    </w:p>
    <w:p>
      <w:pPr>
        <w:numPr>
          <w:ilvl w:val="0"/>
          <w:numId w:val="465"/>
        </w:numPr>
        <w:ind w:left="720" w:hanging="267"/>
        <w:jc w:val="left"/>
        <w:rPr>
          <w:rFonts w:eastAsia="Arial" w:cs="Arial"/>
          <w:sz w:val="20"/>
          <w:szCs w:val="20"/>
        </w:rPr>
      </w:pPr>
      <w:r>
        <w:rPr>
          <w:rFonts w:eastAsia="Arial" w:cs="Arial"/>
          <w:sz w:val="20"/>
          <w:szCs w:val="20"/>
        </w:rPr>
        <w:t>the primary adviser will comply with Rule 206(4)-2, including by having client funds and securities in the investment advisory program verified by a surprise examination conducted by an independent public accountant registered with the Public Company Accounting Oversight Board ("PCAOB") pursuant to an agreement entered into by the primary adviser;</w:t>
      </w:r>
    </w:p>
    <w:p>
      <w:pPr>
        <w:numPr>
          <w:ilvl w:val="0"/>
          <w:numId w:val="465"/>
        </w:numPr>
        <w:ind w:left="720" w:hanging="267"/>
        <w:jc w:val="left"/>
        <w:rPr>
          <w:rFonts w:eastAsia="Arial" w:cs="Arial"/>
          <w:sz w:val="20"/>
          <w:szCs w:val="20"/>
        </w:rPr>
      </w:pPr>
      <w:r>
        <w:rPr>
          <w:rFonts w:eastAsia="Arial" w:cs="Arial"/>
          <w:sz w:val="20"/>
          <w:szCs w:val="20"/>
        </w:rPr>
        <w:t>the Sub-Adviser does not (i) hold client funds or securities itself; (ii) have authority to obtain possession of clients' funds or securities; or (iii) have authority to deduct fees from clients' accounts; and</w:t>
      </w:r>
    </w:p>
    <w:p>
      <w:pPr>
        <w:numPr>
          <w:ilvl w:val="0"/>
          <w:numId w:val="465"/>
        </w:numPr>
        <w:spacing w:after="200"/>
        <w:ind w:left="720" w:hanging="267"/>
        <w:jc w:val="left"/>
        <w:rPr>
          <w:rFonts w:eastAsia="Arial" w:cs="Arial"/>
          <w:sz w:val="20"/>
          <w:szCs w:val="20"/>
        </w:rPr>
      </w:pPr>
      <w:r>
        <w:rPr>
          <w:rFonts w:eastAsia="Arial" w:cs="Arial"/>
          <w:sz w:val="20"/>
          <w:szCs w:val="20"/>
        </w:rPr>
        <w:t>the Sub-Adviser will continue to be required to obtain from the primary adviser or qualified custodian annually a written internal control report prepared by an independent public accountant registered with and subject to regular inspection by the PCAOB as required by Rule 206(4)-2(a)(6).</w:t>
      </w:r>
    </w:p>
    <w:p>
      <w:bookmarkEnd w:id="537"/>
      <w:bookmarkStart w:id="538" w:name="Sec_Chp_07212721336499101_06101610225425"/>
    </w:p>
    <w:p>
      <w:pPr>
        <w:pStyle w:val="Heading3"/>
      </w:pPr>
      <w:bookmarkStart w:id="539" w:name="_Toc256000135"/>
      <w:r>
        <w:t>8.3.8 Hedge Fund Custody Arrangement</w:t>
      </w:r>
      <w:bookmarkEnd w:id="539"/>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When KCD acts as a general partner of a limited partnership or managing member of a limited liability company (or has a comparable position) that is a hedge fund, it will be deemed to have custody of that hedge fund's assets. In such cases, KCD will elect either to follow the (i) Audited Financial Statements Approach; or (ii) the Account Statements/Internal Control Report/Surprise Examination Approach to satisfy the custody requirements of Rule 206(4)-2.</w:t>
      </w:r>
    </w:p>
    <w:p>
      <w:bookmarkEnd w:id="538"/>
      <w:bookmarkStart w:id="540" w:name="Sec_Chp_07212721336499101_06101610225426"/>
    </w:p>
    <w:p>
      <w:pPr>
        <w:pStyle w:val="Heading4"/>
      </w:pPr>
      <w:r>
        <w:t>8.3.8.1 Audited Financial Statements Approach</w:t>
      </w:r>
    </w:p>
    <w:p/>
    <w:p>
      <w:pPr>
        <w:rPr>
          <w:rFonts w:eastAsia="Arial" w:cs="Arial"/>
          <w:sz w:val="16"/>
          <w:szCs w:val="16"/>
        </w:rPr>
      </w:pPr>
      <w:r>
        <w:rPr>
          <w:rFonts w:eastAsia="Arial" w:cs="Arial"/>
          <w:sz w:val="16"/>
          <w:szCs w:val="16"/>
        </w:rPr>
        <w:t>[Investment Advisers Act of 1940 Rule 206(4)-2 and 206(4)-2(b)(4)]</w:t>
      </w:r>
    </w:p>
    <w:p/>
    <w:p>
      <w:pPr>
        <w:pStyle w:val="normal0"/>
        <w:spacing w:after="200"/>
        <w:rPr>
          <w:rFonts w:eastAsia="Arial" w:cs="Arial"/>
          <w:sz w:val="20"/>
          <w:szCs w:val="20"/>
        </w:rPr>
      </w:pPr>
      <w:r>
        <w:rPr>
          <w:rFonts w:eastAsia="Arial" w:cs="Arial"/>
          <w:sz w:val="20"/>
          <w:szCs w:val="20"/>
        </w:rPr>
        <w:t>The Chief Compliance Officer will arrange for:</w:t>
      </w:r>
    </w:p>
    <w:p>
      <w:pPr>
        <w:numPr>
          <w:ilvl w:val="0"/>
          <w:numId w:val="466"/>
        </w:numPr>
        <w:spacing w:before="200"/>
        <w:ind w:left="720" w:hanging="192"/>
        <w:jc w:val="left"/>
        <w:rPr>
          <w:rFonts w:eastAsia="Arial" w:cs="Arial"/>
          <w:sz w:val="20"/>
          <w:szCs w:val="20"/>
        </w:rPr>
      </w:pPr>
      <w:r>
        <w:rPr>
          <w:rFonts w:eastAsia="Arial" w:cs="Arial"/>
          <w:sz w:val="20"/>
          <w:szCs w:val="20"/>
        </w:rPr>
        <w:t>each hedge fund client to have its financial statements audited in accordance with U.S. GAAP and U.S. GAAS at least annually by an Independent Public Accountant (as defined herein) registered with and subject to regular inspection by the PCAOB within 120 days of the hedge fund client's fiscal year-end (if it is a fund-of-funds, the deadline is 180 days as explained herein);</w:t>
      </w:r>
    </w:p>
    <w:p>
      <w:pPr>
        <w:numPr>
          <w:ilvl w:val="0"/>
          <w:numId w:val="466"/>
        </w:numPr>
        <w:ind w:left="720" w:hanging="192"/>
        <w:jc w:val="left"/>
        <w:rPr>
          <w:rFonts w:eastAsia="Arial" w:cs="Arial"/>
          <w:sz w:val="20"/>
          <w:szCs w:val="20"/>
        </w:rPr>
      </w:pPr>
      <w:r>
        <w:rPr>
          <w:rFonts w:eastAsia="Arial" w:cs="Arial"/>
          <w:sz w:val="20"/>
          <w:szCs w:val="20"/>
        </w:rPr>
        <w:t>the dissemination of the audited financial statements within 10 business days of receipt of such audited financial statements to each investor in each hedge fund client (merely an offer to deliver the financial statements to each investor is not sufficient); and</w:t>
      </w:r>
    </w:p>
    <w:p>
      <w:pPr>
        <w:numPr>
          <w:ilvl w:val="0"/>
          <w:numId w:val="466"/>
        </w:numPr>
        <w:spacing w:after="200"/>
        <w:ind w:left="720" w:hanging="192"/>
        <w:jc w:val="left"/>
        <w:rPr>
          <w:rFonts w:eastAsia="Arial" w:cs="Arial"/>
          <w:sz w:val="20"/>
          <w:szCs w:val="20"/>
        </w:rPr>
      </w:pPr>
      <w:r>
        <w:rPr>
          <w:rFonts w:eastAsia="Arial" w:cs="Arial"/>
          <w:sz w:val="20"/>
          <w:szCs w:val="20"/>
        </w:rPr>
        <w:t>the preparation of a liquidation audit of the financial statements prepared in accordance with U.S. GAAP and U.S. GAAS of any hedge fund client that is liquidated during its fiscal year (other than liquidation on the last day of its fiscal year) and the prompt distribution of such audited financial statements to each investor in the liquidated hedge fund client.</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In the National Exam Program Risk Alert entitled "Significant Deficiencies Involving Adviser Custody and Safety of Client Assets," dated March 4, 2013, the SEC staff stated that audited financial statements would not be deemed to be prepared in accordance with GAAP if:</w:t>
            </w:r>
          </w:p>
          <w:p>
            <w:pPr>
              <w:numPr>
                <w:ilvl w:val="0"/>
                <w:numId w:val="467"/>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 such financial statements, organizational expenses were improperly amortized rather than expensed as incurred;</w:t>
            </w:r>
          </w:p>
          <w:p>
            <w:pPr>
              <w:numPr>
                <w:ilvl w:val="0"/>
                <w:numId w:val="467"/>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the audit of such financial statements resulted in a qualified audit opinion;</w:t>
            </w:r>
          </w:p>
          <w:p>
            <w:pPr>
              <w:numPr>
                <w:ilvl w:val="0"/>
                <w:numId w:val="467"/>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such financial statements were prepared on a federal income tax basis; and</w:t>
            </w:r>
          </w:p>
          <w:p>
            <w:pPr>
              <w:numPr>
                <w:ilvl w:val="0"/>
                <w:numId w:val="467"/>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the adviser could not substantiate fair valuations and the auditor could not issue an unqualified opinion on the financial statements.</w:t>
            </w:r>
          </w:p>
          <w:p>
            <w:pPr>
              <w:rPr>
                <w:rFonts w:eastAsia="Arial" w:cs="Arial"/>
                <w:b w:val="0"/>
                <w:bCs w:val="0"/>
                <w:i w:val="0"/>
                <w:iCs w:val="0"/>
                <w:smallCaps w:val="0"/>
                <w:color w:val="000000"/>
                <w:sz w:val="24"/>
              </w:rPr>
            </w:pP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Hedge funds organized outside the U.S. or that have a general partner with its principal place of business outside the U.S. may have their financial statements prepared in accordance with accounting standards other than U.S. GAAP, provided they contain information substantially similar to statements prepared in accordance with U.S. GAAP. Any material differences with U.S. GAAP must be reconciled. The required audit of those financial statements must be by an independent public accountant and meet with requirements of US GAAS.</w:t>
      </w:r>
    </w:p>
    <w:p>
      <w:pPr>
        <w:pStyle w:val="normal0"/>
        <w:spacing w:before="200" w:after="200"/>
        <w:rPr>
          <w:rFonts w:eastAsia="Arial" w:cs="Arial"/>
          <w:sz w:val="20"/>
          <w:szCs w:val="20"/>
        </w:rPr>
      </w:pPr>
      <w:r>
        <w:rPr>
          <w:rFonts w:eastAsia="Arial" w:cs="Arial"/>
          <w:sz w:val="20"/>
          <w:szCs w:val="20"/>
        </w:rPr>
        <w:t>In "Staff Responses to Questions About the Custody Rule" (May 20, 2010), the SEC stated that it would not recommend enforcement action for a violation of Rule 206(4)-2 against an adviser that is relying on Rule 206(4)-2(b)(4) and that reasonably believed that the pool's audited financial statements would be distributed within the 120-day deadline, but failed to have them distributed in time under certain unforeseeable circumstances.</w:t>
      </w:r>
    </w:p>
    <w:p>
      <w:bookmarkEnd w:id="540"/>
      <w:bookmarkStart w:id="541" w:name="Sec_Chp_07212721336499101_06101610225428"/>
    </w:p>
    <w:p>
      <w:pPr>
        <w:pStyle w:val="Heading4"/>
      </w:pPr>
      <w:r>
        <w:t>8.3.8.2 Account Statements/Internal Control Report/Surprise Examination Approach</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elects not to obtain audited financial statements for a hedge fund client in the manner described above, the Chief Compliance Officer will arrange for: </w:t>
      </w:r>
    </w:p>
    <w:p>
      <w:pPr>
        <w:numPr>
          <w:ilvl w:val="0"/>
          <w:numId w:val="468"/>
        </w:numPr>
        <w:spacing w:before="200"/>
        <w:ind w:left="720" w:hanging="192"/>
        <w:jc w:val="left"/>
        <w:rPr>
          <w:rFonts w:eastAsia="Arial" w:cs="Arial"/>
          <w:sz w:val="20"/>
          <w:szCs w:val="20"/>
        </w:rPr>
      </w:pPr>
      <w:r>
        <w:rPr>
          <w:rFonts w:eastAsia="Arial" w:cs="Arial"/>
          <w:sz w:val="20"/>
          <w:szCs w:val="20"/>
        </w:rPr>
        <w:t>account statements to be sent to each investor in the hedge fund in accordance with the Account Statements procedures set forth herein, and such account statements shall show the transactions and holdings of the hedge fund;</w:t>
      </w:r>
    </w:p>
    <w:p>
      <w:pPr>
        <w:numPr>
          <w:ilvl w:val="0"/>
          <w:numId w:val="468"/>
        </w:numPr>
        <w:ind w:left="720" w:hanging="192"/>
        <w:jc w:val="left"/>
        <w:rPr>
          <w:rFonts w:eastAsia="Arial" w:cs="Arial"/>
          <w:sz w:val="20"/>
          <w:szCs w:val="20"/>
        </w:rPr>
      </w:pPr>
      <w:r>
        <w:rPr>
          <w:rFonts w:eastAsia="Arial" w:cs="Arial"/>
          <w:sz w:val="20"/>
          <w:szCs w:val="20"/>
        </w:rPr>
        <w:t>a surprise examination relating to the custody of the hedge fund client assets in accordance with the Surprise Examinations procedures set forth herein; and</w:t>
      </w:r>
    </w:p>
    <w:p>
      <w:pPr>
        <w:numPr>
          <w:ilvl w:val="0"/>
          <w:numId w:val="468"/>
        </w:numPr>
        <w:spacing w:after="200"/>
        <w:ind w:left="720" w:hanging="192"/>
        <w:jc w:val="left"/>
        <w:rPr>
          <w:rFonts w:eastAsia="Arial" w:cs="Arial"/>
          <w:sz w:val="20"/>
          <w:szCs w:val="20"/>
        </w:rPr>
      </w:pPr>
      <w:r>
        <w:rPr>
          <w:rFonts w:eastAsia="Arial" w:cs="Arial"/>
          <w:sz w:val="20"/>
          <w:szCs w:val="20"/>
        </w:rPr>
        <w:t>the preparation of an Internal Control Report relating to the custody of the hedge fund client assets in accordance with the Internal Control Reports procedures set forth herein (unless the executed subscription agreements of the hedge fund investors are maintained at an unaffiliated Qualified Custodian).</w:t>
      </w:r>
    </w:p>
    <w:p>
      <w:bookmarkEnd w:id="541"/>
      <w:bookmarkStart w:id="542" w:name="Sec_Chp_07212721336499101_06101610225429"/>
    </w:p>
    <w:p>
      <w:pPr>
        <w:pStyle w:val="Heading4"/>
      </w:pPr>
      <w:r>
        <w:t>8.3.8.3 Special Purpose Vehicles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From time to time, KCD when it manages a hedge fund may form a special purpose vehicle ("SPV") that structurally is wholly-owned by the hedge fund client to facilitate the investments of the hedge fund. </w:t>
      </w:r>
    </w:p>
    <w:p>
      <w:bookmarkEnd w:id="542"/>
      <w:bookmarkStart w:id="543" w:name="Sec_Chp_07212721336499101_06101610225431"/>
    </w:p>
    <w:p>
      <w:pPr>
        <w:pStyle w:val="Heading5"/>
      </w:pPr>
      <w:r>
        <w:t>8.3.8.3.1 SPV Custody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SPVs, KCD either:</w:t>
      </w:r>
    </w:p>
    <w:p>
      <w:pPr>
        <w:numPr>
          <w:ilvl w:val="0"/>
          <w:numId w:val="469"/>
        </w:numPr>
        <w:spacing w:before="200"/>
        <w:ind w:left="720" w:hanging="192"/>
        <w:jc w:val="left"/>
        <w:rPr>
          <w:rFonts w:eastAsia="Arial" w:cs="Arial"/>
          <w:sz w:val="20"/>
          <w:szCs w:val="20"/>
        </w:rPr>
      </w:pPr>
      <w:r>
        <w:rPr>
          <w:rFonts w:eastAsia="Arial" w:cs="Arial"/>
          <w:sz w:val="20"/>
          <w:szCs w:val="20"/>
        </w:rPr>
        <w:t>Will subject such SPVs to the full procedures in this section, including obtaining audited financial statements for the SPV; or</w:t>
      </w:r>
    </w:p>
    <w:p>
      <w:pPr>
        <w:numPr>
          <w:ilvl w:val="0"/>
          <w:numId w:val="469"/>
        </w:numPr>
        <w:spacing w:after="200"/>
        <w:ind w:left="720" w:hanging="192"/>
        <w:jc w:val="left"/>
        <w:rPr>
          <w:rFonts w:eastAsia="Arial" w:cs="Arial"/>
          <w:sz w:val="20"/>
          <w:szCs w:val="20"/>
        </w:rPr>
      </w:pPr>
      <w:r>
        <w:rPr>
          <w:rFonts w:eastAsia="Arial" w:cs="Arial"/>
          <w:sz w:val="20"/>
          <w:szCs w:val="20"/>
        </w:rPr>
        <w:t xml:space="preserve">Deem the assets of the SPVs to be assets of the applicable hedge fund clients and subject such assets to the procedures set forth herein. </w:t>
      </w:r>
    </w:p>
    <w:p>
      <w:bookmarkEnd w:id="543"/>
      <w:bookmarkStart w:id="544" w:name="Sec_Chp_07212721336499101_06101610225432"/>
    </w:p>
    <w:p>
      <w:pPr>
        <w:pStyle w:val="Heading5"/>
      </w:pPr>
      <w:r>
        <w:t>8.3.8.3.2 SPV Underlying Investors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required to send audited financial statements or account statements to investors, the Chief Compliance Officer shall arrange for such statements to be sent to the underlying investors of a hedge fund client's SPV even if such investors do not directly invest in the hedge fund client.</w:t>
      </w:r>
    </w:p>
    <w:p>
      <w:bookmarkEnd w:id="544"/>
      <w:bookmarkStart w:id="545" w:name="Sec_Chp_07212721336499101_06101610225434"/>
    </w:p>
    <w:p>
      <w:pPr>
        <w:pStyle w:val="Heading4"/>
      </w:pPr>
      <w:r>
        <w:t>8.3.8.4 Fund of Funds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 hedge fund client ("Upper-Tier Hedge Fund") managed by KCD invests its assets in unaffiliated lower-tier hedge funds ("Lower-Tier Hedge Funds"), KCD may deliver the Upper-Tier Hedge Fund's financial statements to investors within 180 days of the Upper-Tier Hedge Fund's fiscal year-end.</w:t>
      </w:r>
    </w:p>
    <w:p>
      <w:pPr>
        <w:pStyle w:val="normal0"/>
        <w:spacing w:before="200" w:after="200"/>
        <w:rPr>
          <w:rFonts w:eastAsia="Arial" w:cs="Arial"/>
          <w:sz w:val="20"/>
          <w:szCs w:val="20"/>
        </w:rPr>
      </w:pPr>
      <w:r>
        <w:rPr>
          <w:rFonts w:eastAsia="Arial" w:cs="Arial"/>
          <w:sz w:val="20"/>
          <w:szCs w:val="20"/>
        </w:rPr>
        <w:t>For purposes of this requirement, an "Upper-Tier Hedge Fund" is a hedge fund that invests at least 10% of its total assets in other hedge funds that are not advised by a "related person" of the Upper-Tier Hedge Fund, KCD or the Upper-Tier Fund's general partner. For purposes of these procedures, a "related person" of an adviser includes officers, partners, directors, most employees and anyone controlled by, controlling or under common control with KCD.</w:t>
      </w:r>
    </w:p>
    <w:p>
      <w:bookmarkEnd w:id="545"/>
    </w:p>
    <w:p>
      <w:pPr>
        <w:pStyle w:val="Heading3"/>
      </w:pPr>
      <w:bookmarkStart w:id="546" w:name="_Toc256000136"/>
      <w:r>
        <w:t>8.3.9 Mutual Fund Shares Arrangements</w:t>
      </w:r>
      <w:bookmarkEnd w:id="546"/>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maintains client assets that are mutual fund shares at the transfer agent of the mutual fund issuer of such shares. If such transfer agent is a Related Person of KCD, KCD must undergo a Surprise Examination and arrange for such transfer agent to obtain an Internal Control Report.</w:t>
      </w:r>
    </w:p>
    <w:p/>
    <w:p>
      <w:pPr>
        <w:pStyle w:val="Heading3"/>
      </w:pPr>
      <w:bookmarkStart w:id="547" w:name="_Toc256000137"/>
      <w:r>
        <w:t>8.3.10 Privately Offered Securities Custody Procedures</w:t>
      </w:r>
      <w:bookmarkEnd w:id="547"/>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Privately offered securities are typically issued by hedge funds or other private issuers in offerings that are not listed on an exchange. Because such securities typically are uncertificated and are not maintained in a book entry system such as the Depository Trust Company or DTC, they raise unique custody issues from the perspective of the SEC. </w:t>
      </w:r>
    </w:p>
    <w:p>
      <w:pPr>
        <w:pStyle w:val="normal0"/>
        <w:spacing w:before="200" w:after="200"/>
        <w:rPr>
          <w:rFonts w:eastAsia="Arial" w:cs="Arial"/>
          <w:sz w:val="20"/>
          <w:szCs w:val="20"/>
        </w:rPr>
      </w:pPr>
      <w:r>
        <w:rPr>
          <w:rFonts w:eastAsia="Arial" w:cs="Arial"/>
          <w:b/>
          <w:bCs/>
          <w:sz w:val="20"/>
          <w:szCs w:val="20"/>
        </w:rPr>
        <w:t>1. Definition of "Privately Offered Securities"</w:t>
      </w:r>
    </w:p>
    <w:p>
      <w:pPr>
        <w:pStyle w:val="normal0"/>
        <w:spacing w:before="200" w:after="200"/>
        <w:rPr>
          <w:rFonts w:eastAsia="Arial" w:cs="Arial"/>
          <w:sz w:val="20"/>
          <w:szCs w:val="20"/>
        </w:rPr>
      </w:pPr>
      <w:r>
        <w:rPr>
          <w:rFonts w:eastAsia="Arial" w:cs="Arial"/>
          <w:sz w:val="20"/>
          <w:szCs w:val="20"/>
        </w:rPr>
        <w:t>For purposes of these procedures, "privately offered securities" means securities:</w:t>
      </w:r>
    </w:p>
    <w:p>
      <w:pPr>
        <w:numPr>
          <w:ilvl w:val="0"/>
          <w:numId w:val="470"/>
        </w:numPr>
        <w:spacing w:before="200"/>
        <w:ind w:left="720" w:hanging="192"/>
        <w:jc w:val="left"/>
        <w:rPr>
          <w:rFonts w:eastAsia="Arial" w:cs="Arial"/>
          <w:sz w:val="20"/>
          <w:szCs w:val="20"/>
        </w:rPr>
      </w:pPr>
      <w:r>
        <w:rPr>
          <w:rFonts w:eastAsia="Arial" w:cs="Arial"/>
          <w:sz w:val="20"/>
          <w:szCs w:val="20"/>
        </w:rPr>
        <w:t>Acquired from the issuer in a transaction or chain of transactions not involving any public offering;</w:t>
      </w:r>
    </w:p>
    <w:p>
      <w:pPr>
        <w:numPr>
          <w:ilvl w:val="0"/>
          <w:numId w:val="470"/>
        </w:numPr>
        <w:ind w:left="720" w:hanging="192"/>
        <w:jc w:val="left"/>
        <w:rPr>
          <w:rFonts w:eastAsia="Arial" w:cs="Arial"/>
          <w:sz w:val="20"/>
          <w:szCs w:val="20"/>
        </w:rPr>
      </w:pPr>
      <w:r>
        <w:rPr>
          <w:rFonts w:eastAsia="Arial" w:cs="Arial"/>
          <w:sz w:val="20"/>
          <w:szCs w:val="20"/>
        </w:rPr>
        <w:t>Uncertificated, and ownership thereof is recorded only on the books of the issuer or its transfer agent in the name of the client, or certificated provided certain conditions discussed herein are satisfied; and</w:t>
      </w:r>
    </w:p>
    <w:p>
      <w:pPr>
        <w:numPr>
          <w:ilvl w:val="0"/>
          <w:numId w:val="470"/>
        </w:numPr>
        <w:spacing w:after="200"/>
        <w:ind w:left="720" w:hanging="192"/>
        <w:jc w:val="left"/>
        <w:rPr>
          <w:rFonts w:eastAsia="Arial" w:cs="Arial"/>
          <w:sz w:val="20"/>
          <w:szCs w:val="20"/>
        </w:rPr>
      </w:pPr>
      <w:r>
        <w:rPr>
          <w:rFonts w:eastAsia="Arial" w:cs="Arial"/>
          <w:sz w:val="20"/>
          <w:szCs w:val="20"/>
        </w:rPr>
        <w:t>Transferable only with prior written consent of the issuer or holders of the outstanding securities of the issuer.</w:t>
      </w:r>
    </w:p>
    <w:p>
      <w:pPr>
        <w:pStyle w:val="normal0"/>
        <w:spacing w:before="200" w:after="200"/>
        <w:rPr>
          <w:rFonts w:eastAsia="Arial" w:cs="Arial"/>
          <w:sz w:val="20"/>
          <w:szCs w:val="20"/>
        </w:rPr>
      </w:pPr>
      <w:r>
        <w:rPr>
          <w:rFonts w:eastAsia="Arial" w:cs="Arial"/>
          <w:b/>
          <w:bCs/>
          <w:sz w:val="20"/>
          <w:szCs w:val="20"/>
        </w:rPr>
        <w:t>2. Privately Offered Securities Custody Procedures - Certificated and Uncertificated Securities</w:t>
      </w:r>
    </w:p>
    <w:p>
      <w:pPr>
        <w:pStyle w:val="normal0"/>
        <w:spacing w:before="200" w:after="200"/>
        <w:rPr>
          <w:rFonts w:eastAsia="Arial" w:cs="Arial"/>
          <w:sz w:val="20"/>
          <w:szCs w:val="20"/>
        </w:rPr>
      </w:pPr>
      <w:r>
        <w:rPr>
          <w:rFonts w:eastAsia="Arial" w:cs="Arial"/>
          <w:sz w:val="20"/>
          <w:szCs w:val="20"/>
        </w:rPr>
        <w:t>KCD maintains client assets that are privately offered certificated and uncertificated securities of issuers at:</w:t>
      </w:r>
    </w:p>
    <w:p>
      <w:pPr>
        <w:numPr>
          <w:ilvl w:val="0"/>
          <w:numId w:val="471"/>
        </w:numPr>
        <w:spacing w:before="200"/>
        <w:ind w:left="720" w:hanging="192"/>
        <w:jc w:val="left"/>
        <w:rPr>
          <w:rFonts w:eastAsia="Arial" w:cs="Arial"/>
          <w:sz w:val="20"/>
          <w:szCs w:val="20"/>
        </w:rPr>
      </w:pPr>
      <w:r>
        <w:rPr>
          <w:rFonts w:eastAsia="Arial" w:cs="Arial"/>
          <w:sz w:val="20"/>
          <w:szCs w:val="20"/>
        </w:rPr>
        <w:t>A Qualified Custodian (in such case, the privately offered securities will be maintained at the Qualified Custodian by placing the executed subscription agreements with the Qualified Custodian); or</w:t>
      </w:r>
    </w:p>
    <w:p>
      <w:pPr>
        <w:numPr>
          <w:ilvl w:val="0"/>
          <w:numId w:val="471"/>
        </w:numPr>
        <w:spacing w:after="200"/>
        <w:ind w:left="720" w:hanging="192"/>
        <w:jc w:val="left"/>
        <w:rPr>
          <w:rFonts w:eastAsia="Arial" w:cs="Arial"/>
          <w:sz w:val="20"/>
          <w:szCs w:val="20"/>
        </w:rPr>
      </w:pPr>
      <w:r>
        <w:rPr>
          <w:rFonts w:eastAsia="Arial" w:cs="Arial"/>
          <w:sz w:val="20"/>
          <w:szCs w:val="20"/>
        </w:rPr>
        <w:t>The issuer of such privately offered securities provided such issuer is a hedge fund that has its financial statements audited and the audited financial statements are distributed to its investors in a manner that complies with Rule 206(4)-2(b)(4).</w:t>
      </w:r>
    </w:p>
    <w:p>
      <w:pPr>
        <w:pStyle w:val="normal0"/>
        <w:spacing w:before="200" w:after="200"/>
        <w:rPr>
          <w:rFonts w:eastAsia="Arial" w:cs="Arial"/>
          <w:sz w:val="20"/>
          <w:szCs w:val="20"/>
        </w:rPr>
      </w:pPr>
      <w:r>
        <w:rPr>
          <w:rFonts w:eastAsia="Arial" w:cs="Arial"/>
          <w:b/>
          <w:bCs/>
          <w:sz w:val="20"/>
          <w:szCs w:val="20"/>
        </w:rPr>
        <w:t>3. Privately Offered Securities Custody Procedures - Certificated Securities Only</w:t>
      </w:r>
    </w:p>
    <w:p>
      <w:pPr>
        <w:pStyle w:val="normal0"/>
        <w:spacing w:before="200" w:after="200"/>
        <w:rPr>
          <w:rFonts w:eastAsia="Arial" w:cs="Arial"/>
          <w:sz w:val="20"/>
          <w:szCs w:val="20"/>
        </w:rPr>
      </w:pPr>
      <w:r>
        <w:rPr>
          <w:rFonts w:eastAsia="Arial" w:cs="Arial"/>
          <w:sz w:val="20"/>
          <w:szCs w:val="20"/>
        </w:rPr>
        <w:t>If KCD comes into possession of privately offered certificated securities, it will maintain or custody them in the following manner:</w:t>
      </w:r>
    </w:p>
    <w:p>
      <w:pPr>
        <w:numPr>
          <w:ilvl w:val="0"/>
          <w:numId w:val="472"/>
        </w:numPr>
        <w:spacing w:before="200"/>
        <w:ind w:left="720" w:hanging="267"/>
        <w:jc w:val="left"/>
        <w:rPr>
          <w:rFonts w:eastAsia="Arial" w:cs="Arial"/>
          <w:sz w:val="20"/>
          <w:szCs w:val="20"/>
        </w:rPr>
      </w:pPr>
      <w:r>
        <w:rPr>
          <w:rFonts w:eastAsia="Arial" w:cs="Arial"/>
          <w:sz w:val="20"/>
          <w:szCs w:val="20"/>
        </w:rPr>
        <w:t>KCD will verify that the client is a pooled investment vehicle (</w:t>
      </w:r>
      <w:r>
        <w:rPr>
          <w:rFonts w:eastAsia="Arial" w:cs="Arial"/>
          <w:i/>
          <w:iCs/>
          <w:sz w:val="20"/>
          <w:szCs w:val="20"/>
        </w:rPr>
        <w:t>i.e.,</w:t>
      </w:r>
      <w:r>
        <w:rPr>
          <w:rFonts w:eastAsia="Arial" w:cs="Arial"/>
          <w:sz w:val="20"/>
          <w:szCs w:val="20"/>
        </w:rPr>
        <w:t xml:space="preserve"> hedge fund) that is subject to a financial statement audit in accordance with paragraph (b)(4) of Rule 206(4)-2;</w:t>
      </w:r>
    </w:p>
    <w:p>
      <w:pPr>
        <w:numPr>
          <w:ilvl w:val="0"/>
          <w:numId w:val="472"/>
        </w:numPr>
        <w:ind w:left="720" w:hanging="267"/>
        <w:jc w:val="left"/>
        <w:rPr>
          <w:rFonts w:eastAsia="Arial" w:cs="Arial"/>
          <w:sz w:val="20"/>
          <w:szCs w:val="20"/>
        </w:rPr>
      </w:pPr>
      <w:r>
        <w:rPr>
          <w:rFonts w:eastAsia="Arial" w:cs="Arial"/>
          <w:sz w:val="20"/>
          <w:szCs w:val="20"/>
        </w:rPr>
        <w:t>KCD will verify that the private stock certificate can only be used to effect a transfer or to otherwise facilitate a change in beneficial ownership of the security with the prior consent of the issuer or holders of the outstanding securities of the issuer;</w:t>
      </w:r>
    </w:p>
    <w:p>
      <w:pPr>
        <w:numPr>
          <w:ilvl w:val="0"/>
          <w:numId w:val="472"/>
        </w:numPr>
        <w:ind w:left="720" w:hanging="267"/>
        <w:jc w:val="left"/>
        <w:rPr>
          <w:rFonts w:eastAsia="Arial" w:cs="Arial"/>
          <w:sz w:val="20"/>
          <w:szCs w:val="20"/>
        </w:rPr>
      </w:pPr>
      <w:r>
        <w:rPr>
          <w:rFonts w:eastAsia="Arial" w:cs="Arial"/>
          <w:sz w:val="20"/>
          <w:szCs w:val="20"/>
        </w:rPr>
        <w:t>KCD will confirm that the ownership of the security is recorded on the books of the issuer or its transfer agent in the name of the client;</w:t>
      </w:r>
    </w:p>
    <w:p>
      <w:pPr>
        <w:numPr>
          <w:ilvl w:val="0"/>
          <w:numId w:val="472"/>
        </w:numPr>
        <w:ind w:left="720" w:hanging="267"/>
        <w:jc w:val="left"/>
        <w:rPr>
          <w:rFonts w:eastAsia="Arial" w:cs="Arial"/>
          <w:sz w:val="20"/>
          <w:szCs w:val="20"/>
        </w:rPr>
      </w:pPr>
      <w:r>
        <w:rPr>
          <w:rFonts w:eastAsia="Arial" w:cs="Arial"/>
          <w:sz w:val="20"/>
          <w:szCs w:val="20"/>
        </w:rPr>
        <w:t>The private stock certificate will contain a legend restricting transfer; and</w:t>
      </w:r>
    </w:p>
    <w:p>
      <w:pPr>
        <w:numPr>
          <w:ilvl w:val="0"/>
          <w:numId w:val="472"/>
        </w:numPr>
        <w:spacing w:after="200"/>
        <w:ind w:left="720" w:hanging="267"/>
        <w:jc w:val="left"/>
        <w:rPr>
          <w:rFonts w:eastAsia="Arial" w:cs="Arial"/>
          <w:sz w:val="20"/>
          <w:szCs w:val="20"/>
        </w:rPr>
      </w:pPr>
      <w:r>
        <w:rPr>
          <w:rFonts w:eastAsia="Arial" w:cs="Arial"/>
          <w:sz w:val="20"/>
          <w:szCs w:val="20"/>
        </w:rPr>
        <w:t>The private stock certificate will be appropriately safeguarded by KCD and can be replaced upon loss or destruction.</w:t>
      </w:r>
    </w:p>
    <w:p/>
    <w:p>
      <w:pPr>
        <w:pStyle w:val="Heading3"/>
      </w:pPr>
      <w:bookmarkStart w:id="548" w:name="_Toc256000138"/>
      <w:r>
        <w:t>8.3.11 Constructive Custody</w:t>
      </w:r>
      <w:bookmarkEnd w:id="548"/>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KCD is deemed to have constructive custody of client assets (even client assets held at an unaffiliated Qualified Custodian) if KCD has a power of attorney, acts in a trustee capacity or otherwise has constructive custody in some other capacity with respect to the client assets causing it to be deemed to have custody for purposes of Rule 206(4)-2. When KCD is deemed to have constructive custody of client assets, the Chief Compliance Officer will:</w:t>
      </w:r>
    </w:p>
    <w:p>
      <w:pPr>
        <w:numPr>
          <w:ilvl w:val="0"/>
          <w:numId w:val="473"/>
        </w:numPr>
        <w:spacing w:before="200"/>
        <w:ind w:left="720" w:hanging="192"/>
        <w:jc w:val="left"/>
        <w:rPr>
          <w:rFonts w:eastAsia="Arial" w:cs="Arial"/>
          <w:sz w:val="20"/>
          <w:szCs w:val="20"/>
        </w:rPr>
      </w:pPr>
      <w:r>
        <w:rPr>
          <w:rFonts w:eastAsia="Arial" w:cs="Arial"/>
          <w:sz w:val="20"/>
          <w:szCs w:val="20"/>
        </w:rPr>
        <w:t>Verify that KCD custodies such client assets with a Qualified Custodian pursuant to the Unaffiliated Qualified Custodians or Self-Custody procedures set forth herein; and</w:t>
      </w:r>
    </w:p>
    <w:p>
      <w:pPr>
        <w:numPr>
          <w:ilvl w:val="0"/>
          <w:numId w:val="473"/>
        </w:numPr>
        <w:spacing w:after="200"/>
        <w:ind w:left="720" w:hanging="192"/>
        <w:jc w:val="left"/>
        <w:rPr>
          <w:rFonts w:eastAsia="Arial" w:cs="Arial"/>
          <w:sz w:val="20"/>
          <w:szCs w:val="20"/>
        </w:rPr>
      </w:pPr>
      <w:r>
        <w:rPr>
          <w:rFonts w:eastAsia="Arial" w:cs="Arial"/>
          <w:sz w:val="20"/>
          <w:szCs w:val="20"/>
        </w:rPr>
        <w:t>Arrange for a Surprise Examination of KCD with respect to the client assets held in constructive custody in accordance with the Surprise Examinations procedures set forth herein, with the exception that the independent public accountant retained to perform the Surprise Examination need not be registered with or subject to regular inspection by the PCAOB.</w:t>
      </w:r>
    </w:p>
    <w:p/>
    <w:p>
      <w:pPr>
        <w:pStyle w:val="Heading3"/>
      </w:pPr>
      <w:bookmarkStart w:id="549" w:name="_Toc256000139"/>
      <w:r>
        <w:t>8.3.12 Inadvertent Receipt of and Temporary Custody of Client Assets</w:t>
      </w:r>
      <w:bookmarkEnd w:id="549"/>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may have temporary custody of client assets. The following temporary custody scenarios were analyzed by the SEC staff ("SEC Temporary Custody Scenarios") in Investment Adviser Association (pub. Avail. Sept. 20, 2007):</w:t>
      </w:r>
    </w:p>
    <w:p>
      <w:pPr>
        <w:numPr>
          <w:ilvl w:val="0"/>
          <w:numId w:val="474"/>
        </w:numPr>
        <w:spacing w:before="200"/>
        <w:ind w:left="720" w:hanging="192"/>
        <w:jc w:val="left"/>
        <w:rPr>
          <w:rFonts w:eastAsia="Arial" w:cs="Arial"/>
          <w:sz w:val="20"/>
          <w:szCs w:val="20"/>
        </w:rPr>
      </w:pPr>
      <w:r>
        <w:rPr>
          <w:rFonts w:eastAsia="Arial" w:cs="Arial"/>
          <w:sz w:val="20"/>
          <w:szCs w:val="20"/>
        </w:rPr>
        <w:t xml:space="preserve">an adviser provides administrative services to its clients in connection with tax filings made with the Internal Revenue Service, state and other governmental taxing authorities (together, "Tax Authorities"); those services include completing tax forms and filing them with the Tax Authorities. The Tax Authorities sometimes send client tax refunds to the adviser's address; </w:t>
      </w:r>
    </w:p>
    <w:p>
      <w:pPr>
        <w:numPr>
          <w:ilvl w:val="0"/>
          <w:numId w:val="474"/>
        </w:numPr>
        <w:ind w:left="720" w:hanging="192"/>
        <w:jc w:val="left"/>
        <w:rPr>
          <w:rFonts w:eastAsia="Arial" w:cs="Arial"/>
          <w:sz w:val="20"/>
          <w:szCs w:val="20"/>
        </w:rPr>
      </w:pPr>
      <w:r>
        <w:rPr>
          <w:rFonts w:eastAsia="Arial" w:cs="Arial"/>
          <w:sz w:val="20"/>
          <w:szCs w:val="20"/>
        </w:rPr>
        <w:t xml:space="preserve">an adviser files proofs of claim for their clients and complete other documentation related to class action lawsuits and other legal actions. Administrators of funds established to distribute the settlement proceeds of these actions sometime send client settlement assets to the advisers; and </w:t>
      </w:r>
    </w:p>
    <w:p>
      <w:pPr>
        <w:numPr>
          <w:ilvl w:val="0"/>
          <w:numId w:val="474"/>
        </w:numPr>
        <w:spacing w:after="200"/>
        <w:ind w:left="720" w:hanging="192"/>
        <w:jc w:val="left"/>
        <w:rPr>
          <w:rFonts w:eastAsia="Arial" w:cs="Arial"/>
          <w:sz w:val="20"/>
          <w:szCs w:val="20"/>
        </w:rPr>
      </w:pPr>
      <w:r>
        <w:rPr>
          <w:rFonts w:eastAsia="Arial" w:cs="Arial"/>
          <w:sz w:val="20"/>
          <w:szCs w:val="20"/>
        </w:rPr>
        <w:t xml:space="preserve">an adviser receives stock certificates or dividend checks in the name of its clients. Advisers also may receive stock certificates (or evidence of new debt) in a class action lawsuit involving bankruptcy where shares are issued in a newly organized entity, or as a result of business reorganization. </w:t>
      </w:r>
    </w:p>
    <w:p>
      <w:pPr>
        <w:pStyle w:val="normal0"/>
        <w:spacing w:before="200" w:after="200"/>
        <w:rPr>
          <w:rFonts w:eastAsia="Arial" w:cs="Arial"/>
          <w:sz w:val="20"/>
          <w:szCs w:val="20"/>
        </w:rPr>
      </w:pPr>
      <w:r>
        <w:rPr>
          <w:rFonts w:eastAsia="Arial" w:cs="Arial"/>
          <w:sz w:val="20"/>
          <w:szCs w:val="20"/>
        </w:rPr>
        <w:t>If KCD receives client assets in an SEC Temporary Custody Scenario, the Chief Compliance Officer will:</w:t>
      </w:r>
    </w:p>
    <w:p>
      <w:pPr>
        <w:numPr>
          <w:ilvl w:val="0"/>
          <w:numId w:val="475"/>
        </w:numPr>
        <w:spacing w:before="200"/>
        <w:ind w:left="720" w:hanging="192"/>
        <w:jc w:val="left"/>
        <w:rPr>
          <w:rFonts w:eastAsia="Arial" w:cs="Arial"/>
          <w:sz w:val="20"/>
          <w:szCs w:val="20"/>
        </w:rPr>
      </w:pPr>
      <w:r>
        <w:rPr>
          <w:rFonts w:eastAsia="Arial" w:cs="Arial"/>
          <w:sz w:val="20"/>
          <w:szCs w:val="20"/>
        </w:rPr>
        <w:t>promptly identify client assets that it inadvertently receives;</w:t>
      </w:r>
    </w:p>
    <w:p>
      <w:pPr>
        <w:numPr>
          <w:ilvl w:val="0"/>
          <w:numId w:val="475"/>
        </w:numPr>
        <w:ind w:left="720" w:hanging="192"/>
        <w:jc w:val="left"/>
        <w:rPr>
          <w:rFonts w:eastAsia="Arial" w:cs="Arial"/>
          <w:sz w:val="20"/>
          <w:szCs w:val="20"/>
        </w:rPr>
      </w:pPr>
      <w:r>
        <w:rPr>
          <w:rFonts w:eastAsia="Arial" w:cs="Arial"/>
          <w:sz w:val="20"/>
          <w:szCs w:val="20"/>
        </w:rPr>
        <w:t xml:space="preserve">promptly identify the client (or former client) to whom such client assets are attributable; </w:t>
      </w:r>
    </w:p>
    <w:p>
      <w:pPr>
        <w:numPr>
          <w:ilvl w:val="0"/>
          <w:numId w:val="475"/>
        </w:numPr>
        <w:ind w:left="720" w:hanging="192"/>
        <w:jc w:val="left"/>
        <w:rPr>
          <w:rFonts w:eastAsia="Arial" w:cs="Arial"/>
          <w:sz w:val="20"/>
          <w:szCs w:val="20"/>
        </w:rPr>
      </w:pPr>
      <w:r>
        <w:rPr>
          <w:rFonts w:eastAsia="Arial" w:cs="Arial"/>
          <w:sz w:val="20"/>
          <w:szCs w:val="20"/>
        </w:rPr>
        <w:t>promptly forward client assets to its client (or former client) or a qualified custodian, but in no event later than five business days following the adviser's receipt of such assets;</w:t>
      </w:r>
    </w:p>
    <w:p>
      <w:pPr>
        <w:numPr>
          <w:ilvl w:val="0"/>
          <w:numId w:val="475"/>
        </w:numPr>
        <w:ind w:left="720" w:hanging="192"/>
        <w:jc w:val="left"/>
        <w:rPr>
          <w:rFonts w:eastAsia="Arial" w:cs="Arial"/>
          <w:sz w:val="20"/>
          <w:szCs w:val="20"/>
        </w:rPr>
      </w:pPr>
      <w:r>
        <w:rPr>
          <w:rFonts w:eastAsia="Arial" w:cs="Arial"/>
          <w:sz w:val="20"/>
          <w:szCs w:val="20"/>
        </w:rPr>
        <w:t>promptly return to the appropriate third party any inadvertently received client assets that the adviser does not forward to its client (or former client) or a qualified custodian, but in no event later than five business days following the adviser's receipt of such assets; and</w:t>
      </w:r>
    </w:p>
    <w:p>
      <w:pPr>
        <w:numPr>
          <w:ilvl w:val="0"/>
          <w:numId w:val="475"/>
        </w:numPr>
        <w:spacing w:after="200"/>
        <w:ind w:left="720" w:hanging="192"/>
        <w:jc w:val="left"/>
        <w:rPr>
          <w:rFonts w:eastAsia="Arial" w:cs="Arial"/>
          <w:sz w:val="20"/>
          <w:szCs w:val="20"/>
        </w:rPr>
      </w:pPr>
      <w:r>
        <w:rPr>
          <w:rFonts w:eastAsia="Arial" w:cs="Arial"/>
          <w:sz w:val="20"/>
          <w:szCs w:val="20"/>
        </w:rPr>
        <w:t xml:space="preserve">maintain and preserve appropriate records of all client assets inadvertently received by it, including a written explanation of whether (and, if so, when) the client assets were forwarded to its client (or former client) or a qualified custodian, or returned to third parties. </w:t>
      </w:r>
    </w:p>
    <w:p>
      <w:pPr>
        <w:pStyle w:val="normal0"/>
        <w:spacing w:before="200" w:after="200"/>
        <w:rPr>
          <w:rFonts w:eastAsia="Arial" w:cs="Arial"/>
          <w:sz w:val="20"/>
          <w:szCs w:val="20"/>
        </w:rPr>
      </w:pPr>
      <w:r>
        <w:rPr>
          <w:rFonts w:eastAsia="Arial" w:cs="Arial"/>
          <w:sz w:val="20"/>
          <w:szCs w:val="20"/>
        </w:rPr>
        <w:t>The preceding procedures will apply to non-SEC Temporary Custody Scenarios only if such scenarios are a rare or isolated instance and the Chief Compliance Officer, after consulting with outside counsel or other adviser, concludes that the scenario is substantially similar to an SEC Temporary Custody Scenario.</w:t>
      </w:r>
    </w:p>
    <w:p/>
    <w:p>
      <w:pPr>
        <w:pStyle w:val="Heading3"/>
      </w:pPr>
      <w:bookmarkStart w:id="550" w:name="_Toc256000140"/>
      <w:r>
        <w:t>8.3.13 Account Statements</w:t>
      </w:r>
      <w:bookmarkEnd w:id="550"/>
    </w:p>
    <w:p/>
    <w:p>
      <w:pPr>
        <w:rPr>
          <w:rFonts w:eastAsia="Arial" w:cs="Arial"/>
          <w:sz w:val="16"/>
          <w:szCs w:val="16"/>
        </w:rPr>
      </w:pPr>
    </w:p>
    <w:p>
      <w:pPr>
        <w:pStyle w:val="normal0"/>
        <w:spacing w:after="200"/>
        <w:rPr>
          <w:rFonts w:eastAsia="Arial" w:cs="Arial"/>
          <w:sz w:val="20"/>
          <w:szCs w:val="20"/>
        </w:rPr>
      </w:pPr>
      <w:r>
        <w:rPr>
          <w:rFonts w:eastAsia="Arial" w:cs="Arial"/>
          <w:sz w:val="20"/>
          <w:szCs w:val="20"/>
        </w:rPr>
        <w:t>With respect to custody, there generally are two types of account statements reflecting the securities and other assets owned by clients of investment advisers. The Qualified Custodian will create and transmit to clients the assets in the clients' accounts and activity over a specified period. Likewise, the investment adviser itself may create and transmit to its clients' account statements, especially if the client maintains his or her assets with multiple custodians.</w:t>
      </w:r>
    </w:p>
    <w:p/>
    <w:p>
      <w:pPr>
        <w:pStyle w:val="Heading4"/>
      </w:pPr>
      <w:r>
        <w:t>8.3.13.1 Transmission of Account Statements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arrange for KCD to contractually require the Qualified Custodian of client assets to send account statements, at least quarterly, directly (and not via the adviser) to each client of KCD. The account statement, at a minimum, will:</w:t>
      </w:r>
    </w:p>
    <w:p>
      <w:pPr>
        <w:numPr>
          <w:ilvl w:val="0"/>
          <w:numId w:val="476"/>
        </w:numPr>
        <w:spacing w:before="200"/>
        <w:ind w:left="720" w:hanging="192"/>
        <w:jc w:val="left"/>
        <w:rPr>
          <w:rFonts w:eastAsia="Arial" w:cs="Arial"/>
          <w:sz w:val="20"/>
          <w:szCs w:val="20"/>
        </w:rPr>
      </w:pPr>
      <w:r>
        <w:rPr>
          <w:rFonts w:eastAsia="Arial" w:cs="Arial"/>
          <w:sz w:val="20"/>
          <w:szCs w:val="20"/>
        </w:rPr>
        <w:t>identify the amount of funds and each security in the account at the end of the period; and</w:t>
      </w:r>
    </w:p>
    <w:p>
      <w:pPr>
        <w:numPr>
          <w:ilvl w:val="0"/>
          <w:numId w:val="476"/>
        </w:numPr>
        <w:spacing w:after="200"/>
        <w:ind w:left="720" w:hanging="192"/>
        <w:jc w:val="left"/>
        <w:rPr>
          <w:rFonts w:eastAsia="Arial" w:cs="Arial"/>
          <w:sz w:val="20"/>
          <w:szCs w:val="20"/>
        </w:rPr>
      </w:pPr>
      <w:r>
        <w:rPr>
          <w:rFonts w:eastAsia="Arial" w:cs="Arial"/>
          <w:sz w:val="20"/>
          <w:szCs w:val="20"/>
        </w:rPr>
        <w:t>set forth all transactions in the account during that period.</w:t>
      </w:r>
    </w:p>
    <w:p/>
    <w:p>
      <w:pPr>
        <w:pStyle w:val="Heading4"/>
      </w:pPr>
      <w:r>
        <w:t>8.3.13.2 Verification of Delivery of Account Statements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verify that the Qualified Custodian has delivered Account Statements to Firm clients by making "due inquiry" as follows:</w:t>
      </w:r>
    </w:p>
    <w:p>
      <w:pPr>
        <w:numPr>
          <w:ilvl w:val="0"/>
          <w:numId w:val="477"/>
        </w:numPr>
        <w:spacing w:before="200"/>
        <w:ind w:left="720" w:hanging="192"/>
        <w:jc w:val="left"/>
        <w:rPr>
          <w:rFonts w:eastAsia="Arial" w:cs="Arial"/>
          <w:sz w:val="20"/>
          <w:szCs w:val="20"/>
        </w:rPr>
      </w:pPr>
      <w:r>
        <w:rPr>
          <w:rFonts w:eastAsia="Arial" w:cs="Arial"/>
          <w:sz w:val="20"/>
          <w:szCs w:val="20"/>
        </w:rPr>
        <w:t>KCD will require the Qualified Custodian to transmit to KCD a copy of the account statement that was delivered to each Firm client;</w:t>
      </w:r>
    </w:p>
    <w:p>
      <w:pPr>
        <w:numPr>
          <w:ilvl w:val="0"/>
          <w:numId w:val="477"/>
        </w:numPr>
        <w:ind w:left="720" w:hanging="192"/>
        <w:jc w:val="left"/>
        <w:rPr>
          <w:rFonts w:eastAsia="Arial" w:cs="Arial"/>
          <w:sz w:val="20"/>
          <w:szCs w:val="20"/>
        </w:rPr>
      </w:pPr>
      <w:r>
        <w:rPr>
          <w:rFonts w:eastAsia="Arial" w:cs="Arial"/>
          <w:sz w:val="20"/>
          <w:szCs w:val="20"/>
        </w:rPr>
        <w:t>KCD will require the Qualified Custodian that delivers account statements electronically to Firm clients to copy KCD on such e-mail notifications sent to clients and arrange for KCD to have access to the client account statements on the Qualified Custodian's website; or</w:t>
      </w:r>
    </w:p>
    <w:p>
      <w:pPr>
        <w:numPr>
          <w:ilvl w:val="0"/>
          <w:numId w:val="477"/>
        </w:numPr>
        <w:spacing w:after="200"/>
        <w:ind w:left="720" w:hanging="192"/>
        <w:jc w:val="left"/>
        <w:rPr>
          <w:rFonts w:eastAsia="Arial" w:cs="Arial"/>
          <w:sz w:val="20"/>
          <w:szCs w:val="20"/>
        </w:rPr>
      </w:pPr>
      <w:r>
        <w:rPr>
          <w:rFonts w:eastAsia="Arial" w:cs="Arial"/>
          <w:sz w:val="20"/>
          <w:szCs w:val="20"/>
        </w:rPr>
        <w:t>Another method that constitutes the due inquiry of verification of account statement delivery.</w:t>
      </w:r>
    </w:p>
    <w:p>
      <w:pPr>
        <w:pStyle w:val="normal0"/>
        <w:spacing w:before="200" w:after="200"/>
        <w:rPr>
          <w:rFonts w:eastAsia="Arial" w:cs="Arial"/>
          <w:sz w:val="20"/>
          <w:szCs w:val="20"/>
        </w:rPr>
      </w:pPr>
      <w:r>
        <w:rPr>
          <w:rFonts w:eastAsia="Arial" w:cs="Arial"/>
          <w:sz w:val="20"/>
          <w:szCs w:val="20"/>
        </w:rPr>
        <w:t>If the account statement is delivered electronically, the Chief Compliance Officer will, or cause the Qualified Custodian to, make sure:</w:t>
      </w:r>
    </w:p>
    <w:p>
      <w:pPr>
        <w:numPr>
          <w:ilvl w:val="0"/>
          <w:numId w:val="478"/>
        </w:numPr>
        <w:spacing w:before="200"/>
        <w:ind w:left="720" w:hanging="192"/>
        <w:jc w:val="left"/>
        <w:rPr>
          <w:rFonts w:eastAsia="Arial" w:cs="Arial"/>
          <w:sz w:val="20"/>
          <w:szCs w:val="20"/>
        </w:rPr>
      </w:pPr>
      <w:r>
        <w:rPr>
          <w:rFonts w:eastAsia="Arial" w:cs="Arial"/>
          <w:sz w:val="20"/>
          <w:szCs w:val="20"/>
        </w:rPr>
        <w:t>the client has given informed consent to receiving the information electronically;</w:t>
      </w:r>
    </w:p>
    <w:p>
      <w:pPr>
        <w:numPr>
          <w:ilvl w:val="0"/>
          <w:numId w:val="478"/>
        </w:numPr>
        <w:ind w:left="720" w:hanging="192"/>
        <w:jc w:val="left"/>
        <w:rPr>
          <w:rFonts w:eastAsia="Arial" w:cs="Arial"/>
          <w:sz w:val="20"/>
          <w:szCs w:val="20"/>
        </w:rPr>
      </w:pPr>
      <w:r>
        <w:rPr>
          <w:rFonts w:eastAsia="Arial" w:cs="Arial"/>
          <w:sz w:val="20"/>
          <w:szCs w:val="20"/>
        </w:rPr>
        <w:t>the client can effectively access the electronically delivered information; and</w:t>
      </w:r>
    </w:p>
    <w:p>
      <w:pPr>
        <w:numPr>
          <w:ilvl w:val="0"/>
          <w:numId w:val="478"/>
        </w:numPr>
        <w:spacing w:after="200"/>
        <w:ind w:left="720" w:hanging="192"/>
        <w:jc w:val="left"/>
        <w:rPr>
          <w:rFonts w:eastAsia="Arial" w:cs="Arial"/>
          <w:sz w:val="20"/>
          <w:szCs w:val="20"/>
        </w:rPr>
      </w:pPr>
      <w:r>
        <w:rPr>
          <w:rFonts w:eastAsia="Arial" w:cs="Arial"/>
          <w:sz w:val="20"/>
          <w:szCs w:val="20"/>
        </w:rPr>
        <w:t>there is evidence that the delivery was received, such as an email return receipt.</w:t>
      </w:r>
    </w:p>
    <w:p/>
    <w:p>
      <w:pPr>
        <w:pStyle w:val="Heading4"/>
      </w:pPr>
      <w:r>
        <w:t>8.3.13.3 Account Statements Transmitted by the Firm</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transmits the Firm's own account statement to its clients, it shall:</w:t>
      </w:r>
    </w:p>
    <w:p>
      <w:pPr>
        <w:numPr>
          <w:ilvl w:val="0"/>
          <w:numId w:val="479"/>
        </w:numPr>
        <w:spacing w:before="200"/>
        <w:ind w:left="720" w:hanging="192"/>
        <w:jc w:val="left"/>
        <w:rPr>
          <w:rFonts w:eastAsia="Arial" w:cs="Arial"/>
          <w:sz w:val="20"/>
          <w:szCs w:val="20"/>
        </w:rPr>
      </w:pPr>
      <w:r>
        <w:rPr>
          <w:rFonts w:eastAsia="Arial" w:cs="Arial"/>
          <w:sz w:val="20"/>
          <w:szCs w:val="20"/>
        </w:rPr>
        <w:t>Require the Qualified Custodian to continue to transmit Qualified Custodian account statements to clients; and</w:t>
      </w:r>
    </w:p>
    <w:p>
      <w:pPr>
        <w:numPr>
          <w:ilvl w:val="0"/>
          <w:numId w:val="479"/>
        </w:numPr>
        <w:spacing w:after="200"/>
        <w:ind w:left="720" w:hanging="192"/>
        <w:jc w:val="left"/>
        <w:rPr>
          <w:rFonts w:eastAsia="Arial" w:cs="Arial"/>
          <w:sz w:val="20"/>
          <w:szCs w:val="20"/>
        </w:rPr>
      </w:pPr>
      <w:r>
        <w:rPr>
          <w:rFonts w:eastAsia="Arial" w:cs="Arial"/>
          <w:sz w:val="20"/>
          <w:szCs w:val="20"/>
        </w:rPr>
        <w:t>Place the following legend in a prominent manner (e.g., bold and large type face) on Firm account statements transmitted to its clients:</w:t>
      </w:r>
    </w:p>
    <w:p>
      <w:pPr>
        <w:pStyle w:val="normal0"/>
        <w:spacing w:before="200" w:after="200"/>
        <w:rPr>
          <w:rFonts w:eastAsia="Arial" w:cs="Arial"/>
          <w:sz w:val="20"/>
          <w:szCs w:val="20"/>
        </w:rPr>
      </w:pPr>
      <w:r>
        <w:rPr>
          <w:rFonts w:eastAsia="Arial" w:cs="Arial"/>
          <w:sz w:val="20"/>
          <w:szCs w:val="20"/>
        </w:rPr>
        <w:t>Clients are urged to compare this account statement prepared by [Name of the Firm] with the applicable account statement sent by client's bank or broker-dealer custodian. If client notices any discrepancies between the two statements, client should promptly contact its bank or broker-dealer custodian.</w:t>
      </w:r>
    </w:p>
    <w:p/>
    <w:p>
      <w:pPr>
        <w:pStyle w:val="Heading4"/>
      </w:pPr>
      <w:r>
        <w:t>8.3.13.4 Hedge Fund Account Statements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account statement sent by KCD will be a statement showing funds and securities held by the hedge fund and transactions entered into by the hedge fund.</w:t>
      </w:r>
    </w:p>
    <w:p/>
    <w:p>
      <w:pPr>
        <w:pStyle w:val="Heading3"/>
      </w:pPr>
      <w:bookmarkStart w:id="551" w:name="_Toc256000141"/>
      <w:r>
        <w:t>8.3.14 Surprise Examinations</w:t>
      </w:r>
      <w:bookmarkEnd w:id="551"/>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requirement that an investment adviser arrange for a "surprise examination" is triggered in part by whether the adviser or a Related Person of the adviser maintains client assets.</w:t>
      </w:r>
    </w:p>
    <w:p/>
    <w:p>
      <w:pPr>
        <w:pStyle w:val="Heading4"/>
      </w:pPr>
      <w:r>
        <w:t>8.3.14.1 Surprise Examination Determination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the Chief Compliance Officer will determine whether KCD is required to arrange for a Surprise Examination. KCD shall be required to arrange for a Surprise Examination if:</w:t>
      </w:r>
    </w:p>
    <w:p>
      <w:pPr>
        <w:numPr>
          <w:ilvl w:val="0"/>
          <w:numId w:val="480"/>
        </w:numPr>
        <w:spacing w:before="200"/>
        <w:ind w:left="720" w:hanging="192"/>
        <w:jc w:val="left"/>
        <w:rPr>
          <w:rFonts w:eastAsia="Arial" w:cs="Arial"/>
          <w:sz w:val="20"/>
          <w:szCs w:val="20"/>
        </w:rPr>
      </w:pPr>
      <w:r>
        <w:rPr>
          <w:rFonts w:eastAsia="Arial" w:cs="Arial"/>
          <w:sz w:val="20"/>
          <w:szCs w:val="20"/>
        </w:rPr>
        <w:t>KCD as a Qualified Custodian has custody of client assets;</w:t>
      </w:r>
    </w:p>
    <w:p>
      <w:pPr>
        <w:numPr>
          <w:ilvl w:val="0"/>
          <w:numId w:val="480"/>
        </w:numPr>
        <w:ind w:left="720" w:hanging="192"/>
        <w:jc w:val="left"/>
        <w:rPr>
          <w:rFonts w:eastAsia="Arial" w:cs="Arial"/>
          <w:sz w:val="20"/>
          <w:szCs w:val="20"/>
        </w:rPr>
      </w:pPr>
      <w:r>
        <w:rPr>
          <w:rFonts w:eastAsia="Arial" w:cs="Arial"/>
          <w:sz w:val="20"/>
          <w:szCs w:val="20"/>
        </w:rPr>
        <w:t>Client assets are maintained at a Related Person of KCD that is not "operationally independent" (as defined herein) of KCD;</w:t>
      </w:r>
    </w:p>
    <w:p>
      <w:pPr>
        <w:numPr>
          <w:ilvl w:val="0"/>
          <w:numId w:val="480"/>
        </w:numPr>
        <w:ind w:left="720" w:hanging="192"/>
        <w:jc w:val="left"/>
        <w:rPr>
          <w:rFonts w:eastAsia="Arial" w:cs="Arial"/>
          <w:sz w:val="20"/>
          <w:szCs w:val="20"/>
        </w:rPr>
      </w:pPr>
      <w:r>
        <w:rPr>
          <w:rFonts w:eastAsia="Arial" w:cs="Arial"/>
          <w:sz w:val="20"/>
          <w:szCs w:val="20"/>
        </w:rPr>
        <w:t>KCD has constructive custody of client assets even though such assets are maintained at an unaffiliated Qualified Custodian; or</w:t>
      </w:r>
    </w:p>
    <w:p>
      <w:pPr>
        <w:numPr>
          <w:ilvl w:val="0"/>
          <w:numId w:val="480"/>
        </w:numPr>
        <w:spacing w:after="200"/>
        <w:ind w:left="720" w:hanging="192"/>
        <w:jc w:val="left"/>
        <w:rPr>
          <w:rFonts w:eastAsia="Arial" w:cs="Arial"/>
          <w:sz w:val="20"/>
          <w:szCs w:val="20"/>
        </w:rPr>
      </w:pPr>
      <w:r>
        <w:rPr>
          <w:rFonts w:eastAsia="Arial" w:cs="Arial"/>
          <w:sz w:val="20"/>
          <w:szCs w:val="20"/>
        </w:rPr>
        <w:t>KCD has custody of client assets because it has hedge fund clients and such hedge fund clients' financial statements are not audited by an Independent Public Accountant.</w:t>
      </w:r>
    </w:p>
    <w:p/>
    <w:p>
      <w:pPr>
        <w:pStyle w:val="Heading4"/>
      </w:pPr>
      <w:r>
        <w:t>8.3.14.2 Surprise Examination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KCD is required to arrange for a Surprise Examination, it shall arrange for a Surprise Examination by entering into a written agreement with an Independent Public Accountant that requires such Accountant:</w:t>
      </w:r>
    </w:p>
    <w:p>
      <w:pPr>
        <w:numPr>
          <w:ilvl w:val="0"/>
          <w:numId w:val="481"/>
        </w:numPr>
        <w:spacing w:before="200"/>
        <w:ind w:left="720" w:hanging="192"/>
        <w:jc w:val="left"/>
        <w:rPr>
          <w:rFonts w:eastAsia="Arial" w:cs="Arial"/>
          <w:sz w:val="20"/>
          <w:szCs w:val="20"/>
        </w:rPr>
      </w:pPr>
      <w:r>
        <w:rPr>
          <w:rFonts w:eastAsia="Arial" w:cs="Arial"/>
          <w:sz w:val="20"/>
          <w:szCs w:val="20"/>
        </w:rPr>
        <w:t>to verify it is registered with and subject to regular inspection by the PCAOB (except with respect to constructive custody arrangements as set forth herein);</w:t>
      </w:r>
    </w:p>
    <w:p>
      <w:pPr>
        <w:numPr>
          <w:ilvl w:val="0"/>
          <w:numId w:val="481"/>
        </w:numPr>
        <w:ind w:left="720" w:hanging="192"/>
        <w:jc w:val="left"/>
        <w:rPr>
          <w:rFonts w:eastAsia="Arial" w:cs="Arial"/>
          <w:sz w:val="20"/>
          <w:szCs w:val="20"/>
        </w:rPr>
      </w:pPr>
      <w:r>
        <w:rPr>
          <w:rFonts w:eastAsia="Arial" w:cs="Arial"/>
          <w:sz w:val="20"/>
          <w:szCs w:val="20"/>
        </w:rPr>
        <w:t>to notify the SEC within one business day of finding any material discrepancy during the course of the Surprise Examination;</w:t>
      </w:r>
    </w:p>
    <w:p>
      <w:pPr>
        <w:numPr>
          <w:ilvl w:val="0"/>
          <w:numId w:val="481"/>
        </w:numPr>
        <w:ind w:left="720" w:hanging="192"/>
        <w:jc w:val="left"/>
        <w:rPr>
          <w:rFonts w:eastAsia="Arial" w:cs="Arial"/>
          <w:sz w:val="20"/>
          <w:szCs w:val="20"/>
        </w:rPr>
      </w:pPr>
      <w:r>
        <w:rPr>
          <w:rFonts w:eastAsia="Arial" w:cs="Arial"/>
          <w:sz w:val="20"/>
          <w:szCs w:val="20"/>
        </w:rPr>
        <w:t>to verify by actual examination at least once during each calendar year the client assets maintained by KCD or Related Person;</w:t>
      </w:r>
    </w:p>
    <w:p>
      <w:pPr>
        <w:numPr>
          <w:ilvl w:val="0"/>
          <w:numId w:val="481"/>
        </w:numPr>
        <w:ind w:left="720" w:hanging="192"/>
        <w:jc w:val="left"/>
        <w:rPr>
          <w:rFonts w:eastAsia="Arial" w:cs="Arial"/>
          <w:sz w:val="20"/>
          <w:szCs w:val="20"/>
        </w:rPr>
      </w:pPr>
      <w:r>
        <w:rPr>
          <w:rFonts w:eastAsia="Arial" w:cs="Arial"/>
          <w:sz w:val="20"/>
          <w:szCs w:val="20"/>
        </w:rPr>
        <w:t>to choose the exam date and time;</w:t>
      </w:r>
    </w:p>
    <w:p>
      <w:pPr>
        <w:numPr>
          <w:ilvl w:val="0"/>
          <w:numId w:val="481"/>
        </w:numPr>
        <w:ind w:left="720" w:hanging="192"/>
        <w:jc w:val="left"/>
        <w:rPr>
          <w:rFonts w:eastAsia="Arial" w:cs="Arial"/>
          <w:sz w:val="20"/>
          <w:szCs w:val="20"/>
        </w:rPr>
      </w:pPr>
      <w:r>
        <w:rPr>
          <w:rFonts w:eastAsia="Arial" w:cs="Arial"/>
          <w:sz w:val="20"/>
          <w:szCs w:val="20"/>
        </w:rPr>
        <w:t>to ensure that the exam date is irregular from year-to-year;</w:t>
      </w:r>
    </w:p>
    <w:p>
      <w:pPr>
        <w:numPr>
          <w:ilvl w:val="0"/>
          <w:numId w:val="481"/>
        </w:numPr>
        <w:ind w:left="720" w:hanging="192"/>
        <w:jc w:val="left"/>
        <w:rPr>
          <w:rFonts w:eastAsia="Arial" w:cs="Arial"/>
          <w:sz w:val="20"/>
          <w:szCs w:val="20"/>
        </w:rPr>
      </w:pPr>
      <w:r>
        <w:rPr>
          <w:rFonts w:eastAsia="Arial" w:cs="Arial"/>
          <w:sz w:val="20"/>
          <w:szCs w:val="20"/>
        </w:rPr>
        <w:t>to file electronically through IARD Form ADV-E with the SEC accompanied by the accountant's certificate within 120 days of the time chosen by the accountant for the Surprise Examination, stating that the accountant has examined the funds and securities and describing the nature and extent of the examination;</w:t>
      </w:r>
    </w:p>
    <w:p>
      <w:pPr>
        <w:numPr>
          <w:ilvl w:val="0"/>
          <w:numId w:val="481"/>
        </w:numPr>
        <w:ind w:left="720" w:hanging="192"/>
        <w:jc w:val="left"/>
        <w:rPr>
          <w:rFonts w:eastAsia="Arial" w:cs="Arial"/>
          <w:sz w:val="20"/>
          <w:szCs w:val="20"/>
        </w:rPr>
      </w:pPr>
      <w:r>
        <w:rPr>
          <w:rFonts w:eastAsia="Arial" w:cs="Arial"/>
          <w:sz w:val="20"/>
          <w:szCs w:val="20"/>
        </w:rPr>
        <w:t>upon finding any material discrepancies during the course of the examination, to notify the SEC within one business day of the finding, by means of a facsimile transmission or electronic mail, followed by first class mail, directed to the attention of the Director of the Office of Compliance Inspections and Examinations;</w:t>
      </w:r>
    </w:p>
    <w:p>
      <w:pPr>
        <w:numPr>
          <w:ilvl w:val="0"/>
          <w:numId w:val="481"/>
        </w:numPr>
        <w:ind w:left="720" w:hanging="192"/>
        <w:jc w:val="left"/>
        <w:rPr>
          <w:rFonts w:eastAsia="Arial" w:cs="Arial"/>
          <w:sz w:val="20"/>
          <w:szCs w:val="20"/>
        </w:rPr>
      </w:pPr>
      <w:r>
        <w:rPr>
          <w:rFonts w:eastAsia="Arial" w:cs="Arial"/>
          <w:sz w:val="20"/>
          <w:szCs w:val="20"/>
        </w:rPr>
        <w:t>upon resignation or dismissal of the Independent Public Accountant, to file within 4 business days of such resignation or dismissal Form ADV-E and a statement containing:</w:t>
      </w:r>
    </w:p>
    <w:p>
      <w:pPr>
        <w:numPr>
          <w:ilvl w:val="1"/>
          <w:numId w:val="481"/>
        </w:numPr>
        <w:ind w:left="1440" w:hanging="220"/>
        <w:jc w:val="left"/>
        <w:rPr>
          <w:rFonts w:eastAsia="Arial" w:cs="Arial"/>
          <w:sz w:val="20"/>
          <w:szCs w:val="20"/>
        </w:rPr>
      </w:pPr>
      <w:r>
        <w:rPr>
          <w:rFonts w:eastAsia="Arial" w:cs="Arial"/>
          <w:sz w:val="20"/>
          <w:szCs w:val="20"/>
        </w:rPr>
        <w:t>the date of such termination or dismissal,</w:t>
      </w:r>
    </w:p>
    <w:p>
      <w:pPr>
        <w:numPr>
          <w:ilvl w:val="1"/>
          <w:numId w:val="481"/>
        </w:numPr>
        <w:ind w:left="1440" w:hanging="220"/>
        <w:jc w:val="left"/>
        <w:rPr>
          <w:rFonts w:eastAsia="Arial" w:cs="Arial"/>
          <w:sz w:val="20"/>
          <w:szCs w:val="20"/>
        </w:rPr>
      </w:pPr>
      <w:r>
        <w:rPr>
          <w:rFonts w:eastAsia="Arial" w:cs="Arial"/>
          <w:sz w:val="20"/>
          <w:szCs w:val="20"/>
        </w:rPr>
        <w:t>the name, address and contact information of the accountant, and</w:t>
      </w:r>
    </w:p>
    <w:p>
      <w:pPr>
        <w:numPr>
          <w:ilvl w:val="1"/>
          <w:numId w:val="481"/>
        </w:numPr>
        <w:ind w:left="1440" w:hanging="220"/>
        <w:jc w:val="left"/>
        <w:rPr>
          <w:rFonts w:eastAsia="Arial" w:cs="Arial"/>
          <w:sz w:val="20"/>
          <w:szCs w:val="20"/>
        </w:rPr>
      </w:pPr>
      <w:r>
        <w:rPr>
          <w:rFonts w:eastAsia="Arial" w:cs="Arial"/>
          <w:sz w:val="20"/>
          <w:szCs w:val="20"/>
        </w:rPr>
        <w:t>an explanation of any problems relating to the examination scope or procedure that may have contributed to such resignation or dismissal; and</w:t>
      </w:r>
    </w:p>
    <w:p>
      <w:pPr>
        <w:numPr>
          <w:ilvl w:val="0"/>
          <w:numId w:val="481"/>
        </w:numPr>
        <w:spacing w:after="200"/>
        <w:ind w:left="720" w:hanging="192"/>
        <w:jc w:val="left"/>
        <w:rPr>
          <w:rFonts w:eastAsia="Arial" w:cs="Arial"/>
          <w:sz w:val="20"/>
          <w:szCs w:val="20"/>
        </w:rPr>
      </w:pPr>
      <w:r>
        <w:rPr>
          <w:rFonts w:eastAsia="Arial" w:cs="Arial"/>
          <w:sz w:val="20"/>
          <w:szCs w:val="20"/>
        </w:rPr>
        <w:t>provide KCD with the Independent Public Accountant's PCAOB registration number.</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filing by the independent public accountant of Form ADV-E and the surprise examination report is a two-step process: (1) KCD must submit a Form ADV-E via the IARD that identifies the independent public accountant that will be performing the surprise examination (see the IARD Users Manual), and (2) the independent public accountant receives an email from the IARD system providing a unique, secure link which allows the accountant to upload a surprise examination report to the IARD (see </w:t>
            </w:r>
            <w:hyperlink r:id="rId18" w:tgtFrame="_blank" w:history="1">
              <w:r>
                <w:rPr>
                  <w:rStyle w:val="Hyperlink"/>
                  <w:rFonts w:eastAsia="Arial" w:cs="Arial"/>
                  <w:b w:val="0"/>
                  <w:bCs w:val="0"/>
                  <w:i w:val="0"/>
                  <w:iCs w:val="0"/>
                  <w:smallCaps w:val="0"/>
                  <w:color w:val="0000EE"/>
                  <w:sz w:val="24"/>
                  <w:u w:color="0000EE"/>
                </w:rPr>
                <w:t>http://www.iard.com/pdf/formADV-E.pdf</w:t>
              </w:r>
            </w:hyperlink>
            <w:r>
              <w:rPr>
                <w:rFonts w:eastAsia="Arial" w:cs="Arial"/>
                <w:b w:val="0"/>
                <w:bCs w:val="0"/>
                <w:i w:val="0"/>
                <w:iCs w:val="0"/>
                <w:smallCaps w:val="0"/>
                <w:color w:val="000000"/>
                <w:sz w:val="20"/>
              </w:rPr>
              <w:t xml:space="preserve"> for instructions). See Staff Responses to Questions About the Custody Rule (Posted December 2, 2010), </w:t>
            </w:r>
            <w:hyperlink r:id="rId19" w:tgtFrame="_blank" w:history="1">
              <w:r>
                <w:rPr>
                  <w:rStyle w:val="Hyperlink"/>
                  <w:rFonts w:eastAsia="Arial" w:cs="Arial"/>
                  <w:b w:val="0"/>
                  <w:bCs w:val="0"/>
                  <w:i w:val="0"/>
                  <w:iCs w:val="0"/>
                  <w:smallCaps w:val="0"/>
                  <w:color w:val="0000EE"/>
                  <w:sz w:val="24"/>
                  <w:u w:color="0000EE"/>
                </w:rPr>
                <w:t>http://www.sec.gov/divisions/investment/custody_faq_030510.htm</w:t>
              </w:r>
            </w:hyperlink>
            <w:r>
              <w:rPr>
                <w:rFonts w:eastAsia="Arial" w:cs="Arial"/>
                <w:b w:val="0"/>
                <w:bCs w:val="0"/>
                <w:i w:val="0"/>
                <w:iCs w:val="0"/>
                <w:smallCaps w:val="0"/>
                <w:color w:val="000000"/>
                <w:sz w:val="20"/>
              </w:rPr>
              <w:t>.</w:t>
            </w:r>
          </w:p>
        </w:tc>
      </w:tr>
    </w:tbl>
    <w:p/>
    <w:p>
      <w:pPr>
        <w:pStyle w:val="Heading4"/>
      </w:pPr>
      <w:r>
        <w:t>8.3.14.3 Qualified and Unqualified Opinions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report pursuant to Item 9.C.(6) and Item 7.B.(1) of Schedule D of Part 1A of its Form ADV whether any report prepared by its Accountant that audited a hedge fund client or examined internal controls contained an unqualified opinion.</w:t>
      </w:r>
    </w:p>
    <w:p/>
    <w:p>
      <w:pPr>
        <w:pStyle w:val="Heading3"/>
      </w:pPr>
      <w:bookmarkStart w:id="552" w:name="_Toc256000142"/>
      <w:r>
        <w:t>8.3.15 Internal Control Reports</w:t>
      </w:r>
      <w:bookmarkEnd w:id="552"/>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requirement that an investment adviser arrange for internal control reports is triggered in part by whether the adviser or a Related Person of the adviser maintains client assets.</w:t>
      </w:r>
    </w:p>
    <w:p/>
    <w:p>
      <w:pPr>
        <w:pStyle w:val="Heading4"/>
      </w:pPr>
      <w:r>
        <w:t>8.3.15.1 Internal Control Report Determination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the Chief Compliance Officer will determine whether KCD is required to arrange for an Internal Control Report. KCD shall be required to arrange for an Internal Control Report when:</w:t>
      </w:r>
    </w:p>
    <w:p>
      <w:pPr>
        <w:numPr>
          <w:ilvl w:val="0"/>
          <w:numId w:val="482"/>
        </w:numPr>
        <w:spacing w:before="200"/>
        <w:ind w:left="720" w:hanging="192"/>
        <w:jc w:val="left"/>
        <w:rPr>
          <w:rFonts w:eastAsia="Arial" w:cs="Arial"/>
          <w:sz w:val="20"/>
          <w:szCs w:val="20"/>
        </w:rPr>
      </w:pPr>
      <w:r>
        <w:rPr>
          <w:rFonts w:eastAsia="Arial" w:cs="Arial"/>
          <w:sz w:val="20"/>
          <w:szCs w:val="20"/>
        </w:rPr>
        <w:t>KCD as a Qualified Custodian has custody of client assets;</w:t>
      </w:r>
    </w:p>
    <w:p>
      <w:pPr>
        <w:numPr>
          <w:ilvl w:val="0"/>
          <w:numId w:val="482"/>
        </w:numPr>
        <w:ind w:left="720" w:hanging="192"/>
        <w:jc w:val="left"/>
        <w:rPr>
          <w:rFonts w:eastAsia="Arial" w:cs="Arial"/>
          <w:sz w:val="20"/>
          <w:szCs w:val="20"/>
        </w:rPr>
      </w:pPr>
      <w:r>
        <w:rPr>
          <w:rFonts w:eastAsia="Arial" w:cs="Arial"/>
          <w:sz w:val="20"/>
          <w:szCs w:val="20"/>
        </w:rPr>
        <w:t>Client assets are maintained at a Related Person of KCD that is not operationally independent of KCD; or</w:t>
      </w:r>
    </w:p>
    <w:p>
      <w:pPr>
        <w:numPr>
          <w:ilvl w:val="0"/>
          <w:numId w:val="482"/>
        </w:numPr>
        <w:spacing w:after="200"/>
        <w:ind w:left="720" w:hanging="192"/>
        <w:jc w:val="left"/>
        <w:rPr>
          <w:rFonts w:eastAsia="Arial" w:cs="Arial"/>
          <w:sz w:val="20"/>
          <w:szCs w:val="20"/>
        </w:rPr>
      </w:pPr>
      <w:r>
        <w:rPr>
          <w:rFonts w:eastAsia="Arial" w:cs="Arial"/>
          <w:sz w:val="20"/>
          <w:szCs w:val="20"/>
        </w:rPr>
        <w:t>KCD has custody of client assets solely because it has hedge fund clients and such hedge fund clients' financial statements are not audited by an Independent Public Accountant.</w:t>
      </w:r>
    </w:p>
    <w:p/>
    <w:p>
      <w:pPr>
        <w:pStyle w:val="Heading4"/>
      </w:pPr>
      <w:r>
        <w:t>8.3.15.2 Internal Control Report Procedures</w:t>
      </w:r>
    </w:p>
    <w:p/>
    <w:p>
      <w:pPr>
        <w:rPr>
          <w:rFonts w:eastAsia="Arial" w:cs="Arial"/>
          <w:sz w:val="16"/>
          <w:szCs w:val="16"/>
        </w:rPr>
      </w:pPr>
      <w:r>
        <w:rPr>
          <w:rFonts w:eastAsia="Arial" w:cs="Arial"/>
          <w:sz w:val="16"/>
          <w:szCs w:val="16"/>
        </w:rPr>
        <w:t>[Investment Advisers Act of 1940 Rule 206(4)-2(a)(6)]</w:t>
      </w:r>
    </w:p>
    <w:p/>
    <w:p>
      <w:pPr>
        <w:pStyle w:val="normal0"/>
        <w:spacing w:after="200"/>
        <w:rPr>
          <w:rFonts w:eastAsia="Arial" w:cs="Arial"/>
          <w:sz w:val="20"/>
          <w:szCs w:val="20"/>
        </w:rPr>
      </w:pPr>
      <w:r>
        <w:rPr>
          <w:rFonts w:eastAsia="Arial" w:cs="Arial"/>
          <w:sz w:val="20"/>
          <w:szCs w:val="20"/>
        </w:rPr>
        <w:t>When KCD is subject to Internal Control Report requirements set forth herein, it will follow these procedures:</w:t>
      </w:r>
    </w:p>
    <w:p>
      <w:pPr>
        <w:numPr>
          <w:ilvl w:val="0"/>
          <w:numId w:val="483"/>
        </w:numPr>
        <w:spacing w:before="200"/>
        <w:ind w:left="720" w:hanging="192"/>
        <w:jc w:val="left"/>
        <w:rPr>
          <w:rFonts w:eastAsia="Arial" w:cs="Arial"/>
          <w:sz w:val="20"/>
          <w:szCs w:val="20"/>
        </w:rPr>
      </w:pPr>
      <w:r>
        <w:rPr>
          <w:rFonts w:eastAsia="Arial" w:cs="Arial"/>
          <w:sz w:val="20"/>
          <w:szCs w:val="20"/>
        </w:rPr>
        <w:t>Retain an Independent Public Accountant to prepare an Internal Control Report (e.g., a Type II SAS 70 report);</w:t>
      </w:r>
    </w:p>
    <w:p>
      <w:pPr>
        <w:numPr>
          <w:ilvl w:val="0"/>
          <w:numId w:val="483"/>
        </w:numPr>
        <w:ind w:left="720" w:hanging="192"/>
        <w:jc w:val="left"/>
        <w:rPr>
          <w:rFonts w:eastAsia="Arial" w:cs="Arial"/>
          <w:sz w:val="20"/>
          <w:szCs w:val="20"/>
        </w:rPr>
      </w:pPr>
      <w:r>
        <w:rPr>
          <w:rFonts w:eastAsia="Arial" w:cs="Arial"/>
          <w:sz w:val="20"/>
          <w:szCs w:val="20"/>
        </w:rPr>
        <w:t>Verify that the Independent Public Accountant will prepare an Internal Control Report that includes an opinion of the independent public accountant as to whether controls have been placed in operation as of a specific date, and suitably designed and operating effectively to meet control objectives relating to custodial services, including the safeguarding of funds and securities held by either KCD or its Related Person on behalf of the clients during the year;</w:t>
      </w:r>
    </w:p>
    <w:p>
      <w:pPr>
        <w:numPr>
          <w:ilvl w:val="0"/>
          <w:numId w:val="483"/>
        </w:numPr>
        <w:ind w:left="720" w:hanging="192"/>
        <w:jc w:val="left"/>
        <w:rPr>
          <w:rFonts w:eastAsia="Arial" w:cs="Arial"/>
          <w:sz w:val="20"/>
          <w:szCs w:val="20"/>
        </w:rPr>
      </w:pPr>
      <w:r>
        <w:rPr>
          <w:rFonts w:eastAsia="Arial" w:cs="Arial"/>
          <w:sz w:val="20"/>
          <w:szCs w:val="20"/>
        </w:rPr>
        <w:t>Arrange for the Independent Public Accountant to verify that the funds and securities are reconciled to a custodian other than KCD or Related Person of KCD; and</w:t>
      </w:r>
    </w:p>
    <w:p>
      <w:pPr>
        <w:numPr>
          <w:ilvl w:val="0"/>
          <w:numId w:val="483"/>
        </w:numPr>
        <w:spacing w:after="200"/>
        <w:ind w:left="720" w:hanging="192"/>
        <w:jc w:val="left"/>
        <w:rPr>
          <w:rFonts w:eastAsia="Arial" w:cs="Arial"/>
          <w:sz w:val="20"/>
          <w:szCs w:val="20"/>
        </w:rPr>
      </w:pPr>
      <w:r>
        <w:rPr>
          <w:rFonts w:eastAsia="Arial" w:cs="Arial"/>
          <w:sz w:val="20"/>
          <w:szCs w:val="20"/>
        </w:rPr>
        <w:t>Arrange for the Internal Control Report to be prepared at least once each calendar year (and within 6 months after first being subject to Rule 206(4)-2(a)(6) under the Advisers Act).</w:t>
      </w: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Internal Control Report does not need to address the effectiveness of controls over custodial services prior to March 12, 2010, the effective date of the amended rule, even if it results in a shortened examination period for the 2010 Internal Control Report.</w:t>
            </w:r>
          </w:p>
        </w:tc>
      </w:tr>
    </w:tbl>
    <w:p/>
    <w:p>
      <w:pPr>
        <w:pStyle w:val="Heading3"/>
      </w:pPr>
      <w:bookmarkStart w:id="553" w:name="_Toc256000143"/>
      <w:r>
        <w:t>8.3.16 Independent Public Accountant</w:t>
      </w:r>
      <w:bookmarkEnd w:id="553"/>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 xml:space="preserve">A number of requirements under Rule 206(4)-2 which may or may not be applicable to an investment adviser involve an Independent Public Accountant. </w:t>
      </w:r>
    </w:p>
    <w:p/>
    <w:p>
      <w:pPr>
        <w:pStyle w:val="Heading4"/>
      </w:pPr>
      <w:r>
        <w:t>8.3.16.1 Definition of "Independent Public Accountant"</w:t>
      </w:r>
    </w:p>
    <w:p/>
    <w:p>
      <w:pPr>
        <w:rPr>
          <w:rFonts w:eastAsia="Arial" w:cs="Arial"/>
          <w:sz w:val="16"/>
          <w:szCs w:val="16"/>
        </w:rPr>
      </w:pPr>
      <w:r>
        <w:rPr>
          <w:rFonts w:eastAsia="Arial" w:cs="Arial"/>
          <w:sz w:val="16"/>
          <w:szCs w:val="16"/>
        </w:rPr>
        <w:t>[SEC Regulation S-X]</w:t>
      </w:r>
    </w:p>
    <w:p/>
    <w:p>
      <w:pPr>
        <w:pStyle w:val="normal0"/>
        <w:spacing w:after="200"/>
        <w:rPr>
          <w:rFonts w:eastAsia="Arial" w:cs="Arial"/>
          <w:sz w:val="20"/>
          <w:szCs w:val="20"/>
        </w:rPr>
      </w:pPr>
      <w:r>
        <w:rPr>
          <w:rFonts w:eastAsia="Arial" w:cs="Arial"/>
          <w:sz w:val="20"/>
          <w:szCs w:val="20"/>
        </w:rPr>
        <w:t>For purposes of these Custody Procedures, an "Independent Public Accountant" means an accountant registered with and subject to regular inspection by the Public Company Accounting Oversight Board in accordance with its rules and that meets the standards of independence described in Rule 2-01(b) and (c) of Regulation S-X.</w:t>
      </w:r>
    </w:p>
    <w:p/>
    <w:p>
      <w:pPr>
        <w:pStyle w:val="Heading4"/>
      </w:pPr>
      <w:r>
        <w:t>8.3.16.2 Timing of Independent Public Accountant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Independent Public Accountant engaged by KCD for purposes of these Custody Procedures shall have such status:</w:t>
      </w:r>
    </w:p>
    <w:p>
      <w:pPr>
        <w:numPr>
          <w:ilvl w:val="0"/>
          <w:numId w:val="484"/>
        </w:numPr>
        <w:spacing w:before="200"/>
        <w:ind w:left="720" w:hanging="192"/>
        <w:jc w:val="left"/>
        <w:rPr>
          <w:rFonts w:eastAsia="Arial" w:cs="Arial"/>
          <w:sz w:val="20"/>
          <w:szCs w:val="20"/>
        </w:rPr>
      </w:pPr>
      <w:r>
        <w:rPr>
          <w:rFonts w:eastAsia="Arial" w:cs="Arial"/>
          <w:sz w:val="20"/>
          <w:szCs w:val="20"/>
        </w:rPr>
        <w:t>As of the commencement of the professional engagement period; and</w:t>
      </w:r>
    </w:p>
    <w:p>
      <w:pPr>
        <w:numPr>
          <w:ilvl w:val="0"/>
          <w:numId w:val="484"/>
        </w:numPr>
        <w:spacing w:after="200"/>
        <w:ind w:left="720" w:hanging="192"/>
        <w:jc w:val="left"/>
        <w:rPr>
          <w:rFonts w:eastAsia="Arial" w:cs="Arial"/>
          <w:sz w:val="20"/>
          <w:szCs w:val="20"/>
        </w:rPr>
      </w:pPr>
      <w:r>
        <w:rPr>
          <w:rFonts w:eastAsia="Arial" w:cs="Arial"/>
          <w:sz w:val="20"/>
          <w:szCs w:val="20"/>
        </w:rPr>
        <w:t>Through each calendar year-end.</w:t>
      </w:r>
    </w:p>
    <w:p/>
    <w:p>
      <w:pPr>
        <w:pStyle w:val="Heading4"/>
      </w:pPr>
      <w:r>
        <w:t>8.3.16.3 Independent Public Accountant's Relationship with the Adviser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accounting firm that regularly audits KCD's books or the books run of a hedge fund run by KCD nevertheless may be independent of KCD.</w:t>
      </w:r>
    </w:p>
    <w:p/>
    <w:p>
      <w:pPr>
        <w:pStyle w:val="Heading3"/>
      </w:pPr>
      <w:bookmarkStart w:id="554" w:name="_Toc256000144"/>
      <w:r>
        <w:t>8.3.17 Client Representatives</w:t>
      </w:r>
      <w:bookmarkEnd w:id="554"/>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client may not wish to receive statements from a custodian directly. Clients can choose to have an independent representative receive account statements on their behalf.</w:t>
      </w:r>
    </w:p>
    <w:p>
      <w:pPr>
        <w:pStyle w:val="normal0"/>
        <w:spacing w:before="200" w:after="200"/>
        <w:rPr>
          <w:rFonts w:eastAsia="Arial" w:cs="Arial"/>
          <w:sz w:val="20"/>
          <w:szCs w:val="20"/>
        </w:rPr>
      </w:pPr>
      <w:r>
        <w:rPr>
          <w:rFonts w:eastAsia="Arial" w:cs="Arial"/>
          <w:sz w:val="20"/>
          <w:szCs w:val="20"/>
        </w:rPr>
        <w:t>KCD permits a client to designate a representative to receive the client's statements from a broker-dealer or bank only if such representative:</w:t>
      </w:r>
    </w:p>
    <w:p>
      <w:pPr>
        <w:numPr>
          <w:ilvl w:val="0"/>
          <w:numId w:val="485"/>
        </w:numPr>
        <w:spacing w:before="200"/>
        <w:ind w:left="720" w:hanging="192"/>
        <w:jc w:val="left"/>
        <w:rPr>
          <w:rFonts w:eastAsia="Arial" w:cs="Arial"/>
          <w:sz w:val="20"/>
          <w:szCs w:val="20"/>
        </w:rPr>
      </w:pPr>
      <w:r>
        <w:rPr>
          <w:rFonts w:eastAsia="Arial" w:cs="Arial"/>
          <w:sz w:val="20"/>
          <w:szCs w:val="20"/>
        </w:rPr>
        <w:t xml:space="preserve">Acts as agent for the advisory client and by law or contract is obliged to act in the best interests of the client; </w:t>
      </w:r>
    </w:p>
    <w:p>
      <w:pPr>
        <w:numPr>
          <w:ilvl w:val="0"/>
          <w:numId w:val="485"/>
        </w:numPr>
        <w:ind w:left="720" w:hanging="192"/>
        <w:jc w:val="left"/>
        <w:rPr>
          <w:rFonts w:eastAsia="Arial" w:cs="Arial"/>
          <w:sz w:val="20"/>
          <w:szCs w:val="20"/>
        </w:rPr>
      </w:pPr>
      <w:r>
        <w:rPr>
          <w:rFonts w:eastAsia="Arial" w:cs="Arial"/>
          <w:sz w:val="20"/>
          <w:szCs w:val="20"/>
        </w:rPr>
        <w:t xml:space="preserve">Does not control, is not controlled by, and is not under common control with KCD; </w:t>
      </w:r>
    </w:p>
    <w:p>
      <w:pPr>
        <w:numPr>
          <w:ilvl w:val="0"/>
          <w:numId w:val="485"/>
        </w:numPr>
        <w:ind w:left="720" w:hanging="192"/>
        <w:jc w:val="left"/>
        <w:rPr>
          <w:rFonts w:eastAsia="Arial" w:cs="Arial"/>
          <w:sz w:val="20"/>
          <w:szCs w:val="20"/>
        </w:rPr>
      </w:pPr>
      <w:r>
        <w:rPr>
          <w:rFonts w:eastAsia="Arial" w:cs="Arial"/>
          <w:sz w:val="20"/>
          <w:szCs w:val="20"/>
        </w:rPr>
        <w:t xml:space="preserve">Does not have, and has not had within the past two years, a material business relationship with KCD; and </w:t>
      </w:r>
    </w:p>
    <w:p>
      <w:pPr>
        <w:numPr>
          <w:ilvl w:val="0"/>
          <w:numId w:val="485"/>
        </w:numPr>
        <w:spacing w:after="200"/>
        <w:ind w:left="720" w:hanging="192"/>
        <w:jc w:val="left"/>
        <w:rPr>
          <w:rFonts w:eastAsia="Arial" w:cs="Arial"/>
          <w:sz w:val="20"/>
          <w:szCs w:val="20"/>
        </w:rPr>
      </w:pPr>
      <w:r>
        <w:rPr>
          <w:rFonts w:eastAsia="Arial" w:cs="Arial"/>
          <w:sz w:val="20"/>
          <w:szCs w:val="20"/>
        </w:rPr>
        <w:t>Is appointed by the client or, if appointed by KCD, the client consents to such appointment.</w:t>
      </w:r>
    </w:p>
    <w:p/>
    <w:p>
      <w:pPr>
        <w:pStyle w:val="Heading3"/>
      </w:pPr>
      <w:bookmarkStart w:id="555" w:name="_Toc256000145"/>
      <w:r>
        <w:t>8.3.18 Reconciliation</w:t>
      </w:r>
      <w:bookmarkEnd w:id="555"/>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From time to time, there may be discrepancies between client accounting records maintained by KCD and similar records maintained by the Qualified Custodian. Discrepancies may be caused merely by timing differences between when the data is entered by KCD and the Qualified Custodian. Discrepancies may also occur because of data entry errors. The goal of reconciliation should be to find discrepancies due to errors, so that they may be corrected. </w:t>
      </w:r>
    </w:p>
    <w:p>
      <w:pPr>
        <w:pStyle w:val="normal0"/>
        <w:spacing w:before="200" w:after="200"/>
        <w:rPr>
          <w:rFonts w:eastAsia="Arial" w:cs="Arial"/>
          <w:sz w:val="20"/>
          <w:szCs w:val="20"/>
        </w:rPr>
      </w:pPr>
      <w:r>
        <w:rPr>
          <w:rFonts w:eastAsia="Arial" w:cs="Arial"/>
          <w:sz w:val="20"/>
          <w:szCs w:val="20"/>
        </w:rPr>
        <w:t>Quarterly, the Chief Compliance Officer shall:</w:t>
      </w:r>
    </w:p>
    <w:p>
      <w:pPr>
        <w:numPr>
          <w:ilvl w:val="0"/>
          <w:numId w:val="486"/>
        </w:numPr>
        <w:spacing w:before="200"/>
        <w:ind w:left="720" w:hanging="192"/>
        <w:jc w:val="left"/>
        <w:rPr>
          <w:rFonts w:eastAsia="Arial" w:cs="Arial"/>
          <w:sz w:val="20"/>
          <w:szCs w:val="20"/>
        </w:rPr>
      </w:pPr>
      <w:r>
        <w:rPr>
          <w:rFonts w:eastAsia="Arial" w:cs="Arial"/>
          <w:sz w:val="20"/>
          <w:szCs w:val="20"/>
        </w:rPr>
        <w:t>reconcile client accounting records maintained by KCD with those maintained by the Qualified Custodian;</w:t>
      </w:r>
    </w:p>
    <w:p>
      <w:pPr>
        <w:numPr>
          <w:ilvl w:val="0"/>
          <w:numId w:val="486"/>
        </w:numPr>
        <w:ind w:left="720" w:hanging="192"/>
        <w:jc w:val="left"/>
        <w:rPr>
          <w:rFonts w:eastAsia="Arial" w:cs="Arial"/>
          <w:sz w:val="20"/>
          <w:szCs w:val="20"/>
        </w:rPr>
      </w:pPr>
      <w:r>
        <w:rPr>
          <w:rFonts w:eastAsia="Arial" w:cs="Arial"/>
          <w:sz w:val="20"/>
          <w:szCs w:val="20"/>
        </w:rPr>
        <w:t>report any discrepancy to the Qualified Custodian and proceed to correct the discrepancy;</w:t>
      </w:r>
    </w:p>
    <w:p>
      <w:pPr>
        <w:numPr>
          <w:ilvl w:val="0"/>
          <w:numId w:val="486"/>
        </w:numPr>
        <w:ind w:left="720" w:hanging="192"/>
        <w:jc w:val="left"/>
        <w:rPr>
          <w:rFonts w:eastAsia="Arial" w:cs="Arial"/>
          <w:sz w:val="20"/>
          <w:szCs w:val="20"/>
        </w:rPr>
      </w:pPr>
      <w:r>
        <w:rPr>
          <w:rFonts w:eastAsia="Arial" w:cs="Arial"/>
          <w:sz w:val="20"/>
          <w:szCs w:val="20"/>
        </w:rPr>
        <w:t>report any material discrepancy to senior management of KCD; and</w:t>
      </w:r>
    </w:p>
    <w:p>
      <w:pPr>
        <w:numPr>
          <w:ilvl w:val="0"/>
          <w:numId w:val="486"/>
        </w:numPr>
        <w:spacing w:after="200"/>
        <w:ind w:left="720" w:hanging="192"/>
        <w:jc w:val="left"/>
        <w:rPr>
          <w:rFonts w:eastAsia="Arial" w:cs="Arial"/>
          <w:sz w:val="20"/>
          <w:szCs w:val="20"/>
        </w:rPr>
      </w:pPr>
      <w:r>
        <w:rPr>
          <w:rFonts w:eastAsia="Arial" w:cs="Arial"/>
          <w:sz w:val="20"/>
          <w:szCs w:val="20"/>
        </w:rPr>
        <w:t>prepare a memorandum or some other document stating how the discrepancy was resolved.</w:t>
      </w:r>
    </w:p>
    <w:p/>
    <w:p>
      <w:pPr>
        <w:pStyle w:val="Heading3"/>
      </w:pPr>
      <w:bookmarkStart w:id="556" w:name="_Toc256000146"/>
      <w:r>
        <w:t>8.3.19 Overdrafts</w:t>
      </w:r>
      <w:bookmarkEnd w:id="556"/>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Overdrafts may occur for a variety of reasons, including when a client does not have sufficient cash in his or her account to cover securities purchases on the settlement date. Frequent overdraft positions in client accounts may invite unwanted regulatory scrutiny. </w:t>
      </w:r>
    </w:p>
    <w:p>
      <w:pPr>
        <w:pStyle w:val="normal0"/>
        <w:spacing w:before="200" w:after="200"/>
        <w:rPr>
          <w:rFonts w:eastAsia="Arial" w:cs="Arial"/>
          <w:sz w:val="20"/>
          <w:szCs w:val="20"/>
        </w:rPr>
      </w:pPr>
      <w:r>
        <w:rPr>
          <w:rFonts w:eastAsia="Arial" w:cs="Arial"/>
          <w:sz w:val="20"/>
          <w:szCs w:val="20"/>
        </w:rPr>
        <w:t>KCD will manage client positions and accounts in a manner that minimizes the possibility of overdrafts in client accounts. The Chief Compliance Officer will report any pattern of overdrafts to the senior management of KCD.</w:t>
      </w:r>
    </w:p>
    <w:p/>
    <w:p>
      <w:pPr>
        <w:pStyle w:val="Heading3"/>
      </w:pPr>
      <w:bookmarkStart w:id="557" w:name="_Toc256000147"/>
      <w:r>
        <w:t>8.3.20 Unusual Account Activity</w:t>
      </w:r>
      <w:bookmarkEnd w:id="557"/>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and each Adviser Representative shall report any unusual activity in a client's account to senior management of KCD, who shall assign someone to investigate such activity.</w:t>
      </w:r>
    </w:p>
    <w:p/>
    <w:p>
      <w:pPr>
        <w:pStyle w:val="Heading3"/>
      </w:pPr>
      <w:bookmarkStart w:id="558" w:name="_Toc256000148"/>
      <w:r>
        <w:t>8.3.21 Authorization</w:t>
      </w:r>
      <w:bookmarkEnd w:id="558"/>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obtain from clients a list of persons who are authorized to withdraw or otherwise take actions with respect to such client's account. KCD shall consider the use of passwords or other security devices to ensure that a person has proper authority to take actions with respect to a client's account. KCD shall not permit the withdrawal of funds from a client account or any other activity from a person other than a client, unless such person demonstrates that he or she has proper authority to take such action.</w:t>
      </w:r>
    </w:p>
    <w:p/>
    <w:p>
      <w:pPr>
        <w:pStyle w:val="Heading3"/>
      </w:pPr>
      <w:bookmarkStart w:id="559" w:name="_Toc256000149"/>
      <w:r>
        <w:t>8.3.22 Custodian Selection and Retention</w:t>
      </w:r>
      <w:bookmarkEnd w:id="559"/>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evaluating (initially and on an ongoing basis) a particular Qualified Custodian for client assets, KCD will: </w:t>
      </w:r>
    </w:p>
    <w:p>
      <w:pPr>
        <w:numPr>
          <w:ilvl w:val="0"/>
          <w:numId w:val="487"/>
        </w:numPr>
        <w:spacing w:before="200"/>
        <w:ind w:left="720" w:hanging="192"/>
        <w:jc w:val="left"/>
        <w:rPr>
          <w:rFonts w:eastAsia="Arial" w:cs="Arial"/>
          <w:sz w:val="20"/>
          <w:szCs w:val="20"/>
        </w:rPr>
      </w:pPr>
      <w:r>
        <w:rPr>
          <w:rFonts w:eastAsia="Arial" w:cs="Arial"/>
          <w:sz w:val="20"/>
          <w:szCs w:val="20"/>
        </w:rPr>
        <w:t>Request and review the internal audit procedures used by the Qualified Custodian to count and otherwise keep track of client assets;</w:t>
      </w:r>
    </w:p>
    <w:p>
      <w:pPr>
        <w:numPr>
          <w:ilvl w:val="0"/>
          <w:numId w:val="487"/>
        </w:numPr>
        <w:ind w:left="720" w:hanging="192"/>
        <w:jc w:val="left"/>
        <w:rPr>
          <w:rFonts w:eastAsia="Arial" w:cs="Arial"/>
          <w:sz w:val="20"/>
          <w:szCs w:val="20"/>
        </w:rPr>
      </w:pPr>
      <w:r>
        <w:rPr>
          <w:rFonts w:eastAsia="Arial" w:cs="Arial"/>
          <w:sz w:val="20"/>
          <w:szCs w:val="20"/>
        </w:rPr>
        <w:t xml:space="preserve">Request and review the Qualified Custodian's controls over receipts of dividends, interest and other cash; </w:t>
      </w:r>
    </w:p>
    <w:p>
      <w:pPr>
        <w:numPr>
          <w:ilvl w:val="0"/>
          <w:numId w:val="487"/>
        </w:numPr>
        <w:ind w:left="720" w:hanging="192"/>
        <w:jc w:val="left"/>
        <w:rPr>
          <w:rFonts w:eastAsia="Arial" w:cs="Arial"/>
          <w:sz w:val="20"/>
          <w:szCs w:val="20"/>
        </w:rPr>
      </w:pPr>
      <w:r>
        <w:rPr>
          <w:rFonts w:eastAsia="Arial" w:cs="Arial"/>
          <w:sz w:val="20"/>
          <w:szCs w:val="20"/>
        </w:rPr>
        <w:t xml:space="preserve">Request and review the Qualified Custodian's procedures governing the receipt of, and payment for, securities, and the delivery of securities; and </w:t>
      </w:r>
    </w:p>
    <w:p>
      <w:pPr>
        <w:numPr>
          <w:ilvl w:val="0"/>
          <w:numId w:val="487"/>
        </w:numPr>
        <w:spacing w:after="200"/>
        <w:ind w:left="720" w:hanging="192"/>
        <w:jc w:val="left"/>
        <w:rPr>
          <w:rFonts w:eastAsia="Arial" w:cs="Arial"/>
          <w:sz w:val="20"/>
          <w:szCs w:val="20"/>
        </w:rPr>
      </w:pPr>
      <w:r>
        <w:rPr>
          <w:rFonts w:eastAsia="Arial" w:cs="Arial"/>
          <w:sz w:val="20"/>
          <w:szCs w:val="20"/>
        </w:rPr>
        <w:t>Request and review the Qualified Custodian's procedures for securities held in central depositories.</w:t>
      </w:r>
    </w:p>
    <w:p>
      <w:pPr>
        <w:pStyle w:val="normal0"/>
        <w:spacing w:before="200" w:after="200"/>
        <w:rPr>
          <w:rFonts w:eastAsia="Arial" w:cs="Arial"/>
          <w:sz w:val="20"/>
          <w:szCs w:val="20"/>
        </w:rPr>
      </w:pPr>
      <w:r>
        <w:rPr>
          <w:rFonts w:eastAsia="Arial" w:cs="Arial"/>
          <w:sz w:val="20"/>
          <w:szCs w:val="20"/>
        </w:rPr>
        <w:t>KCD will track those client assets held at Qualified Custodians separately for separately managed accounts (SMAs), hedge funds and registered investment companies.</w:t>
      </w:r>
    </w:p>
    <w:p>
      <w:pPr>
        <w:pStyle w:val="normal0"/>
        <w:spacing w:before="200" w:after="200"/>
        <w:rPr>
          <w:rFonts w:eastAsia="Arial" w:cs="Arial"/>
          <w:sz w:val="20"/>
          <w:szCs w:val="20"/>
        </w:rPr>
      </w:pPr>
      <w:r>
        <w:rPr>
          <w:rFonts w:eastAsia="Arial" w:cs="Arial"/>
          <w:sz w:val="20"/>
          <w:szCs w:val="20"/>
        </w:rPr>
        <w:t>With respect to SMA custodied client assets, KCD will:</w:t>
      </w:r>
    </w:p>
    <w:p>
      <w:pPr>
        <w:numPr>
          <w:ilvl w:val="0"/>
          <w:numId w:val="488"/>
        </w:numPr>
        <w:spacing w:before="200"/>
        <w:ind w:left="720" w:hanging="192"/>
        <w:jc w:val="left"/>
        <w:rPr>
          <w:rFonts w:eastAsia="Arial" w:cs="Arial"/>
          <w:sz w:val="20"/>
          <w:szCs w:val="20"/>
        </w:rPr>
      </w:pPr>
      <w:r>
        <w:rPr>
          <w:rFonts w:eastAsia="Arial" w:cs="Arial"/>
          <w:sz w:val="20"/>
          <w:szCs w:val="20"/>
        </w:rPr>
        <w:t>Maintain a list of each custodian that holds SMA client assets;</w:t>
      </w:r>
    </w:p>
    <w:p>
      <w:pPr>
        <w:numPr>
          <w:ilvl w:val="0"/>
          <w:numId w:val="488"/>
        </w:numPr>
        <w:ind w:left="720" w:hanging="192"/>
        <w:jc w:val="left"/>
        <w:rPr>
          <w:rFonts w:eastAsia="Arial" w:cs="Arial"/>
          <w:sz w:val="20"/>
          <w:szCs w:val="20"/>
        </w:rPr>
      </w:pPr>
      <w:r>
        <w:rPr>
          <w:rFonts w:eastAsia="Arial" w:cs="Arial"/>
          <w:sz w:val="20"/>
          <w:szCs w:val="20"/>
        </w:rPr>
        <w:t>Determine which of those custodians hold 10% or more of the SMA client assets; and</w:t>
      </w:r>
    </w:p>
    <w:p>
      <w:pPr>
        <w:numPr>
          <w:ilvl w:val="0"/>
          <w:numId w:val="488"/>
        </w:numPr>
        <w:spacing w:after="200"/>
        <w:ind w:left="720" w:hanging="192"/>
        <w:jc w:val="left"/>
        <w:rPr>
          <w:rFonts w:eastAsia="Arial" w:cs="Arial"/>
          <w:sz w:val="20"/>
          <w:szCs w:val="20"/>
        </w:rPr>
      </w:pPr>
      <w:r>
        <w:rPr>
          <w:rFonts w:eastAsia="Arial" w:cs="Arial"/>
          <w:sz w:val="20"/>
          <w:szCs w:val="20"/>
        </w:rPr>
        <w:t>Report those custodians to the SEC pursuant to Form ADV, Part 1A, Schedule D, Section 5.K.(3) (when KCD files an amendment to its existing Form ADV on or after October 1, 2017).</w:t>
      </w:r>
    </w:p>
    <w:p/>
    <w:p>
      <w:pPr>
        <w:pStyle w:val="Heading3"/>
      </w:pPr>
      <w:bookmarkStart w:id="560" w:name="_Toc256000150"/>
      <w:r>
        <w:t>8.3.23 Commodities/Futures</w:t>
      </w:r>
      <w:bookmarkEnd w:id="560"/>
    </w:p>
    <w:p/>
    <w:p>
      <w:pPr>
        <w:rPr>
          <w:rFonts w:eastAsia="Arial" w:cs="Arial"/>
          <w:sz w:val="16"/>
          <w:szCs w:val="16"/>
        </w:rPr>
      </w:pPr>
      <w:r>
        <w:rPr>
          <w:rFonts w:eastAsia="Arial" w:cs="Arial"/>
          <w:sz w:val="16"/>
          <w:szCs w:val="16"/>
        </w:rPr>
        <w:t>[Commodity Exchange Act Section 4f(a)]</w:t>
      </w:r>
    </w:p>
    <w:p/>
    <w:p>
      <w:pPr>
        <w:pStyle w:val="normal0"/>
        <w:spacing w:after="200"/>
        <w:rPr>
          <w:rFonts w:eastAsia="Arial" w:cs="Arial"/>
          <w:sz w:val="20"/>
          <w:szCs w:val="20"/>
        </w:rPr>
      </w:pPr>
      <w:r>
        <w:rPr>
          <w:rFonts w:eastAsia="Arial" w:cs="Arial"/>
          <w:sz w:val="20"/>
          <w:szCs w:val="20"/>
        </w:rPr>
        <w:t xml:space="preserve">KCD will ensure that any client assets invested in security futures, or other securities incidental to transactions in contracts for the purchase or sale of a commodity for future delivery and options thereon, will be held at a futures commission merchant registered under Section 4f(a) of the Commodity Exchange Act. A futures commission merchant qualifies as a Qualified Custodian with respect to security futures owned by clients. </w:t>
      </w:r>
    </w:p>
    <w:p>
      <w:bookmarkStart w:id="561" w:name="Sec_Chp_07212721336499101_061016108322"/>
    </w:p>
    <w:p>
      <w:pPr>
        <w:pStyle w:val="Heading3"/>
      </w:pPr>
      <w:bookmarkStart w:id="562" w:name="_Toc256000151"/>
      <w:r>
        <w:t>8.3.24 Swaps</w:t>
      </w:r>
      <w:bookmarkEnd w:id="562"/>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has custody of a client's assets that include a swap agreement with a counterparty and posts funds or securities as collateral in connection with the swap on behalf of the client, such collateral must be maintained with a Qualified Custodian. If the Qualified Custodian is a related person, KCD must receive an Internal Control Report from the Qualified Custodian. In addition, KCD must undergo a surprise examination unless the Qualified Custodian is operationally independent. Both the surprise examination, if required, and Internal Control Report must be performed by an accountant that is registered with, and subject to regular inspection by, the PCAOB.</w:t>
      </w:r>
    </w:p>
    <w:p>
      <w:bookmarkEnd w:id="561"/>
    </w:p>
    <w:p>
      <w:pPr>
        <w:pStyle w:val="Heading3"/>
      </w:pPr>
      <w:bookmarkStart w:id="563" w:name="_Toc256000152"/>
      <w:r>
        <w:t>8.3.25 Audited Balance Sheet</w:t>
      </w:r>
      <w:bookmarkEnd w:id="563"/>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receives the prepayment of fees exceeding $1200 per client and six more months in advance, it will include an audited balance sheet in its Firm Brochure that is provided to clients.</w:t>
      </w:r>
    </w:p>
    <w:p/>
    <w:p>
      <w:pPr>
        <w:pStyle w:val="Heading3"/>
      </w:pPr>
      <w:bookmarkStart w:id="564" w:name="_Toc256000153"/>
      <w:r>
        <w:t>8.3.26 Additional SEC Best Practices</w:t>
      </w:r>
      <w:bookmarkEnd w:id="564"/>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From time to time, KCD shall consider implementing custody best practices identified by the SEC in its 2009 release adopting amendments to Rule 206(4)-2, including the following: </w:t>
      </w:r>
    </w:p>
    <w:p>
      <w:pPr>
        <w:numPr>
          <w:ilvl w:val="0"/>
          <w:numId w:val="489"/>
        </w:numPr>
        <w:spacing w:before="200"/>
        <w:ind w:left="720" w:hanging="192"/>
        <w:jc w:val="left"/>
        <w:rPr>
          <w:rFonts w:eastAsia="Arial" w:cs="Arial"/>
          <w:sz w:val="20"/>
          <w:szCs w:val="20"/>
        </w:rPr>
      </w:pPr>
      <w:r>
        <w:rPr>
          <w:rFonts w:eastAsia="Arial" w:cs="Arial"/>
          <w:sz w:val="20"/>
          <w:szCs w:val="20"/>
        </w:rPr>
        <w:t xml:space="preserve">conducting background and credit checks on employees of KCD who will have access (or could acquire access) to client assets to determine whether it would be appropriate for those employees to have such access; </w:t>
      </w:r>
    </w:p>
    <w:p>
      <w:pPr>
        <w:numPr>
          <w:ilvl w:val="0"/>
          <w:numId w:val="489"/>
        </w:numPr>
        <w:ind w:left="720" w:hanging="192"/>
        <w:jc w:val="left"/>
        <w:rPr>
          <w:rFonts w:eastAsia="Arial" w:cs="Arial"/>
          <w:sz w:val="20"/>
          <w:szCs w:val="20"/>
        </w:rPr>
      </w:pPr>
      <w:r>
        <w:rPr>
          <w:rFonts w:eastAsia="Arial" w:cs="Arial"/>
          <w:sz w:val="20"/>
          <w:szCs w:val="20"/>
        </w:rPr>
        <w:t xml:space="preserve">requiring the authorization of more than one employee before the movement of assets within, and withdrawals or transfers from, a client's account, as well as before changes to account ownership information; </w:t>
      </w:r>
    </w:p>
    <w:p>
      <w:pPr>
        <w:numPr>
          <w:ilvl w:val="0"/>
          <w:numId w:val="489"/>
        </w:numPr>
        <w:ind w:left="720" w:hanging="192"/>
        <w:jc w:val="left"/>
        <w:rPr>
          <w:rFonts w:eastAsia="Arial" w:cs="Arial"/>
          <w:sz w:val="20"/>
          <w:szCs w:val="20"/>
        </w:rPr>
      </w:pPr>
      <w:r>
        <w:rPr>
          <w:rFonts w:eastAsia="Arial" w:cs="Arial"/>
          <w:sz w:val="20"/>
          <w:szCs w:val="20"/>
        </w:rPr>
        <w:t xml:space="preserve">limiting the number of employees who are permitted to interact with custodians with respect to client assets and rotating them on a periodic basis; </w:t>
      </w:r>
    </w:p>
    <w:p>
      <w:pPr>
        <w:numPr>
          <w:ilvl w:val="0"/>
          <w:numId w:val="489"/>
        </w:numPr>
        <w:ind w:left="720" w:hanging="192"/>
        <w:jc w:val="left"/>
        <w:rPr>
          <w:rFonts w:eastAsia="Arial" w:cs="Arial"/>
          <w:sz w:val="20"/>
          <w:szCs w:val="20"/>
        </w:rPr>
      </w:pPr>
      <w:r>
        <w:rPr>
          <w:rFonts w:eastAsia="Arial" w:cs="Arial"/>
          <w:sz w:val="20"/>
          <w:szCs w:val="20"/>
        </w:rPr>
        <w:t xml:space="preserve">if KCD also serves as a qualified custodian for client assets, segregating the duties of its advisory personnel from those of custodial personnel; </w:t>
      </w:r>
    </w:p>
    <w:p>
      <w:pPr>
        <w:numPr>
          <w:ilvl w:val="0"/>
          <w:numId w:val="489"/>
        </w:numPr>
        <w:ind w:left="720" w:hanging="192"/>
        <w:jc w:val="left"/>
        <w:rPr>
          <w:rFonts w:eastAsia="Arial" w:cs="Arial"/>
          <w:sz w:val="20"/>
          <w:szCs w:val="20"/>
        </w:rPr>
      </w:pPr>
      <w:r>
        <w:rPr>
          <w:rFonts w:eastAsia="Arial" w:cs="Arial"/>
          <w:sz w:val="20"/>
          <w:szCs w:val="20"/>
        </w:rPr>
        <w:t xml:space="preserve">monitoring for inconsistencies or patterns that suggest possible manipulation of address information as a means for concealing misappropriation from these accounts by advisory personnel; </w:t>
      </w:r>
    </w:p>
    <w:p>
      <w:pPr>
        <w:numPr>
          <w:ilvl w:val="0"/>
          <w:numId w:val="489"/>
        </w:numPr>
        <w:ind w:left="720" w:hanging="192"/>
        <w:jc w:val="left"/>
        <w:rPr>
          <w:rFonts w:eastAsia="Arial" w:cs="Arial"/>
          <w:sz w:val="20"/>
          <w:szCs w:val="20"/>
        </w:rPr>
      </w:pPr>
      <w:r>
        <w:rPr>
          <w:rFonts w:eastAsia="Arial" w:cs="Arial"/>
          <w:sz w:val="20"/>
          <w:szCs w:val="20"/>
        </w:rPr>
        <w:t>requiring any custodial-related problems be brought to the immediate attention of the management of KCD;</w:t>
      </w:r>
    </w:p>
    <w:p>
      <w:pPr>
        <w:numPr>
          <w:ilvl w:val="0"/>
          <w:numId w:val="489"/>
        </w:numPr>
        <w:ind w:left="720" w:hanging="192"/>
        <w:jc w:val="left"/>
        <w:rPr>
          <w:rFonts w:eastAsia="Arial" w:cs="Arial"/>
          <w:sz w:val="20"/>
          <w:szCs w:val="20"/>
        </w:rPr>
      </w:pPr>
      <w:r>
        <w:rPr>
          <w:rFonts w:eastAsia="Arial" w:cs="Arial"/>
          <w:sz w:val="20"/>
          <w:szCs w:val="20"/>
        </w:rPr>
        <w:t>precluding employees from acquiring custody by prohibiting them from, for example, becoming trustees for client assets or obtaining powers of attorney for clients separate and apart from KCD; and</w:t>
      </w:r>
    </w:p>
    <w:p>
      <w:pPr>
        <w:numPr>
          <w:ilvl w:val="0"/>
          <w:numId w:val="489"/>
        </w:numPr>
        <w:spacing w:after="200"/>
        <w:ind w:left="720" w:hanging="192"/>
        <w:jc w:val="left"/>
        <w:rPr>
          <w:rFonts w:eastAsia="Arial" w:cs="Arial"/>
          <w:sz w:val="20"/>
          <w:szCs w:val="20"/>
        </w:rPr>
      </w:pPr>
      <w:r>
        <w:rPr>
          <w:rFonts w:eastAsia="Arial" w:cs="Arial"/>
          <w:sz w:val="20"/>
          <w:szCs w:val="20"/>
        </w:rPr>
        <w:t>comparing, on a sample basis, client addresses obtained from the clients' Qualified Custodians to the addresses of clients maintained by KCD.</w:t>
      </w:r>
    </w:p>
    <w:p/>
    <w:p>
      <w:pPr>
        <w:pStyle w:val="Heading3"/>
      </w:pPr>
      <w:bookmarkStart w:id="565" w:name="_Toc256000154"/>
      <w:r>
        <w:t>8.3.27 SEC Q&amp;As</w:t>
      </w:r>
      <w:bookmarkEnd w:id="565"/>
    </w:p>
    <w:p/>
    <w:p>
      <w:pPr>
        <w:rPr>
          <w:rFonts w:eastAsia="Arial" w:cs="Arial"/>
          <w:sz w:val="16"/>
          <w:szCs w:val="16"/>
        </w:rPr>
      </w:pPr>
      <w:r>
        <w:rPr>
          <w:rFonts w:eastAsia="Arial" w:cs="Arial"/>
          <w:sz w:val="16"/>
          <w:szCs w:val="16"/>
        </w:rPr>
        <w:t>[Investment Advisers Act of 1940 Rule 206(4)-2]</w:t>
      </w:r>
    </w:p>
    <w:p/>
    <w:p>
      <w:pPr>
        <w:pStyle w:val="normal0"/>
        <w:spacing w:after="200"/>
        <w:rPr>
          <w:rFonts w:eastAsia="Arial" w:cs="Arial"/>
          <w:sz w:val="20"/>
          <w:szCs w:val="20"/>
        </w:rPr>
      </w:pPr>
      <w:r>
        <w:rPr>
          <w:rFonts w:eastAsia="Arial" w:cs="Arial"/>
          <w:sz w:val="20"/>
          <w:szCs w:val="20"/>
        </w:rPr>
        <w:t>Due to the complexity of Rule 206(4)-2, the SEC from time to time issues a Q&amp;A regarding issues raised by the Rule. KCD shall monitor the SEC’s website (www.sec.gov) for Q&amp;As and revisions to Q&amp;As related to Rule 206(4)-2 and, when appropriate, amend these procedures to be consistent with the latest guidance provided by the SEC regarding custody of hedge fund client assets.</w:t>
      </w:r>
    </w:p>
    <w:p>
      <w:bookmarkStart w:id="566" w:name="Sec_Chp_07212721336499101_0610168326"/>
    </w:p>
    <w:p>
      <w:pPr>
        <w:pStyle w:val="Heading3"/>
      </w:pPr>
      <w:bookmarkStart w:id="567" w:name="_Toc256000155"/>
      <w:r>
        <w:t>8.3.28 Syndicated Loans</w:t>
      </w:r>
      <w:bookmarkEnd w:id="567"/>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assets of one or more clients are invested in interests of a pool of syndicated loans where client assets are commingled with non-client assets in a single account, KCD shall make sure that it meets the conditions of the Madison Capital Funding LLC (pub. avail. January 9, 2019), an SEC letter that provides no-action relief from Section 206(4) of the Advisers Act and Rule 206(4)-2 thereunder (Custody Rule).</w:t>
      </w:r>
    </w:p>
    <w:p>
      <w:bookmarkEnd w:id="566"/>
      <w:bookmarkStart w:id="568" w:name="Sec_Chp_07212721336499101_0008329"/>
    </w:p>
    <w:p>
      <w:pPr>
        <w:pStyle w:val="Heading3"/>
      </w:pPr>
      <w:bookmarkStart w:id="569" w:name="_Toc256000156"/>
      <w:r>
        <w:t>8.3.29 Custody of Crypto Assets</w:t>
      </w:r>
      <w:bookmarkEnd w:id="569"/>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a client of KCD may own crypto assets.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Crypto assets, sometimes called crypto-currency or crypto, is any form of currency that exists digitally or virtually and uses cryptography to secure transactions. Examples of crypto assets are Bitcoin, Ethereum, Litecoin and Ripple.</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has issued a no-action letter that permits registered investment advisers with clients who own crypto in their advisory accounts to meet the custody requirements of Rule 206(4)-2 if such assets are placed with and maintained by a state trust company (provided certain conditions are met). See Simpson Thacher &amp; Bartlett (pub. avail. September 30, 2025) (Simpson Thacher Letter).</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KCD shall take the necessary steps to ensure that client crypto assets are custodied in a manner that protects and minimizes the potential for a client's loss of such assets. In doing so, KCD shall:</w:t>
      </w:r>
    </w:p>
    <w:p>
      <w:pPr>
        <w:numPr>
          <w:ilvl w:val="0"/>
          <w:numId w:val="490"/>
        </w:numPr>
        <w:spacing w:before="200"/>
        <w:ind w:left="720" w:hanging="267"/>
        <w:jc w:val="left"/>
        <w:rPr>
          <w:rFonts w:eastAsia="Arial" w:cs="Arial"/>
          <w:sz w:val="20"/>
          <w:szCs w:val="20"/>
        </w:rPr>
      </w:pPr>
      <w:r>
        <w:rPr>
          <w:rFonts w:eastAsia="Arial" w:cs="Arial"/>
          <w:sz w:val="20"/>
          <w:szCs w:val="20"/>
        </w:rPr>
        <w:t xml:space="preserve">confirm that the bank it selects to hold crypto on behalf of clients is a state trust company; </w:t>
      </w:r>
      <w:r>
        <w:rPr>
          <w:rFonts w:eastAsia="Arial" w:cs="Arial"/>
          <w:i/>
          <w:iCs/>
          <w:sz w:val="20"/>
          <w:szCs w:val="20"/>
        </w:rPr>
        <w:t>i.e.,</w:t>
      </w:r>
      <w:r>
        <w:rPr>
          <w:rFonts w:eastAsia="Arial" w:cs="Arial"/>
          <w:sz w:val="20"/>
          <w:szCs w:val="20"/>
        </w:rPr>
        <w:t xml:space="preserve"> a legal entity organized under state law that is: (i) supervised and examined by a state authority having supervision over banks; and (ii) permitted to exercise fiduciary powers under applicable state law;</w:t>
      </w:r>
    </w:p>
    <w:p>
      <w:pPr>
        <w:numPr>
          <w:ilvl w:val="0"/>
          <w:numId w:val="490"/>
        </w:numPr>
        <w:ind w:left="720" w:hanging="267"/>
        <w:jc w:val="left"/>
        <w:rPr>
          <w:rFonts w:eastAsia="Arial" w:cs="Arial"/>
          <w:sz w:val="20"/>
          <w:szCs w:val="20"/>
        </w:rPr>
      </w:pPr>
      <w:r>
        <w:rPr>
          <w:rFonts w:eastAsia="Arial" w:cs="Arial"/>
          <w:sz w:val="20"/>
          <w:szCs w:val="20"/>
        </w:rPr>
        <w:t>confirm the bank maintains and implements written internal policies and procedures reasonably designed to safeguard crypto assets from the risk of theft, loss, misuse, and misappropriation, with such policies and procedures addressing, among other topics, private key management and cybersecurity. In making such determination, KCD will:</w:t>
      </w:r>
    </w:p>
    <w:p>
      <w:pPr>
        <w:numPr>
          <w:ilvl w:val="1"/>
          <w:numId w:val="490"/>
        </w:numPr>
        <w:ind w:left="1440" w:hanging="267"/>
        <w:jc w:val="left"/>
        <w:rPr>
          <w:rFonts w:eastAsia="Arial" w:cs="Arial"/>
          <w:sz w:val="20"/>
          <w:szCs w:val="20"/>
        </w:rPr>
      </w:pPr>
      <w:r>
        <w:rPr>
          <w:rFonts w:eastAsia="Arial" w:cs="Arial"/>
          <w:sz w:val="20"/>
          <w:szCs w:val="20"/>
        </w:rPr>
        <w:t>request and review the bank's most recent annual financial statements and confirm that such financial statements have been subject to an audit by an independent public accountant and have been prepared in accordance with Generally Accepted Accounting Principles (GAAP); and</w:t>
      </w:r>
    </w:p>
    <w:p>
      <w:pPr>
        <w:numPr>
          <w:ilvl w:val="1"/>
          <w:numId w:val="490"/>
        </w:numPr>
        <w:ind w:left="1440" w:hanging="267"/>
        <w:jc w:val="left"/>
        <w:rPr>
          <w:rFonts w:eastAsia="Arial" w:cs="Arial"/>
          <w:sz w:val="20"/>
          <w:szCs w:val="20"/>
        </w:rPr>
      </w:pPr>
      <w:r>
        <w:rPr>
          <w:rFonts w:eastAsia="Arial" w:cs="Arial"/>
          <w:sz w:val="20"/>
          <w:szCs w:val="20"/>
        </w:rPr>
        <w:t>request and review the bank's most recent written internal control report prepared by an independent public accountant during the current or prior calendar year (</w:t>
      </w:r>
      <w:r>
        <w:rPr>
          <w:rFonts w:eastAsia="Arial" w:cs="Arial"/>
          <w:i/>
          <w:iCs/>
          <w:sz w:val="20"/>
          <w:szCs w:val="20"/>
        </w:rPr>
        <w:t>e.g</w:t>
      </w:r>
      <w:r>
        <w:rPr>
          <w:rFonts w:eastAsia="Arial" w:cs="Arial"/>
          <w:sz w:val="20"/>
          <w:szCs w:val="20"/>
        </w:rPr>
        <w:t>., SOC-1 report or SOC-2 report) and confirm that such internal control report contains an opinion of such independent public accountant that controls have been placed in operation as of a specific date and are suitably designed and are operating effectively to meet control objectives relating to custodial services, including the safeguarding of crypto assets;</w:t>
      </w:r>
    </w:p>
    <w:p>
      <w:pPr>
        <w:numPr>
          <w:ilvl w:val="0"/>
          <w:numId w:val="490"/>
        </w:numPr>
        <w:ind w:left="720" w:hanging="267"/>
        <w:jc w:val="left"/>
        <w:rPr>
          <w:rFonts w:eastAsia="Arial" w:cs="Arial"/>
          <w:sz w:val="20"/>
          <w:szCs w:val="20"/>
        </w:rPr>
      </w:pPr>
      <w:r>
        <w:rPr>
          <w:rFonts w:eastAsia="Arial" w:cs="Arial"/>
          <w:sz w:val="20"/>
          <w:szCs w:val="20"/>
        </w:rPr>
        <w:t>enter into, or cause the applicable clients to enter into, a written custodial services agreement with the bank, which provides that:</w:t>
      </w:r>
    </w:p>
    <w:p>
      <w:pPr>
        <w:numPr>
          <w:ilvl w:val="1"/>
          <w:numId w:val="490"/>
        </w:numPr>
        <w:ind w:left="1440" w:hanging="267"/>
        <w:jc w:val="left"/>
        <w:rPr>
          <w:rFonts w:eastAsia="Arial" w:cs="Arial"/>
          <w:sz w:val="20"/>
          <w:szCs w:val="20"/>
        </w:rPr>
      </w:pPr>
      <w:r>
        <w:rPr>
          <w:rFonts w:eastAsia="Arial" w:cs="Arial"/>
          <w:sz w:val="20"/>
          <w:szCs w:val="20"/>
        </w:rPr>
        <w:t>the bank will not, directly or indirectly, lend, pledge, hypothecate, or rehypothecate any crypto assets held in custody for the client without the prior written consent of the client, and then only for the account of such client; and</w:t>
      </w:r>
    </w:p>
    <w:p>
      <w:pPr>
        <w:numPr>
          <w:ilvl w:val="1"/>
          <w:numId w:val="490"/>
        </w:numPr>
        <w:ind w:left="1440" w:hanging="267"/>
        <w:jc w:val="left"/>
        <w:rPr>
          <w:rFonts w:eastAsia="Arial" w:cs="Arial"/>
          <w:sz w:val="20"/>
          <w:szCs w:val="20"/>
        </w:rPr>
      </w:pPr>
      <w:r>
        <w:rPr>
          <w:rFonts w:eastAsia="Arial" w:cs="Arial"/>
          <w:sz w:val="20"/>
          <w:szCs w:val="20"/>
        </w:rPr>
        <w:t>all crypto assets held in custody for the client will be segregated from the bank's assets;</w:t>
      </w:r>
    </w:p>
    <w:p>
      <w:pPr>
        <w:numPr>
          <w:ilvl w:val="0"/>
          <w:numId w:val="490"/>
        </w:numPr>
        <w:ind w:left="720" w:hanging="267"/>
        <w:jc w:val="left"/>
        <w:rPr>
          <w:rFonts w:eastAsia="Arial" w:cs="Arial"/>
          <w:sz w:val="20"/>
          <w:szCs w:val="20"/>
        </w:rPr>
      </w:pPr>
      <w:r>
        <w:rPr>
          <w:rFonts w:eastAsia="Arial" w:cs="Arial"/>
          <w:sz w:val="20"/>
          <w:szCs w:val="20"/>
        </w:rPr>
        <w:t>disclose any material risks associated with using state trust companies as custodians of crypto assets; and</w:t>
      </w:r>
    </w:p>
    <w:p>
      <w:pPr>
        <w:numPr>
          <w:ilvl w:val="0"/>
          <w:numId w:val="490"/>
        </w:numPr>
        <w:spacing w:after="200"/>
        <w:ind w:left="720" w:hanging="267"/>
        <w:jc w:val="left"/>
        <w:rPr>
          <w:rFonts w:eastAsia="Arial" w:cs="Arial"/>
          <w:sz w:val="20"/>
          <w:szCs w:val="20"/>
        </w:rPr>
      </w:pPr>
      <w:r>
        <w:rPr>
          <w:rFonts w:eastAsia="Arial" w:cs="Arial"/>
          <w:sz w:val="20"/>
          <w:szCs w:val="20"/>
        </w:rPr>
        <w:t>reasonably determine for each client that the use of the bank's custody services is in the best interest of the client.</w:t>
      </w:r>
    </w:p>
    <w:p>
      <w:pPr>
        <w:pStyle w:val="normal0"/>
        <w:spacing w:before="200" w:after="200"/>
        <w:rPr>
          <w:rFonts w:eastAsia="Arial" w:cs="Arial"/>
          <w:sz w:val="20"/>
          <w:szCs w:val="20"/>
        </w:rPr>
      </w:pPr>
      <w:r>
        <w:rPr>
          <w:rFonts w:eastAsia="Arial" w:cs="Arial"/>
          <w:sz w:val="20"/>
          <w:szCs w:val="20"/>
        </w:rPr>
        <w:t>Crypto assets for purposes of the above shall include in addition to the crypto assets, related cash and/or cash equivalents.</w:t>
      </w:r>
    </w:p>
    <w:p>
      <w:pPr>
        <w:pStyle w:val="normal0"/>
        <w:spacing w:before="200" w:after="200"/>
        <w:rPr>
          <w:rFonts w:eastAsia="Arial" w:cs="Arial"/>
          <w:sz w:val="20"/>
          <w:szCs w:val="20"/>
        </w:rPr>
      </w:pPr>
      <w:r>
        <w:rPr>
          <w:rFonts w:eastAsia="Arial" w:cs="Arial"/>
          <w:sz w:val="20"/>
          <w:szCs w:val="20"/>
        </w:rPr>
        <w:t>Since the SEC in the Simpson Thacher Letter did not address tokens or stablecoin, KCD will confer with outside counsel regarding whether it is appropriate for a client to hold tokens or stablecoins in an advisory account and, if so, how such assets may be legally custodied.</w:t>
      </w:r>
    </w:p>
    <w:p>
      <w:bookmarkEnd w:id="568"/>
      <w:bookmarkStart w:id="570" w:name="Sec_Chp_07212721336499101_260868"/>
    </w:p>
    <w:p>
      <w:pPr>
        <w:pStyle w:val="Heading3"/>
      </w:pPr>
      <w:bookmarkStart w:id="571" w:name="_Toc256000157"/>
      <w:r>
        <w:t>8.3.30 SLOAs</w:t>
      </w:r>
      <w:bookmarkEnd w:id="571"/>
    </w:p>
    <w:p/>
    <w:p>
      <w:pPr>
        <w:rPr>
          <w:rFonts w:eastAsia="Arial" w:cs="Arial"/>
          <w:sz w:val="16"/>
          <w:szCs w:val="16"/>
        </w:rPr>
      </w:pPr>
      <w:r>
        <w:rPr>
          <w:rFonts w:eastAsia="Arial" w:cs="Arial"/>
          <w:sz w:val="16"/>
          <w:szCs w:val="16"/>
        </w:rPr>
        <w:t>[Investment Advisers Act of 1940 Rule 204(b)-1]</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takes the position that an investment adviser with power to dispose of client funds or securities for any purpose other than authorized trading has access to the client's assets. In the SEC's view, a letter of instruction or other similar asset transfer authorization arrangement (SLOA) established by a client with a qualified custodian would constitute an arrangement under which an investment adviser is authorized to withdraw client funds or securities maintained with a qualified custodian. In the SEC's further view, an investment adviser that enters into such an arrangement with its client would have custody of client assets and would be required to comply with the SEC's custody rule. </w:t>
            </w:r>
            <w:r>
              <w:rPr>
                <w:rFonts w:eastAsia="Arial" w:cs="Arial"/>
                <w:b w:val="0"/>
                <w:bCs w:val="0"/>
                <w:i/>
                <w:iCs/>
                <w:smallCaps w:val="0"/>
                <w:color w:val="000000"/>
                <w:sz w:val="20"/>
              </w:rPr>
              <w:t>See Investment Adviser Association (pub. avail. Feb. 21, 2017).</w:t>
            </w:r>
          </w:p>
        </w:tc>
      </w:tr>
    </w:tbl>
    <w:p>
      <w:pPr>
        <w:pStyle w:val="normal0"/>
        <w:spacing w:before="200" w:after="200"/>
        <w:rPr>
          <w:rFonts w:eastAsia="Arial" w:cs="Arial"/>
          <w:sz w:val="20"/>
          <w:szCs w:val="20"/>
        </w:rPr>
      </w:pPr>
      <w:r>
        <w:rPr>
          <w:rFonts w:eastAsia="Arial" w:cs="Arial"/>
          <w:sz w:val="20"/>
          <w:szCs w:val="20"/>
        </w:rPr>
        <w:t>From time to time, KCD will exercise limited authority pursuant to a standing letter of instruction or similar asset transfer authorization (SLOA) that has been established by a client with a qualified custodian. In such cases, KCD shall follow the procedures below:</w:t>
      </w:r>
    </w:p>
    <w:p>
      <w:pPr>
        <w:numPr>
          <w:ilvl w:val="0"/>
          <w:numId w:val="491"/>
        </w:numPr>
        <w:spacing w:before="200"/>
        <w:ind w:left="720" w:hanging="267"/>
        <w:jc w:val="left"/>
        <w:rPr>
          <w:rFonts w:eastAsia="Arial" w:cs="Arial"/>
          <w:sz w:val="20"/>
          <w:szCs w:val="20"/>
        </w:rPr>
      </w:pPr>
      <w:r>
        <w:rPr>
          <w:rFonts w:eastAsia="Arial" w:cs="Arial"/>
          <w:sz w:val="20"/>
          <w:szCs w:val="20"/>
        </w:rPr>
        <w:t>KCD will arrange for the client to provide an instruction to the qualified custodian, in writing, that includes the client's signature, the third-party's name, and either the third-party's address or the third-party's account number at a custodian to which the transfer should be directed;</w:t>
      </w:r>
    </w:p>
    <w:p>
      <w:pPr>
        <w:numPr>
          <w:ilvl w:val="0"/>
          <w:numId w:val="491"/>
        </w:numPr>
        <w:ind w:left="720" w:hanging="267"/>
        <w:jc w:val="left"/>
        <w:rPr>
          <w:rFonts w:eastAsia="Arial" w:cs="Arial"/>
          <w:sz w:val="20"/>
          <w:szCs w:val="20"/>
        </w:rPr>
      </w:pPr>
      <w:r>
        <w:rPr>
          <w:rFonts w:eastAsia="Arial" w:cs="Arial"/>
          <w:sz w:val="20"/>
          <w:szCs w:val="20"/>
        </w:rPr>
        <w:t>The client will authorize KCD, in writing, either on the qualified custodian's form or separately, to direct transfers to the third party either on a specified schedule or from time to time;</w:t>
      </w:r>
    </w:p>
    <w:p>
      <w:pPr>
        <w:numPr>
          <w:ilvl w:val="0"/>
          <w:numId w:val="491"/>
        </w:numPr>
        <w:ind w:left="720" w:hanging="267"/>
        <w:jc w:val="left"/>
        <w:rPr>
          <w:rFonts w:eastAsia="Arial" w:cs="Arial"/>
          <w:sz w:val="20"/>
          <w:szCs w:val="20"/>
        </w:rPr>
      </w:pPr>
      <w:r>
        <w:rPr>
          <w:rFonts w:eastAsia="Arial" w:cs="Arial"/>
          <w:sz w:val="20"/>
          <w:szCs w:val="20"/>
        </w:rPr>
        <w:t>KCD will instruct by contract or otherwise the client's qualified custodian to perform appropriate verification of the instruction, such as a signature review or other method to verify the client's authorization, and provide a transfer of funds notice to the client promptly after each transfer;</w:t>
      </w:r>
    </w:p>
    <w:p>
      <w:pPr>
        <w:numPr>
          <w:ilvl w:val="0"/>
          <w:numId w:val="491"/>
        </w:numPr>
        <w:ind w:left="720" w:hanging="267"/>
        <w:jc w:val="left"/>
        <w:rPr>
          <w:rFonts w:eastAsia="Arial" w:cs="Arial"/>
          <w:sz w:val="20"/>
          <w:szCs w:val="20"/>
        </w:rPr>
      </w:pPr>
      <w:r>
        <w:rPr>
          <w:rFonts w:eastAsia="Arial" w:cs="Arial"/>
          <w:sz w:val="20"/>
          <w:szCs w:val="20"/>
        </w:rPr>
        <w:t>The client will have the ability to terminate or change the instruction to the client's qualified custodian;</w:t>
      </w:r>
    </w:p>
    <w:p>
      <w:pPr>
        <w:numPr>
          <w:ilvl w:val="0"/>
          <w:numId w:val="491"/>
        </w:numPr>
        <w:ind w:left="720" w:hanging="267"/>
        <w:jc w:val="left"/>
        <w:rPr>
          <w:rFonts w:eastAsia="Arial" w:cs="Arial"/>
          <w:sz w:val="20"/>
          <w:szCs w:val="20"/>
        </w:rPr>
      </w:pPr>
      <w:r>
        <w:rPr>
          <w:rFonts w:eastAsia="Arial" w:cs="Arial"/>
          <w:sz w:val="20"/>
          <w:szCs w:val="20"/>
        </w:rPr>
        <w:t>KCD shall have no authority or ability to designate or change the identity of the third party, the address, or any other information about the third party contained in the client's instruction;</w:t>
      </w:r>
    </w:p>
    <w:p>
      <w:pPr>
        <w:numPr>
          <w:ilvl w:val="0"/>
          <w:numId w:val="491"/>
        </w:numPr>
        <w:ind w:left="720" w:hanging="267"/>
        <w:jc w:val="left"/>
        <w:rPr>
          <w:rFonts w:eastAsia="Arial" w:cs="Arial"/>
          <w:sz w:val="20"/>
          <w:szCs w:val="20"/>
        </w:rPr>
      </w:pPr>
      <w:r>
        <w:rPr>
          <w:rFonts w:eastAsia="Arial" w:cs="Arial"/>
          <w:sz w:val="20"/>
          <w:szCs w:val="20"/>
        </w:rPr>
        <w:t>KCD shall maintain records showing that the third party is not a related party of KCD or located at the same address as KCD;</w:t>
      </w:r>
    </w:p>
    <w:p>
      <w:pPr>
        <w:numPr>
          <w:ilvl w:val="0"/>
          <w:numId w:val="491"/>
        </w:numPr>
        <w:ind w:left="720" w:hanging="267"/>
        <w:jc w:val="left"/>
        <w:rPr>
          <w:rFonts w:eastAsia="Arial" w:cs="Arial"/>
          <w:sz w:val="20"/>
          <w:szCs w:val="20"/>
        </w:rPr>
      </w:pPr>
      <w:r>
        <w:rPr>
          <w:rFonts w:eastAsia="Arial" w:cs="Arial"/>
          <w:sz w:val="20"/>
          <w:szCs w:val="20"/>
        </w:rPr>
        <w:t>KCD shall arrange for the client's qualified custodian to send the client, in writing, an initial notice confirming the instruction and an annual notice reconfirming the instruction; and</w:t>
      </w:r>
    </w:p>
    <w:p>
      <w:pPr>
        <w:numPr>
          <w:ilvl w:val="0"/>
          <w:numId w:val="491"/>
        </w:numPr>
        <w:spacing w:after="200"/>
        <w:ind w:left="720" w:hanging="267"/>
        <w:jc w:val="left"/>
        <w:rPr>
          <w:rFonts w:eastAsia="Arial" w:cs="Arial"/>
          <w:sz w:val="20"/>
          <w:szCs w:val="20"/>
        </w:rPr>
      </w:pPr>
      <w:r>
        <w:rPr>
          <w:rFonts w:eastAsia="Arial" w:cs="Arial"/>
          <w:sz w:val="20"/>
          <w:szCs w:val="20"/>
        </w:rPr>
        <w:t>KCD will include client assets that are subject to a SLOA that result in its response to Item 9 of Form ADV.</w:t>
      </w:r>
    </w:p>
    <w:p>
      <w:bookmarkEnd w:id="570"/>
    </w:p>
    <w:p>
      <w:pPr>
        <w:pStyle w:val="Heading2"/>
      </w:pPr>
      <w:bookmarkStart w:id="572" w:name="_Toc256000158"/>
      <w:r>
        <w:t>8.4 Form ADV Disclosure</w:t>
      </w:r>
      <w:bookmarkEnd w:id="572"/>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indicate on Item 9 to Part I of its Form ADV:</w:t>
      </w:r>
    </w:p>
    <w:p>
      <w:pPr>
        <w:numPr>
          <w:ilvl w:val="0"/>
          <w:numId w:val="492"/>
        </w:numPr>
        <w:spacing w:before="200"/>
        <w:ind w:left="720" w:hanging="192"/>
        <w:jc w:val="left"/>
        <w:rPr>
          <w:rFonts w:eastAsia="Arial" w:cs="Arial"/>
          <w:sz w:val="20"/>
          <w:szCs w:val="20"/>
        </w:rPr>
      </w:pPr>
      <w:r>
        <w:rPr>
          <w:rFonts w:eastAsia="Arial" w:cs="Arial"/>
          <w:sz w:val="20"/>
          <w:szCs w:val="20"/>
        </w:rPr>
        <w:t>whether or not KCD has custody of client assets;</w:t>
      </w:r>
    </w:p>
    <w:p>
      <w:pPr>
        <w:numPr>
          <w:ilvl w:val="0"/>
          <w:numId w:val="492"/>
        </w:numPr>
        <w:ind w:left="720" w:hanging="192"/>
        <w:jc w:val="left"/>
        <w:rPr>
          <w:rFonts w:eastAsia="Arial" w:cs="Arial"/>
          <w:sz w:val="20"/>
          <w:szCs w:val="20"/>
        </w:rPr>
      </w:pPr>
      <w:r>
        <w:rPr>
          <w:rFonts w:eastAsia="Arial" w:cs="Arial"/>
          <w:sz w:val="20"/>
          <w:szCs w:val="20"/>
        </w:rPr>
        <w:t>whether a Related Person of KCD has custody of client assets;</w:t>
      </w:r>
    </w:p>
    <w:p>
      <w:pPr>
        <w:numPr>
          <w:ilvl w:val="0"/>
          <w:numId w:val="492"/>
        </w:numPr>
        <w:ind w:left="720" w:hanging="192"/>
        <w:jc w:val="left"/>
        <w:rPr>
          <w:rFonts w:eastAsia="Arial" w:cs="Arial"/>
          <w:sz w:val="20"/>
          <w:szCs w:val="20"/>
        </w:rPr>
      </w:pPr>
      <w:r>
        <w:rPr>
          <w:rFonts w:eastAsia="Arial" w:cs="Arial"/>
          <w:sz w:val="20"/>
          <w:szCs w:val="20"/>
        </w:rPr>
        <w:t>if necessary, provide a list of Related Persons in Schedule D of KCD's Form ADV;</w:t>
      </w:r>
    </w:p>
    <w:p>
      <w:pPr>
        <w:numPr>
          <w:ilvl w:val="0"/>
          <w:numId w:val="492"/>
        </w:numPr>
        <w:ind w:left="720" w:hanging="192"/>
        <w:jc w:val="left"/>
        <w:rPr>
          <w:rFonts w:eastAsia="Arial" w:cs="Arial"/>
          <w:sz w:val="20"/>
          <w:szCs w:val="20"/>
        </w:rPr>
      </w:pPr>
      <w:r>
        <w:rPr>
          <w:rFonts w:eastAsia="Arial" w:cs="Arial"/>
          <w:sz w:val="20"/>
          <w:szCs w:val="20"/>
        </w:rPr>
        <w:t>if necessary, provide information about annual surprise examination; and</w:t>
      </w:r>
    </w:p>
    <w:p>
      <w:pPr>
        <w:numPr>
          <w:ilvl w:val="0"/>
          <w:numId w:val="492"/>
        </w:numPr>
        <w:spacing w:after="200"/>
        <w:ind w:left="720" w:hanging="192"/>
        <w:jc w:val="left"/>
        <w:rPr>
          <w:rFonts w:eastAsia="Arial" w:cs="Arial"/>
          <w:sz w:val="20"/>
          <w:szCs w:val="20"/>
        </w:rPr>
      </w:pPr>
      <w:r>
        <w:rPr>
          <w:rFonts w:eastAsia="Arial" w:cs="Arial"/>
          <w:sz w:val="20"/>
          <w:szCs w:val="20"/>
        </w:rPr>
        <w:t>if necessary, provide information about Independent Public Accountant.</w:t>
      </w:r>
    </w:p>
    <w:p>
      <w:pPr>
        <w:pStyle w:val="normal0"/>
        <w:spacing w:before="200" w:after="200"/>
        <w:rPr>
          <w:rFonts w:eastAsia="Arial" w:cs="Arial"/>
          <w:sz w:val="20"/>
          <w:szCs w:val="20"/>
        </w:rPr>
      </w:pPr>
      <w:r>
        <w:rPr>
          <w:rFonts w:eastAsia="Arial" w:cs="Arial"/>
          <w:sz w:val="20"/>
          <w:szCs w:val="20"/>
        </w:rPr>
        <w:t>KCD will maintain a list of custodians that hold 10% or more of the assets under management of KCD's separately managed accounts.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The SEC has stated that it focuses on advisers' custodians that hold 10% or more of its separately managed account assets under management. Having additional information about these larger advisers assists the staff in risk assessment. </w:t>
            </w:r>
          </w:p>
        </w:tc>
      </w:tr>
    </w:tbl>
    <w:p>
      <w:bookmarkStart w:id="573" w:name="Sec_Chp_07212721336499101_06101610225435"/>
    </w:p>
    <w:p>
      <w:pPr>
        <w:pStyle w:val="Heading2"/>
      </w:pPr>
      <w:bookmarkStart w:id="574" w:name="_Toc256000159"/>
      <w:r>
        <w:t>8.5 Books and Records</w:t>
      </w:r>
      <w:bookmarkEnd w:id="574"/>
      <w:r>
        <w:t xml:space="preserve"> </w:t>
      </w:r>
    </w:p>
    <w:p/>
    <w:p>
      <w:pPr>
        <w:rPr>
          <w:rFonts w:eastAsia="Arial" w:cs="Arial"/>
          <w:sz w:val="16"/>
          <w:szCs w:val="16"/>
        </w:rPr>
      </w:pPr>
      <w:r>
        <w:rPr>
          <w:rFonts w:eastAsia="Arial" w:cs="Arial"/>
          <w:sz w:val="16"/>
          <w:szCs w:val="16"/>
        </w:rPr>
        <w:t>[Investment Advisers Act of 1940 Rule 206(4)-2(d)(5)]</w:t>
      </w:r>
    </w:p>
    <w:p/>
    <w:p>
      <w:pPr>
        <w:pStyle w:val="normal0"/>
        <w:spacing w:after="200"/>
        <w:rPr>
          <w:rFonts w:eastAsia="Arial" w:cs="Arial"/>
          <w:sz w:val="20"/>
          <w:szCs w:val="20"/>
        </w:rPr>
      </w:pPr>
      <w:r>
        <w:rPr>
          <w:rFonts w:eastAsia="Arial" w:cs="Arial"/>
          <w:sz w:val="20"/>
          <w:szCs w:val="20"/>
        </w:rPr>
        <w:t xml:space="preserve">KCD will maintain in the "Custody" section of its books and records: </w:t>
      </w:r>
    </w:p>
    <w:p>
      <w:pPr>
        <w:numPr>
          <w:ilvl w:val="0"/>
          <w:numId w:val="493"/>
        </w:numPr>
        <w:spacing w:before="200"/>
        <w:ind w:left="720" w:hanging="192"/>
        <w:jc w:val="left"/>
        <w:rPr>
          <w:rFonts w:eastAsia="Arial" w:cs="Arial"/>
          <w:sz w:val="20"/>
          <w:szCs w:val="20"/>
        </w:rPr>
      </w:pPr>
      <w:r>
        <w:rPr>
          <w:rFonts w:eastAsia="Arial" w:cs="Arial"/>
          <w:sz w:val="20"/>
          <w:szCs w:val="20"/>
        </w:rPr>
        <w:t xml:space="preserve">Copies of all written materials received or sent concerning the receipt or delivery of clients' securities and funds; </w:t>
      </w:r>
    </w:p>
    <w:p>
      <w:pPr>
        <w:numPr>
          <w:ilvl w:val="0"/>
          <w:numId w:val="493"/>
        </w:numPr>
        <w:ind w:left="720" w:hanging="192"/>
        <w:jc w:val="left"/>
        <w:rPr>
          <w:rFonts w:eastAsia="Arial" w:cs="Arial"/>
          <w:sz w:val="20"/>
          <w:szCs w:val="20"/>
        </w:rPr>
      </w:pPr>
      <w:r>
        <w:rPr>
          <w:rFonts w:eastAsia="Arial" w:cs="Arial"/>
          <w:sz w:val="20"/>
          <w:szCs w:val="20"/>
        </w:rPr>
        <w:t xml:space="preserve">Copies of all written materials related to the purchase and sale of securities on behalf of clients; </w:t>
      </w:r>
    </w:p>
    <w:p>
      <w:pPr>
        <w:numPr>
          <w:ilvl w:val="0"/>
          <w:numId w:val="493"/>
        </w:numPr>
        <w:ind w:left="720" w:hanging="192"/>
        <w:jc w:val="left"/>
        <w:rPr>
          <w:rFonts w:eastAsia="Arial" w:cs="Arial"/>
          <w:sz w:val="20"/>
          <w:szCs w:val="20"/>
        </w:rPr>
      </w:pPr>
      <w:r>
        <w:rPr>
          <w:rFonts w:eastAsia="Arial" w:cs="Arial"/>
          <w:sz w:val="20"/>
          <w:szCs w:val="20"/>
        </w:rPr>
        <w:t xml:space="preserve">Worksheets demonstrating the reconciliation and documents related to discrepancies and their resolutions; </w:t>
      </w:r>
    </w:p>
    <w:p>
      <w:pPr>
        <w:numPr>
          <w:ilvl w:val="0"/>
          <w:numId w:val="493"/>
        </w:numPr>
        <w:ind w:left="720" w:hanging="192"/>
        <w:jc w:val="left"/>
        <w:rPr>
          <w:rFonts w:eastAsia="Arial" w:cs="Arial"/>
          <w:sz w:val="20"/>
          <w:szCs w:val="20"/>
        </w:rPr>
      </w:pPr>
      <w:r>
        <w:rPr>
          <w:rFonts w:eastAsia="Arial" w:cs="Arial"/>
          <w:sz w:val="20"/>
          <w:szCs w:val="20"/>
        </w:rPr>
        <w:t>Copies of any Internal Control Reports prepared pursuant to the Custody Procedures; and</w:t>
      </w:r>
    </w:p>
    <w:p>
      <w:pPr>
        <w:numPr>
          <w:ilvl w:val="0"/>
          <w:numId w:val="493"/>
        </w:numPr>
        <w:spacing w:after="200"/>
        <w:ind w:left="720" w:hanging="192"/>
        <w:jc w:val="left"/>
        <w:rPr>
          <w:rFonts w:eastAsia="Arial" w:cs="Arial"/>
          <w:sz w:val="20"/>
          <w:szCs w:val="20"/>
        </w:rPr>
      </w:pPr>
      <w:r>
        <w:rPr>
          <w:rFonts w:eastAsia="Arial" w:cs="Arial"/>
          <w:sz w:val="20"/>
          <w:szCs w:val="20"/>
        </w:rPr>
        <w:t>If applicable, a memorandum substantiating that a Related Person is operationally independent of KCD, which includes a rebuttal to the presumption that such Related Person is not operationally independent based on the factors identified in Rule 206(4)-2(d)(5).</w:t>
      </w:r>
    </w:p>
    <w:p>
      <w:pPr>
        <w:rPr>
          <w:rFonts w:ascii="Times New Roman" w:eastAsia="Times New Roman" w:hAnsi="Times New Roman" w:cs="Times New Roman"/>
          <w:sz w:val="24"/>
        </w:rPr>
      </w:pPr>
      <w:bookmarkEnd w:id="573"/>
    </w:p>
    <w:p>
      <w:r>
        <w:rPr>
          <w:rFonts w:ascii="Times New Roman" w:eastAsia="Times New Roman" w:hAnsi="Times New Roman" w:cs="Times New Roman"/>
          <w:sz w:val="24"/>
        </w:rPr>
        <w:br w:type="page"/>
      </w:r>
    </w:p>
    <w:p>
      <w:pPr>
        <w:pStyle w:val="Heading1"/>
      </w:pPr>
      <w:bookmarkStart w:id="575" w:name="_Toc256000160"/>
      <w:r>
        <w:t>9 MARKETING</w:t>
      </w:r>
      <w:bookmarkEnd w:id="575"/>
    </w:p>
    <w:p>
      <w:bookmarkStart w:id="576" w:name="Sec_Chp_061016102254625_061016102254671"/>
    </w:p>
    <w:p>
      <w:pPr>
        <w:pStyle w:val="Heading2"/>
      </w:pPr>
      <w:bookmarkStart w:id="577" w:name="_Toc256000161"/>
      <w:r>
        <w:t>Introduction</w:t>
      </w:r>
      <w:bookmarkEnd w:id="577"/>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Successful marketing is the key to the success of any business. In the advisory business, there is a direct correlation between assets under management and profits. Each dollar of client assets an investment adviser attracts increases each dollar of profits.</w:t>
      </w:r>
    </w:p>
    <w:p>
      <w:pPr>
        <w:pStyle w:val="normal0"/>
        <w:spacing w:before="200" w:after="200"/>
        <w:rPr>
          <w:rFonts w:eastAsia="Arial" w:cs="Arial"/>
          <w:sz w:val="20"/>
          <w:szCs w:val="20"/>
        </w:rPr>
      </w:pPr>
      <w:r>
        <w:rPr>
          <w:rFonts w:eastAsia="Arial" w:cs="Arial"/>
          <w:sz w:val="20"/>
          <w:szCs w:val="20"/>
        </w:rPr>
        <w:t>Partly because of this profit motive and the fiduciary duty advisers owe to clients, the SEC closely regulates advertising and other marketing activities by investment advisers. Federal and state securities laws prohibit the use of advertisements and sales literature in connection with the giving of investment advice that is false, creates an improper impression or omits to state information necessary to make other statements not misleading. The SEC defines "advertisement" broadly to include any communication that offers advisory services, whether it be in print, on the Internet, in electronic form, on the radio or on television.</w:t>
      </w:r>
    </w:p>
    <w:p>
      <w:pPr>
        <w:pStyle w:val="normal0"/>
        <w:spacing w:before="200" w:after="200"/>
        <w:rPr>
          <w:rFonts w:eastAsia="Arial" w:cs="Arial"/>
          <w:sz w:val="20"/>
          <w:szCs w:val="20"/>
        </w:rPr>
      </w:pPr>
      <w:r>
        <w:rPr>
          <w:rFonts w:eastAsia="Arial" w:cs="Arial"/>
          <w:sz w:val="20"/>
          <w:szCs w:val="20"/>
        </w:rPr>
        <w:t>The SEC's Office of Compliance Inspections and Examinations (OCIE) periodically issues an informal top ten most common problems they see at investment advisers. Performance and other advertising issues have made the list every time. Fraudulent advertising remains the most common type of serious violation OCIE finds in its examinations. In one recent speech, the Director of OCIE stated that the SEC continues to place special emphasis on reviewing advisers' performance claims and that "it goes without saying that any representation to customers must be completely accurate." Common problems cited by the SEC include:</w:t>
      </w:r>
    </w:p>
    <w:p>
      <w:pPr>
        <w:numPr>
          <w:ilvl w:val="0"/>
          <w:numId w:val="494"/>
        </w:numPr>
        <w:spacing w:before="200"/>
        <w:ind w:left="720" w:hanging="192"/>
        <w:jc w:val="left"/>
        <w:rPr>
          <w:rFonts w:eastAsia="Arial" w:cs="Arial"/>
          <w:sz w:val="20"/>
          <w:szCs w:val="20"/>
        </w:rPr>
      </w:pPr>
      <w:r>
        <w:rPr>
          <w:rFonts w:eastAsia="Arial" w:cs="Arial"/>
          <w:sz w:val="20"/>
          <w:szCs w:val="20"/>
        </w:rPr>
        <w:t>Use of inflated performance results;</w:t>
      </w:r>
    </w:p>
    <w:p>
      <w:pPr>
        <w:numPr>
          <w:ilvl w:val="0"/>
          <w:numId w:val="494"/>
        </w:numPr>
        <w:ind w:left="720" w:hanging="192"/>
        <w:jc w:val="left"/>
        <w:rPr>
          <w:rFonts w:eastAsia="Arial" w:cs="Arial"/>
          <w:sz w:val="20"/>
          <w:szCs w:val="20"/>
        </w:rPr>
      </w:pPr>
      <w:r>
        <w:rPr>
          <w:rFonts w:eastAsia="Arial" w:cs="Arial"/>
          <w:sz w:val="20"/>
          <w:szCs w:val="20"/>
        </w:rPr>
        <w:t>Use of selective investment recommendations;</w:t>
      </w:r>
    </w:p>
    <w:p>
      <w:pPr>
        <w:numPr>
          <w:ilvl w:val="0"/>
          <w:numId w:val="494"/>
        </w:numPr>
        <w:ind w:left="720" w:hanging="192"/>
        <w:jc w:val="left"/>
        <w:rPr>
          <w:rFonts w:eastAsia="Arial" w:cs="Arial"/>
          <w:sz w:val="20"/>
          <w:szCs w:val="20"/>
        </w:rPr>
      </w:pPr>
      <w:r>
        <w:rPr>
          <w:rFonts w:eastAsia="Arial" w:cs="Arial"/>
          <w:sz w:val="20"/>
          <w:szCs w:val="20"/>
        </w:rPr>
        <w:t>Performance figures that are not supported by client account documentation;</w:t>
      </w:r>
    </w:p>
    <w:p>
      <w:pPr>
        <w:numPr>
          <w:ilvl w:val="0"/>
          <w:numId w:val="494"/>
        </w:numPr>
        <w:ind w:left="720" w:hanging="192"/>
        <w:jc w:val="left"/>
        <w:rPr>
          <w:rFonts w:eastAsia="Arial" w:cs="Arial"/>
          <w:sz w:val="20"/>
          <w:szCs w:val="20"/>
        </w:rPr>
      </w:pPr>
      <w:r>
        <w:rPr>
          <w:rFonts w:eastAsia="Arial" w:cs="Arial"/>
          <w:sz w:val="20"/>
          <w:szCs w:val="20"/>
        </w:rPr>
        <w:t xml:space="preserve">Composites consisting of "cherry picked" client accounts; and </w:t>
      </w:r>
    </w:p>
    <w:p>
      <w:pPr>
        <w:numPr>
          <w:ilvl w:val="0"/>
          <w:numId w:val="494"/>
        </w:numPr>
        <w:spacing w:after="200"/>
        <w:ind w:left="720" w:hanging="192"/>
        <w:jc w:val="left"/>
        <w:rPr>
          <w:rFonts w:eastAsia="Arial" w:cs="Arial"/>
          <w:sz w:val="20"/>
          <w:szCs w:val="20"/>
        </w:rPr>
      </w:pPr>
      <w:r>
        <w:rPr>
          <w:rFonts w:eastAsia="Arial" w:cs="Arial"/>
          <w:sz w:val="20"/>
          <w:szCs w:val="20"/>
        </w:rPr>
        <w:t>Gross performance figures (</w:t>
      </w:r>
      <w:r>
        <w:rPr>
          <w:rFonts w:eastAsia="Arial" w:cs="Arial"/>
          <w:i/>
          <w:iCs/>
          <w:sz w:val="20"/>
          <w:szCs w:val="20"/>
        </w:rPr>
        <w:t>i.e.,</w:t>
      </w:r>
      <w:r>
        <w:rPr>
          <w:rFonts w:eastAsia="Arial" w:cs="Arial"/>
          <w:sz w:val="20"/>
          <w:szCs w:val="20"/>
        </w:rPr>
        <w:t xml:space="preserve"> figures that do not exclude fees).</w:t>
      </w:r>
    </w:p>
    <w:p>
      <w:pPr>
        <w:pStyle w:val="normal0"/>
        <w:spacing w:before="200" w:after="200"/>
        <w:rPr>
          <w:rFonts w:eastAsia="Arial" w:cs="Arial"/>
          <w:sz w:val="20"/>
          <w:szCs w:val="20"/>
        </w:rPr>
      </w:pPr>
      <w:r>
        <w:rPr>
          <w:rFonts w:eastAsia="Arial" w:cs="Arial"/>
          <w:sz w:val="20"/>
          <w:szCs w:val="20"/>
        </w:rPr>
        <w:t xml:space="preserve">Needless to say, comprehensive marketing compliance procedures and diligent administration of those procedures is critical to an investment adviser's overall compliance program. </w:t>
      </w:r>
    </w:p>
    <w:p>
      <w:pPr>
        <w:pStyle w:val="normal0"/>
        <w:spacing w:before="200" w:after="200"/>
        <w:rPr>
          <w:rFonts w:eastAsia="Arial" w:cs="Arial"/>
          <w:sz w:val="20"/>
          <w:szCs w:val="20"/>
        </w:rPr>
      </w:pPr>
      <w:r>
        <w:rPr>
          <w:rFonts w:eastAsia="Arial" w:cs="Arial"/>
          <w:i/>
          <w:iCs/>
          <w:sz w:val="20"/>
          <w:szCs w:val="20"/>
        </w:rPr>
        <w:t xml:space="preserve">These policies and procedures govern all </w:t>
      </w:r>
      <w:r>
        <w:rPr>
          <w:rFonts w:eastAsia="Arial" w:cs="Arial"/>
          <w:sz w:val="20"/>
          <w:szCs w:val="20"/>
        </w:rPr>
        <w:t>KCD</w:t>
      </w:r>
      <w:r>
        <w:rPr>
          <w:rFonts w:eastAsia="Arial" w:cs="Arial"/>
          <w:i/>
          <w:iCs/>
          <w:sz w:val="20"/>
          <w:szCs w:val="20"/>
        </w:rPr>
        <w:t xml:space="preserve"> advertisements and sales materials. Other types of public communications made by </w:t>
      </w:r>
      <w:r>
        <w:rPr>
          <w:rFonts w:eastAsia="Arial" w:cs="Arial"/>
          <w:sz w:val="20"/>
          <w:szCs w:val="20"/>
        </w:rPr>
        <w:t>KCD</w:t>
      </w:r>
      <w:r>
        <w:rPr>
          <w:rFonts w:eastAsia="Arial" w:cs="Arial"/>
          <w:i/>
          <w:iCs/>
          <w:sz w:val="20"/>
          <w:szCs w:val="20"/>
        </w:rPr>
        <w:t xml:space="preserve"> designed to retain existing clients are also considered advertisements, including form letters and other client communications. These communications are covered by different policies and procedures in the Compliance Manual.</w:t>
      </w:r>
    </w:p>
    <w:p>
      <w:pPr>
        <w:pStyle w:val="normal0"/>
        <w:spacing w:before="200" w:after="200"/>
        <w:rPr>
          <w:rFonts w:eastAsia="Arial" w:cs="Arial"/>
          <w:sz w:val="20"/>
          <w:szCs w:val="20"/>
        </w:rPr>
      </w:pPr>
      <w:r>
        <w:rPr>
          <w:rFonts w:eastAsia="Arial" w:cs="Arial"/>
          <w:i/>
          <w:iCs/>
          <w:sz w:val="20"/>
          <w:szCs w:val="20"/>
        </w:rPr>
        <w:t>These policies and procedures are reasonably designed to prevent violations of the Advisers Act and the rules thereunder including recent significant revisions to the Marketing Rule.</w:t>
      </w:r>
    </w:p>
    <w:p>
      <w:bookmarkEnd w:id="576"/>
      <w:bookmarkStart w:id="578" w:name="Sec_Chp_061016102254625_061016102254906"/>
    </w:p>
    <w:p>
      <w:pPr>
        <w:pStyle w:val="Heading2"/>
      </w:pPr>
      <w:bookmarkStart w:id="579" w:name="_Toc256000162"/>
      <w:r>
        <w:t>9.1 Portability of Performance</w:t>
      </w:r>
      <w:bookmarkEnd w:id="579"/>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 xml:space="preserve">KCD may desire to advertise performance achieved at another advisory firm. This may occur, for example, when a portfolio management team leaves one advisory firm and joins KCD. </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defines "predecessor performance" to mean investment performance achieved by a group of investments consisting of an account or a private fund that was not advised at all times during the period shown by the investment adviser advertising the performance. </w:t>
            </w:r>
          </w:p>
        </w:tc>
      </w:tr>
    </w:tbl>
    <w:p>
      <w:pPr>
        <w:rPr>
          <w:rFonts w:eastAsia="Arial" w:cs="Arial"/>
          <w:sz w:val="20"/>
          <w:szCs w:val="20"/>
        </w:rPr>
      </w:pPr>
    </w:p>
    <w:p>
      <w:pPr>
        <w:spacing w:before="200" w:after="200"/>
        <w:rPr>
          <w:rFonts w:eastAsia="Arial" w:cs="Arial"/>
          <w:sz w:val="20"/>
          <w:szCs w:val="20"/>
        </w:rPr>
      </w:pPr>
      <w:r>
        <w:rPr>
          <w:rFonts w:eastAsia="Arial" w:cs="Arial"/>
          <w:sz w:val="20"/>
          <w:szCs w:val="20"/>
        </w:rPr>
        <w:t>KCD will include in advertisements or marketing materials predecessor performance only if the following conditions are met:</w:t>
      </w:r>
    </w:p>
    <w:p>
      <w:pPr>
        <w:numPr>
          <w:ilvl w:val="0"/>
          <w:numId w:val="495"/>
        </w:numPr>
        <w:spacing w:before="200"/>
        <w:ind w:left="720" w:hanging="267"/>
        <w:jc w:val="left"/>
        <w:rPr>
          <w:rFonts w:eastAsia="Arial" w:cs="Arial"/>
          <w:sz w:val="20"/>
          <w:szCs w:val="20"/>
        </w:rPr>
      </w:pPr>
      <w:r>
        <w:rPr>
          <w:rFonts w:eastAsia="Arial" w:cs="Arial"/>
          <w:sz w:val="20"/>
          <w:szCs w:val="20"/>
        </w:rPr>
        <w:t>The person or persons who were primarily responsible for achieving the prior performance results manage accounts at KCD;</w:t>
      </w:r>
    </w:p>
    <w:p>
      <w:pPr>
        <w:numPr>
          <w:ilvl w:val="0"/>
          <w:numId w:val="495"/>
        </w:numPr>
        <w:ind w:left="720" w:hanging="267"/>
        <w:jc w:val="left"/>
        <w:rPr>
          <w:rFonts w:eastAsia="Arial" w:cs="Arial"/>
          <w:sz w:val="20"/>
          <w:szCs w:val="20"/>
        </w:rPr>
      </w:pPr>
      <w:r>
        <w:rPr>
          <w:rFonts w:eastAsia="Arial" w:cs="Arial"/>
          <w:sz w:val="20"/>
          <w:szCs w:val="20"/>
        </w:rPr>
        <w:t>The accounts managed at the predecessor investment adviser are sufficiently similar to the accounts managed at KCD that the performance results would provide relevant information to investors;</w:t>
      </w:r>
    </w:p>
    <w:p>
      <w:pPr>
        <w:numPr>
          <w:ilvl w:val="0"/>
          <w:numId w:val="495"/>
        </w:numPr>
        <w:ind w:left="720" w:hanging="267"/>
        <w:jc w:val="left"/>
        <w:rPr>
          <w:rFonts w:eastAsia="Arial" w:cs="Arial"/>
          <w:sz w:val="20"/>
          <w:szCs w:val="20"/>
        </w:rPr>
      </w:pPr>
      <w:r>
        <w:rPr>
          <w:rFonts w:eastAsia="Arial" w:cs="Arial"/>
          <w:sz w:val="20"/>
          <w:szCs w:val="20"/>
        </w:rPr>
        <w:t>All accounts that were managed in a substantially similar manner are advertised unless the exclusion of any such account would not result in materially higher performance and the exclusion of any account does not alter the presentation of any prescribed time periods;</w:t>
      </w:r>
    </w:p>
    <w:p>
      <w:pPr>
        <w:numPr>
          <w:ilvl w:val="0"/>
          <w:numId w:val="495"/>
        </w:numPr>
        <w:ind w:left="720" w:hanging="267"/>
        <w:jc w:val="left"/>
        <w:rPr>
          <w:rFonts w:eastAsia="Arial" w:cs="Arial"/>
          <w:sz w:val="20"/>
          <w:szCs w:val="20"/>
        </w:rPr>
      </w:pPr>
      <w:r>
        <w:rPr>
          <w:rFonts w:eastAsia="Arial" w:cs="Arial"/>
          <w:sz w:val="20"/>
          <w:szCs w:val="20"/>
        </w:rPr>
        <w:t>The advertisement clearly and prominently includes all relevant disclosures, including that the performance results were from accounts managed at another entity; and</w:t>
      </w:r>
    </w:p>
    <w:p>
      <w:pPr>
        <w:numPr>
          <w:ilvl w:val="0"/>
          <w:numId w:val="495"/>
        </w:numPr>
        <w:spacing w:after="200"/>
        <w:ind w:left="720" w:hanging="267"/>
        <w:jc w:val="left"/>
        <w:rPr>
          <w:rFonts w:eastAsia="Arial" w:cs="Arial"/>
          <w:sz w:val="20"/>
          <w:szCs w:val="20"/>
        </w:rPr>
      </w:pPr>
      <w:r>
        <w:rPr>
          <w:rFonts w:eastAsia="Arial" w:cs="Arial"/>
          <w:sz w:val="20"/>
          <w:szCs w:val="20"/>
        </w:rPr>
        <w:t>KCD has and will retain records to support the performance presented.</w:t>
      </w:r>
    </w:p>
    <w:p>
      <w:pPr>
        <w:spacing w:before="200" w:after="200"/>
        <w:rPr>
          <w:rFonts w:eastAsia="Arial" w:cs="Arial"/>
          <w:sz w:val="20"/>
          <w:szCs w:val="20"/>
        </w:rPr>
      </w:pPr>
      <w:r>
        <w:rPr>
          <w:rFonts w:eastAsia="Arial" w:cs="Arial"/>
          <w:b/>
          <w:bCs/>
          <w:sz w:val="20"/>
          <w:szCs w:val="20"/>
        </w:rPr>
        <w:t>Primary Responsibility</w:t>
      </w:r>
    </w:p>
    <w:p>
      <w:pPr>
        <w:spacing w:before="200" w:after="200"/>
        <w:rPr>
          <w:rFonts w:eastAsia="Arial" w:cs="Arial"/>
          <w:sz w:val="20"/>
          <w:szCs w:val="20"/>
        </w:rPr>
      </w:pPr>
      <w:r>
        <w:rPr>
          <w:rFonts w:eastAsia="Arial" w:cs="Arial"/>
          <w:sz w:val="20"/>
          <w:szCs w:val="20"/>
        </w:rPr>
        <w:t>Prior to using predecessor performance, the [Chief Compliance Officer] will consider the following factors: (1) substantive responsibilities of those who are responsible for generating the performance at issue and, (2) where more than one individual is primarily responsible for making investment decisions, whether a substantial identity of the group responsible for achieving the prior performance have moved over to KCD. Where more than one person is involved in making investment decisions, the [Chief Compliance Officer] will consider the authority and influence that each person has in making investment decisions.</w:t>
      </w:r>
    </w:p>
    <w:p>
      <w:pPr>
        <w:spacing w:before="200" w:after="200"/>
        <w:rPr>
          <w:rFonts w:eastAsia="Arial" w:cs="Arial"/>
          <w:sz w:val="20"/>
          <w:szCs w:val="20"/>
        </w:rPr>
      </w:pPr>
      <w:r>
        <w:rPr>
          <w:rFonts w:eastAsia="Arial" w:cs="Arial"/>
          <w:b/>
          <w:bCs/>
          <w:sz w:val="20"/>
          <w:szCs w:val="20"/>
        </w:rPr>
        <w:t>Committee</w:t>
      </w:r>
    </w:p>
    <w:p>
      <w:pPr>
        <w:spacing w:before="200" w:after="200"/>
        <w:rPr>
          <w:rFonts w:eastAsia="Arial" w:cs="Arial"/>
          <w:sz w:val="20"/>
          <w:szCs w:val="20"/>
        </w:rPr>
      </w:pPr>
      <w:r>
        <w:rPr>
          <w:rFonts w:eastAsia="Arial" w:cs="Arial"/>
          <w:sz w:val="20"/>
          <w:szCs w:val="20"/>
        </w:rPr>
        <w:t>Where a committee managed the group of investments at the predecessor firm, a committee comprising a substantial identity of the membership must manage the portfolios at KCD in order for KCD to advertise the predecessor performance.</w:t>
      </w:r>
    </w:p>
    <w:p>
      <w:pPr>
        <w:spacing w:before="200" w:after="200"/>
        <w:rPr>
          <w:rFonts w:eastAsia="Arial" w:cs="Arial"/>
          <w:sz w:val="20"/>
          <w:szCs w:val="20"/>
        </w:rPr>
      </w:pPr>
      <w:r>
        <w:rPr>
          <w:rFonts w:eastAsia="Arial" w:cs="Arial"/>
          <w:b/>
          <w:bCs/>
          <w:sz w:val="20"/>
          <w:szCs w:val="20"/>
        </w:rPr>
        <w:t>Substantially Similar Accounts</w:t>
      </w:r>
    </w:p>
    <w:p>
      <w:pPr>
        <w:spacing w:before="200" w:after="200"/>
        <w:rPr>
          <w:rFonts w:eastAsia="Arial" w:cs="Arial"/>
          <w:sz w:val="20"/>
          <w:szCs w:val="20"/>
        </w:rPr>
      </w:pPr>
      <w:r>
        <w:rPr>
          <w:rFonts w:eastAsia="Arial" w:cs="Arial"/>
          <w:sz w:val="20"/>
          <w:szCs w:val="20"/>
        </w:rPr>
        <w:t>KCD deems accounts that are managed in a substantially similar manner to be those with substantially similar investment policies, objectives, and strategies.</w:t>
      </w:r>
    </w:p>
    <w:p>
      <w:pPr>
        <w:spacing w:before="200" w:after="200"/>
        <w:rPr>
          <w:rFonts w:eastAsia="Arial" w:cs="Arial"/>
          <w:sz w:val="20"/>
          <w:szCs w:val="20"/>
        </w:rPr>
      </w:pPr>
      <w:r>
        <w:rPr>
          <w:rFonts w:eastAsia="Arial" w:cs="Arial"/>
          <w:b/>
          <w:bCs/>
          <w:sz w:val="20"/>
          <w:szCs w:val="20"/>
        </w:rPr>
        <w:t>Restructured Firm</w:t>
      </w:r>
    </w:p>
    <w:p>
      <w:pPr>
        <w:spacing w:before="200" w:after="200"/>
        <w:rPr>
          <w:rFonts w:eastAsia="Arial" w:cs="Arial"/>
          <w:sz w:val="20"/>
          <w:szCs w:val="20"/>
        </w:rPr>
      </w:pPr>
      <w:r>
        <w:rPr>
          <w:rFonts w:eastAsia="Arial" w:cs="Arial"/>
          <w:sz w:val="20"/>
          <w:szCs w:val="20"/>
        </w:rPr>
        <w:t>If KCD is a product of a restructured firm or has acquired another advisory firm, and as a successor adviser, desires to advertise the performance of the predecessor firm, it will comply with the above requirements. However, the requirements would not apply if:</w:t>
      </w:r>
    </w:p>
    <w:p>
      <w:pPr>
        <w:numPr>
          <w:ilvl w:val="0"/>
          <w:numId w:val="496"/>
        </w:numPr>
        <w:spacing w:before="200"/>
        <w:ind w:left="720" w:hanging="192"/>
        <w:jc w:val="left"/>
        <w:rPr>
          <w:rFonts w:eastAsia="Arial" w:cs="Arial"/>
          <w:sz w:val="20"/>
          <w:szCs w:val="20"/>
        </w:rPr>
      </w:pPr>
      <w:r>
        <w:rPr>
          <w:rFonts w:eastAsia="Arial" w:cs="Arial"/>
          <w:sz w:val="20"/>
          <w:szCs w:val="20"/>
        </w:rPr>
        <w:t>KCD merely changed its brand name, without additional differences between the advisory entity before and after the restructuring, or</w:t>
      </w:r>
    </w:p>
    <w:p>
      <w:pPr>
        <w:numPr>
          <w:ilvl w:val="0"/>
          <w:numId w:val="496"/>
        </w:numPr>
        <w:spacing w:after="200"/>
        <w:ind w:left="720" w:hanging="192"/>
        <w:jc w:val="left"/>
        <w:rPr>
          <w:rFonts w:eastAsia="Arial" w:cs="Arial"/>
          <w:sz w:val="20"/>
          <w:szCs w:val="20"/>
        </w:rPr>
      </w:pPr>
      <w:r>
        <w:rPr>
          <w:rFonts w:eastAsia="Arial" w:cs="Arial"/>
          <w:sz w:val="20"/>
          <w:szCs w:val="20"/>
        </w:rPr>
        <w:t>KCD underwent a mere change in the form of legal organization (</w:t>
      </w:r>
      <w:r>
        <w:rPr>
          <w:rFonts w:eastAsia="Arial" w:cs="Arial"/>
          <w:i/>
          <w:iCs/>
          <w:sz w:val="20"/>
          <w:szCs w:val="20"/>
        </w:rPr>
        <w:t>e.g.,</w:t>
      </w:r>
      <w:r>
        <w:rPr>
          <w:rFonts w:eastAsia="Arial" w:cs="Arial"/>
          <w:sz w:val="20"/>
          <w:szCs w:val="20"/>
        </w:rPr>
        <w:t xml:space="preserve"> from a corporation to limited liability company) or a change in ownership of KCD.</w:t>
      </w:r>
    </w:p>
    <w:p>
      <w:bookmarkEnd w:id="578"/>
      <w:bookmarkStart w:id="580" w:name="Sec_Chp_061016102254625_061016102254921"/>
    </w:p>
    <w:p>
      <w:pPr>
        <w:pStyle w:val="Heading3"/>
      </w:pPr>
      <w:bookmarkStart w:id="581" w:name="_Toc256000163"/>
      <w:r>
        <w:t>9.1.1 Performance Advertisements</w:t>
      </w:r>
      <w:bookmarkEnd w:id="581"/>
    </w:p>
    <w:p/>
    <w:p>
      <w:pPr>
        <w:rPr>
          <w:rFonts w:eastAsia="Arial" w:cs="Arial"/>
          <w:sz w:val="16"/>
          <w:szCs w:val="16"/>
        </w:rPr>
      </w:pPr>
      <w:r>
        <w:rPr>
          <w:rFonts w:eastAsia="Arial" w:cs="Arial"/>
          <w:sz w:val="16"/>
          <w:szCs w:val="16"/>
        </w:rPr>
        <w:t>[Investment Advisers Act of 1940 Rule 206(4)-1]</w:t>
      </w:r>
    </w:p>
    <w:p/>
    <w:p>
      <w:pPr>
        <w:spacing w:after="200"/>
        <w:rPr>
          <w:rFonts w:eastAsia="Arial" w:cs="Arial"/>
          <w:sz w:val="20"/>
          <w:szCs w:val="20"/>
        </w:rPr>
      </w:pPr>
      <w:r>
        <w:rPr>
          <w:rFonts w:eastAsia="Arial" w:cs="Arial"/>
          <w:sz w:val="20"/>
          <w:szCs w:val="20"/>
        </w:rPr>
        <w:t>A successful investment adviser desires to advertise its performance results. In the release adopting the adviser advertising rule (Rule 206(4)-1), the SEC stated when it adopted the rule that it believes that performance advertising raises special concerns that warrant additional requirements and restrictions. In particular, the SEC stated that the presentation of performance could lead reasonable clients or investors to unwarranted assumptions and thus would result in a misleading advertisement. The SEC added that potential clients may rely particularly heavily on advertised performance results in choosing whether to hire or retain an investment adviser or invest in a private fund managed by the adviser. This reliance may be misplaced to the extent that a client or investor considers past performance achieved by an investment adviser to be predictive of the results that the investment adviser will achieve for the investor.</w:t>
      </w:r>
    </w:p>
    <w:p>
      <w:pPr>
        <w:spacing w:before="200" w:after="200"/>
        <w:rPr>
          <w:rFonts w:eastAsia="Arial" w:cs="Arial"/>
          <w:sz w:val="20"/>
          <w:szCs w:val="20"/>
        </w:rPr>
      </w:pPr>
      <w:r>
        <w:rPr>
          <w:rFonts w:eastAsia="Arial" w:cs="Arial"/>
          <w:sz w:val="20"/>
          <w:szCs w:val="20"/>
        </w:rPr>
        <w:t>The performance advertisements procedures herein are designed to make sure that performance is presented in a non-misleading manner as well as comply with Rule 206(4)-1.</w:t>
      </w:r>
    </w:p>
    <w:p>
      <w:bookmarkEnd w:id="580"/>
      <w:bookmarkStart w:id="582" w:name="Sec_Chp_061016102254625_061016102254937"/>
    </w:p>
    <w:p>
      <w:pPr>
        <w:pStyle w:val="Heading4"/>
      </w:pPr>
      <w:r>
        <w:t>9.1.1.1 Gross and Net Performance Advertisements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KCD may advertise or otherwise disseminate its performance results only if the advertisement meets the following requirements.</w:t>
      </w:r>
    </w:p>
    <w:p>
      <w:pPr>
        <w:pStyle w:val="normal0"/>
        <w:spacing w:before="200" w:after="200"/>
        <w:rPr>
          <w:rFonts w:eastAsia="Arial" w:cs="Arial"/>
          <w:sz w:val="20"/>
          <w:szCs w:val="20"/>
        </w:rPr>
      </w:pPr>
      <w:r>
        <w:rPr>
          <w:rFonts w:eastAsia="Arial" w:cs="Arial"/>
          <w:sz w:val="20"/>
          <w:szCs w:val="20"/>
        </w:rPr>
        <w:t xml:space="preserve">1. </w:t>
      </w:r>
      <w:r>
        <w:rPr>
          <w:rFonts w:eastAsia="Arial" w:cs="Arial"/>
          <w:b/>
          <w:bCs/>
          <w:sz w:val="20"/>
          <w:szCs w:val="20"/>
        </w:rPr>
        <w:t>Gross Performance</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Gross Performance</w:t>
            </w:r>
            <w:r>
              <w:rPr>
                <w:rFonts w:eastAsia="Arial" w:cs="Arial"/>
                <w:b w:val="0"/>
                <w:bCs w:val="0"/>
                <w:i w:val="0"/>
                <w:iCs w:val="0"/>
                <w:smallCaps w:val="0"/>
                <w:color w:val="000000"/>
                <w:sz w:val="20"/>
              </w:rPr>
              <w:t>: The performance results of a portfolio (or portions of a portfolio that are included in extracted performance, if applicable) before the deduction of all fees and expenses that a client or investor has paid or would have paid in connection with KCD's investment advisory services to the relevant portfolio. Rule 206(4)-1 uses the term "portfolio," which is a separately managed account or managed fund account.</w:t>
            </w:r>
          </w:p>
        </w:tc>
      </w:tr>
    </w:tbl>
    <w:p>
      <w:pPr>
        <w:pStyle w:val="normal0"/>
        <w:spacing w:before="200" w:after="200"/>
        <w:rPr>
          <w:rFonts w:eastAsia="Arial" w:cs="Arial"/>
          <w:sz w:val="20"/>
          <w:szCs w:val="20"/>
        </w:rPr>
      </w:pPr>
      <w:r>
        <w:rPr>
          <w:rFonts w:eastAsia="Arial" w:cs="Arial"/>
          <w:sz w:val="20"/>
          <w:szCs w:val="20"/>
        </w:rPr>
        <w:t>KCD may present gross performance in an advertisement only if:</w:t>
      </w:r>
    </w:p>
    <w:p>
      <w:pPr>
        <w:numPr>
          <w:ilvl w:val="0"/>
          <w:numId w:val="497"/>
        </w:numPr>
        <w:spacing w:before="200"/>
        <w:ind w:left="720" w:hanging="192"/>
        <w:jc w:val="left"/>
        <w:rPr>
          <w:rFonts w:eastAsia="Arial" w:cs="Arial"/>
          <w:sz w:val="20"/>
          <w:szCs w:val="20"/>
        </w:rPr>
      </w:pPr>
      <w:r>
        <w:rPr>
          <w:rFonts w:eastAsia="Arial" w:cs="Arial"/>
          <w:sz w:val="20"/>
          <w:szCs w:val="20"/>
        </w:rPr>
        <w:t>The advertisements also contain net performance;</w:t>
      </w:r>
    </w:p>
    <w:p>
      <w:pPr>
        <w:numPr>
          <w:ilvl w:val="0"/>
          <w:numId w:val="497"/>
        </w:numPr>
        <w:ind w:left="720" w:hanging="192"/>
        <w:jc w:val="left"/>
        <w:rPr>
          <w:rFonts w:eastAsia="Arial" w:cs="Arial"/>
          <w:sz w:val="20"/>
          <w:szCs w:val="20"/>
        </w:rPr>
      </w:pPr>
      <w:r>
        <w:rPr>
          <w:rFonts w:eastAsia="Arial" w:cs="Arial"/>
          <w:sz w:val="20"/>
          <w:szCs w:val="20"/>
        </w:rPr>
        <w:t>The required net performance is at least equal prominence to, and in a format designed to facilitate comparison with, the presented gross performance;</w:t>
      </w:r>
    </w:p>
    <w:p>
      <w:pPr>
        <w:numPr>
          <w:ilvl w:val="0"/>
          <w:numId w:val="497"/>
        </w:numPr>
        <w:ind w:left="720" w:hanging="192"/>
        <w:jc w:val="left"/>
        <w:rPr>
          <w:rFonts w:eastAsia="Arial" w:cs="Arial"/>
          <w:sz w:val="20"/>
          <w:szCs w:val="20"/>
        </w:rPr>
      </w:pPr>
      <w:r>
        <w:rPr>
          <w:rFonts w:eastAsia="Arial" w:cs="Arial"/>
          <w:sz w:val="20"/>
          <w:szCs w:val="20"/>
        </w:rPr>
        <w:t>The net performance is calculated over the same time period, and using the same type of return and methodology, as the gross performance; and</w:t>
      </w:r>
    </w:p>
    <w:p>
      <w:pPr>
        <w:numPr>
          <w:ilvl w:val="0"/>
          <w:numId w:val="497"/>
        </w:numPr>
        <w:spacing w:after="200"/>
        <w:ind w:left="720" w:hanging="192"/>
        <w:jc w:val="left"/>
        <w:rPr>
          <w:rFonts w:eastAsia="Arial" w:cs="Arial"/>
          <w:sz w:val="20"/>
          <w:szCs w:val="20"/>
        </w:rPr>
      </w:pPr>
      <w:r>
        <w:rPr>
          <w:rFonts w:eastAsia="Arial" w:cs="Arial"/>
          <w:sz w:val="20"/>
          <w:szCs w:val="20"/>
        </w:rPr>
        <w:t>The performance results include performance results for one-, five-, and ten-year periods, each presented with equal prominence and ending on a date that is no less recent than the most recent calendar year-end.</w:t>
      </w:r>
    </w:p>
    <w:p>
      <w:pPr>
        <w:pStyle w:val="normal0"/>
        <w:spacing w:before="200" w:after="200"/>
        <w:rPr>
          <w:rFonts w:eastAsia="Arial" w:cs="Arial"/>
          <w:sz w:val="20"/>
          <w:szCs w:val="20"/>
        </w:rPr>
      </w:pPr>
      <w:r>
        <w:rPr>
          <w:rFonts w:eastAsia="Arial" w:cs="Arial"/>
          <w:sz w:val="20"/>
          <w:szCs w:val="20"/>
        </w:rPr>
        <w:t>If the portfolio does not exist for a particular prescribed period, then the life of the portfolio must be substituted for that period.</w:t>
      </w:r>
    </w:p>
    <w:p>
      <w:pPr>
        <w:pStyle w:val="normal0"/>
        <w:spacing w:before="200" w:after="200"/>
        <w:rPr>
          <w:rFonts w:eastAsia="Arial" w:cs="Arial"/>
          <w:sz w:val="20"/>
          <w:szCs w:val="20"/>
        </w:rPr>
      </w:pPr>
      <w:r>
        <w:rPr>
          <w:rFonts w:eastAsia="Arial" w:cs="Arial"/>
          <w:sz w:val="20"/>
          <w:szCs w:val="20"/>
        </w:rPr>
        <w:t>When presenting gross performance, these procedures make clear that it would be misleading to present gross performance information without providing appropriate disclosure about gross performance, taking into account the particular facts and circumstances of the advertised performance. KCD will describe the type of performance return presented in the advertisement. For example, an advertisement may or may not present the performance of a portfolio using a return that accounts for the cash flows into and out of the portfolio. In either case, KCD will disclose what elements are included in the return presented so that the audience can understand, for example, how it reflects cash flow and other relevant factors. Similarly, if KCD's presentation of gross performance does not reflect the deduction of transaction fees and expenses, KCD will disclose that fact to avoid being misleading, if it would not be clear to the client or investor from the context of the advertisement.</w:t>
      </w:r>
    </w:p>
    <w:p>
      <w:pPr>
        <w:pStyle w:val="normal0"/>
        <w:spacing w:before="200" w:after="200"/>
        <w:rPr>
          <w:rFonts w:eastAsia="Arial" w:cs="Arial"/>
          <w:sz w:val="20"/>
          <w:szCs w:val="20"/>
        </w:rPr>
      </w:pPr>
      <w:r>
        <w:rPr>
          <w:rFonts w:eastAsia="Arial" w:cs="Arial"/>
          <w:sz w:val="20"/>
          <w:szCs w:val="20"/>
        </w:rPr>
        <w:t xml:space="preserve">2. </w:t>
      </w:r>
      <w:r>
        <w:rPr>
          <w:rFonts w:eastAsia="Arial" w:cs="Arial"/>
          <w:b/>
          <w:bCs/>
          <w:sz w:val="20"/>
          <w:szCs w:val="20"/>
        </w:rPr>
        <w:t>Net Performance</w:t>
      </w:r>
    </w:p>
    <w:p>
      <w:pPr>
        <w:pStyle w:val="normal0"/>
        <w:spacing w:before="200" w:after="200"/>
        <w:rPr>
          <w:rFonts w:eastAsia="Arial" w:cs="Arial"/>
          <w:sz w:val="20"/>
          <w:szCs w:val="20"/>
        </w:rPr>
      </w:pPr>
      <w:r>
        <w:rPr>
          <w:rFonts w:eastAsia="Arial" w:cs="Arial"/>
          <w:sz w:val="20"/>
          <w:szCs w:val="20"/>
        </w:rPr>
        <w:t>When presenting net performance of a portfolio, KCD will show such performance after the deduction of all fees and expenses that a client or investor has paid or would have paid in connection with KCD's investment advisory services to the relevant portfolio. Such fees may include:</w:t>
      </w:r>
    </w:p>
    <w:p>
      <w:pPr>
        <w:numPr>
          <w:ilvl w:val="0"/>
          <w:numId w:val="498"/>
        </w:numPr>
        <w:spacing w:before="200"/>
        <w:ind w:left="720" w:hanging="192"/>
        <w:jc w:val="left"/>
        <w:rPr>
          <w:rFonts w:eastAsia="Arial" w:cs="Arial"/>
          <w:sz w:val="20"/>
          <w:szCs w:val="20"/>
        </w:rPr>
      </w:pPr>
      <w:r>
        <w:rPr>
          <w:rFonts w:eastAsia="Arial" w:cs="Arial"/>
          <w:sz w:val="20"/>
          <w:szCs w:val="20"/>
        </w:rPr>
        <w:t>advisory fees;</w:t>
      </w:r>
    </w:p>
    <w:p>
      <w:pPr>
        <w:numPr>
          <w:ilvl w:val="0"/>
          <w:numId w:val="498"/>
        </w:numPr>
        <w:ind w:left="720" w:hanging="192"/>
        <w:jc w:val="left"/>
        <w:rPr>
          <w:rFonts w:eastAsia="Arial" w:cs="Arial"/>
          <w:sz w:val="20"/>
          <w:szCs w:val="20"/>
        </w:rPr>
      </w:pPr>
      <w:r>
        <w:rPr>
          <w:rFonts w:eastAsia="Arial" w:cs="Arial"/>
          <w:sz w:val="20"/>
          <w:szCs w:val="20"/>
        </w:rPr>
        <w:t>advisory fees paid to underlying investment vehicles; and</w:t>
      </w:r>
    </w:p>
    <w:p>
      <w:pPr>
        <w:numPr>
          <w:ilvl w:val="0"/>
          <w:numId w:val="498"/>
        </w:numPr>
        <w:ind w:left="720" w:hanging="192"/>
        <w:jc w:val="left"/>
        <w:rPr>
          <w:rFonts w:eastAsia="Arial" w:cs="Arial"/>
          <w:sz w:val="20"/>
          <w:szCs w:val="20"/>
        </w:rPr>
      </w:pPr>
      <w:r>
        <w:rPr>
          <w:rFonts w:eastAsia="Arial" w:cs="Arial"/>
          <w:sz w:val="20"/>
          <w:szCs w:val="20"/>
        </w:rPr>
        <w:t>payments by KCD for which the client or investor reimburses KCD.</w:t>
      </w:r>
    </w:p>
    <w:p>
      <w:pPr>
        <w:numPr>
          <w:ilvl w:val="1"/>
          <w:numId w:val="498"/>
        </w:numPr>
        <w:spacing w:after="200"/>
        <w:ind w:left="1440" w:hanging="220"/>
        <w:jc w:val="left"/>
        <w:rPr>
          <w:rFonts w:eastAsia="Arial" w:cs="Arial"/>
          <w:sz w:val="20"/>
          <w:szCs w:val="20"/>
        </w:rPr>
      </w:pPr>
      <w:r>
        <w:rPr>
          <w:rFonts w:eastAsia="Arial" w:cs="Arial"/>
          <w:sz w:val="20"/>
          <w:szCs w:val="20"/>
        </w:rPr>
        <w:t>When presenting net performance, KCD has the option of excluding custodian fees.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Net Performance</w:t>
            </w:r>
            <w:r>
              <w:rPr>
                <w:rFonts w:eastAsia="Arial" w:cs="Arial"/>
                <w:b w:val="0"/>
                <w:bCs w:val="0"/>
                <w:i w:val="0"/>
                <w:iCs w:val="0"/>
                <w:smallCaps w:val="0"/>
                <w:color w:val="000000"/>
                <w:sz w:val="20"/>
              </w:rPr>
              <w:t>: The performance results of a portfolio (or portions of a portfolio that are included in extracted performance) after the deduction of all fees and expenses that a client or investor has paid or would have paid in connection with KCD's investment advisory services to the relevant portfolio, including, if applicable, advisory fees, advisory fees paid to underlying investment vehicles, and payments by KCD for which the client or investor reimburses KCD.</w:t>
            </w:r>
          </w:p>
        </w:tc>
      </w:tr>
    </w:tbl>
    <w:p>
      <w:pPr>
        <w:pStyle w:val="normal0"/>
        <w:spacing w:before="200" w:after="200"/>
        <w:rPr>
          <w:rFonts w:eastAsia="Arial" w:cs="Arial"/>
          <w:sz w:val="20"/>
          <w:szCs w:val="20"/>
        </w:rPr>
      </w:pPr>
      <w:r>
        <w:rPr>
          <w:rFonts w:eastAsia="Arial" w:cs="Arial"/>
          <w:sz w:val="20"/>
          <w:szCs w:val="20"/>
        </w:rPr>
        <w:t>KCD is free to include performance results for other periods as long as the advertisement also presents results for the prescribed time periods.</w:t>
      </w:r>
    </w:p>
    <w:p>
      <w:pPr>
        <w:pStyle w:val="normal0"/>
        <w:spacing w:before="200" w:after="200"/>
        <w:rPr>
          <w:rFonts w:eastAsia="Arial" w:cs="Arial"/>
          <w:sz w:val="20"/>
          <w:szCs w:val="20"/>
        </w:rPr>
      </w:pPr>
      <w:r>
        <w:rPr>
          <w:rFonts w:eastAsia="Arial" w:cs="Arial"/>
          <w:sz w:val="20"/>
          <w:szCs w:val="20"/>
        </w:rPr>
        <w:t xml:space="preserve">3. </w:t>
      </w:r>
      <w:r>
        <w:rPr>
          <w:rFonts w:eastAsia="Arial" w:cs="Arial"/>
          <w:b/>
          <w:bCs/>
          <w:sz w:val="20"/>
          <w:szCs w:val="20"/>
        </w:rPr>
        <w:t>Interim Performance</w:t>
      </w:r>
    </w:p>
    <w:p>
      <w:pPr>
        <w:pStyle w:val="normal0"/>
        <w:spacing w:before="200" w:after="200"/>
        <w:rPr>
          <w:rFonts w:eastAsia="Arial" w:cs="Arial"/>
          <w:sz w:val="20"/>
          <w:szCs w:val="20"/>
        </w:rPr>
      </w:pPr>
      <w:r>
        <w:rPr>
          <w:rFonts w:eastAsia="Arial" w:cs="Arial"/>
          <w:sz w:val="20"/>
          <w:szCs w:val="20"/>
        </w:rPr>
        <w:t>Although KCD is required to present performance results for specified time periods ending no earlier than the most recent calendar year-end, it may continue to use prior year-end data for up to 30 days into the new year. KCD must make a good faith effort to calculate and update performance results for the new calendar year-end as soon as reasonably possible.</w:t>
      </w:r>
    </w:p>
    <w:p>
      <w:pPr>
        <w:pStyle w:val="normal0"/>
        <w:spacing w:before="200" w:after="200"/>
        <w:rPr>
          <w:rFonts w:eastAsia="Arial" w:cs="Arial"/>
          <w:sz w:val="20"/>
          <w:szCs w:val="20"/>
        </w:rPr>
      </w:pPr>
      <w:r>
        <w:rPr>
          <w:rFonts w:eastAsia="Arial" w:cs="Arial"/>
          <w:sz w:val="20"/>
          <w:szCs w:val="20"/>
        </w:rPr>
        <w:t xml:space="preserve">4. </w:t>
      </w:r>
      <w:r>
        <w:rPr>
          <w:rFonts w:eastAsia="Arial" w:cs="Arial"/>
          <w:b/>
          <w:bCs/>
          <w:sz w:val="20"/>
          <w:szCs w:val="20"/>
        </w:rPr>
        <w:t>Performance Periods</w:t>
      </w:r>
    </w:p>
    <w:p>
      <w:pPr>
        <w:pStyle w:val="normal0"/>
        <w:spacing w:before="200" w:after="200"/>
        <w:rPr>
          <w:rFonts w:eastAsia="Arial" w:cs="Arial"/>
          <w:sz w:val="20"/>
          <w:szCs w:val="20"/>
        </w:rPr>
      </w:pPr>
      <w:r>
        <w:rPr>
          <w:rFonts w:eastAsia="Arial" w:cs="Arial"/>
          <w:sz w:val="20"/>
          <w:szCs w:val="20"/>
        </w:rPr>
        <w:t>When presenting performance of a portfolio, KCD will show such performance for one-, five-, and ten-year periods, each presented with equal prominence and ending on a date that is no less recent than the most recent calendar year-end. If the relevant portfolio did not exist for a particular prescribed period, then the life of the portfolio must be substituted for that period. Performance for other periods may be presented provided the advertisement contains performance for the required one-, five-, and ten-year periods.</w:t>
      </w:r>
    </w:p>
    <w:p>
      <w:pPr>
        <w:pStyle w:val="normal0"/>
        <w:spacing w:before="200" w:after="200"/>
        <w:rPr>
          <w:rFonts w:eastAsia="Arial" w:cs="Arial"/>
          <w:sz w:val="20"/>
          <w:szCs w:val="20"/>
        </w:rPr>
      </w:pPr>
      <w:r>
        <w:rPr>
          <w:rFonts w:eastAsia="Arial" w:cs="Arial"/>
          <w:sz w:val="20"/>
          <w:szCs w:val="20"/>
        </w:rPr>
        <w:t xml:space="preserve">5. </w:t>
      </w:r>
      <w:r>
        <w:rPr>
          <w:rFonts w:eastAsia="Arial" w:cs="Arial"/>
          <w:b/>
          <w:bCs/>
          <w:sz w:val="20"/>
          <w:szCs w:val="20"/>
        </w:rPr>
        <w:t>Model Fee</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The definition of "net performance" includes (i) a portfolio's performance after the deduction of all fees and expenses actually paid by a client or investor, and (ii) the portfolio's performance after the deduction of a model fee, subject to certain conditions. The SEC has stated that "[i]f the fee to be charged to the intended audience is anticipated to be higher than the actual fees charged, the adviser must use a model fee that reflects the anticipated fee to be charged in order not to violate the rule's general prohibitions." It has further stated that "[i]n the staff's view, whether the use of actual fees violates the general prohibitions depends on all of the facts and circumstances of a specific advertisement, including, but not limited to, relevant disclosures." The staff's view is that advisers may use various means to illustrate the effect of differences between actual fees and anticipated fees on performance.</w:t>
            </w:r>
          </w:p>
        </w:tc>
      </w:tr>
    </w:tbl>
    <w:p>
      <w:pPr>
        <w:pStyle w:val="normal0"/>
        <w:spacing w:before="200" w:after="200"/>
        <w:rPr>
          <w:rFonts w:eastAsia="Arial" w:cs="Arial"/>
          <w:sz w:val="20"/>
          <w:szCs w:val="20"/>
        </w:rPr>
      </w:pPr>
      <w:r>
        <w:rPr>
          <w:rFonts w:eastAsia="Arial" w:cs="Arial"/>
          <w:sz w:val="20"/>
          <w:szCs w:val="20"/>
        </w:rPr>
        <w:t>When presenting net performance, KCD may use a model fee in lieu of the actual advisory fees paid by clients but only if:</w:t>
      </w:r>
    </w:p>
    <w:p>
      <w:pPr>
        <w:numPr>
          <w:ilvl w:val="0"/>
          <w:numId w:val="499"/>
        </w:numPr>
        <w:spacing w:before="200"/>
        <w:ind w:left="720" w:hanging="192"/>
        <w:jc w:val="left"/>
        <w:rPr>
          <w:rFonts w:eastAsia="Arial" w:cs="Arial"/>
          <w:sz w:val="20"/>
          <w:szCs w:val="20"/>
        </w:rPr>
      </w:pPr>
      <w:r>
        <w:rPr>
          <w:rFonts w:eastAsia="Arial" w:cs="Arial"/>
          <w:sz w:val="20"/>
          <w:szCs w:val="20"/>
        </w:rPr>
        <w:t>The deduction of a model fee when doing so would result in performance figures that are no higher than if the actual fee had been deducted; or</w:t>
      </w:r>
    </w:p>
    <w:p>
      <w:pPr>
        <w:numPr>
          <w:ilvl w:val="0"/>
          <w:numId w:val="499"/>
        </w:numPr>
        <w:spacing w:after="200"/>
        <w:ind w:left="720" w:hanging="192"/>
        <w:jc w:val="left"/>
        <w:rPr>
          <w:rFonts w:eastAsia="Arial" w:cs="Arial"/>
          <w:sz w:val="20"/>
          <w:szCs w:val="20"/>
        </w:rPr>
      </w:pPr>
      <w:r>
        <w:rPr>
          <w:rFonts w:eastAsia="Arial" w:cs="Arial"/>
          <w:sz w:val="20"/>
          <w:szCs w:val="20"/>
        </w:rPr>
        <w:t>The deduction of a model fee that is equal to the highest fee charged to the intended audience to whom the advertisement is disseminated.</w:t>
      </w:r>
    </w:p>
    <w:p>
      <w:pPr>
        <w:pStyle w:val="normal0"/>
        <w:spacing w:before="200" w:after="200"/>
        <w:rPr>
          <w:rFonts w:eastAsia="Arial" w:cs="Arial"/>
          <w:sz w:val="20"/>
          <w:szCs w:val="20"/>
        </w:rPr>
      </w:pPr>
      <w:r>
        <w:rPr>
          <w:rFonts w:eastAsia="Arial" w:cs="Arial"/>
          <w:sz w:val="20"/>
          <w:szCs w:val="20"/>
        </w:rPr>
        <w:t xml:space="preserve">In certain circumstances, KCD will show performance using a model fee in cases where the actual fee to be charged to the intended audience is </w:t>
      </w:r>
      <w:r>
        <w:rPr>
          <w:rFonts w:eastAsia="Arial" w:cs="Arial"/>
          <w:i/>
          <w:iCs/>
          <w:sz w:val="20"/>
          <w:szCs w:val="20"/>
        </w:rPr>
        <w:t>anticipated</w:t>
      </w:r>
      <w:r>
        <w:rPr>
          <w:rFonts w:eastAsia="Arial" w:cs="Arial"/>
          <w:sz w:val="20"/>
          <w:szCs w:val="20"/>
        </w:rPr>
        <w:t xml:space="preserve"> to be higher than the actual fees charged in the past. In such case, KCD will show performance using a model fee that reflects the anticipated fee to be charged (unless KCD has consulted with outside counsel who concludes that the performance may be shown using the actual fees). </w:t>
      </w:r>
    </w:p>
    <w:p>
      <w:pPr>
        <w:pStyle w:val="normal0"/>
        <w:spacing w:before="200" w:after="200"/>
        <w:rPr>
          <w:rFonts w:eastAsia="Arial" w:cs="Arial"/>
          <w:sz w:val="20"/>
          <w:szCs w:val="20"/>
        </w:rPr>
      </w:pPr>
      <w:r>
        <w:rPr>
          <w:rFonts w:eastAsia="Arial" w:cs="Arial"/>
          <w:sz w:val="20"/>
          <w:szCs w:val="20"/>
        </w:rPr>
        <w:t xml:space="preserve">6. </w:t>
      </w:r>
      <w:r>
        <w:rPr>
          <w:rFonts w:eastAsia="Arial" w:cs="Arial"/>
          <w:b/>
          <w:bCs/>
          <w:sz w:val="20"/>
          <w:szCs w:val="20"/>
        </w:rPr>
        <w:t>Performance Fee Calculation</w:t>
      </w:r>
    </w:p>
    <w:p>
      <w:pPr>
        <w:pStyle w:val="normal0"/>
        <w:spacing w:before="200" w:after="200"/>
        <w:rPr>
          <w:rFonts w:eastAsia="Arial" w:cs="Arial"/>
          <w:sz w:val="20"/>
          <w:szCs w:val="20"/>
        </w:rPr>
      </w:pPr>
      <w:r>
        <w:rPr>
          <w:rFonts w:eastAsia="Arial" w:cs="Arial"/>
          <w:sz w:val="20"/>
          <w:szCs w:val="20"/>
        </w:rPr>
        <w:t>KCD recognizes that Rule 206(4)-1, the advertising rule, does not prescribe any particular calculation of net performance. The SEC stated that prescribing the calculation of net performance could unduly limit the ability of advisers to present performance information that they believe would be most relevant and useful to an advertisement's audience.</w:t>
      </w:r>
    </w:p>
    <w:p>
      <w:pPr>
        <w:pStyle w:val="normal0"/>
        <w:spacing w:before="200" w:after="200"/>
        <w:rPr>
          <w:rFonts w:eastAsia="Arial" w:cs="Arial"/>
          <w:sz w:val="20"/>
          <w:szCs w:val="20"/>
        </w:rPr>
      </w:pPr>
      <w:r>
        <w:rPr>
          <w:rFonts w:eastAsia="Arial" w:cs="Arial"/>
          <w:sz w:val="20"/>
          <w:szCs w:val="20"/>
        </w:rPr>
        <w:t>Presentation of "net performance" in an advertisement may exclude custodian fees paid to a bank or other third-party organization for safekeeping funds and securities.</w:t>
      </w:r>
    </w:p>
    <w:p>
      <w:pPr>
        <w:pStyle w:val="normal0"/>
        <w:spacing w:before="200" w:after="200"/>
        <w:rPr>
          <w:rFonts w:eastAsia="Arial" w:cs="Arial"/>
          <w:sz w:val="20"/>
          <w:szCs w:val="20"/>
        </w:rPr>
      </w:pPr>
      <w:r>
        <w:rPr>
          <w:rFonts w:eastAsia="Arial" w:cs="Arial"/>
          <w:sz w:val="20"/>
          <w:szCs w:val="20"/>
        </w:rPr>
        <w:t>KCD shall calculate performance using methodology that meets best industry practices and standards. Among other factors when deciding how to calculate performance, KCD will consider:</w:t>
      </w:r>
    </w:p>
    <w:p>
      <w:pPr>
        <w:numPr>
          <w:ilvl w:val="0"/>
          <w:numId w:val="500"/>
        </w:numPr>
        <w:spacing w:before="200"/>
        <w:ind w:left="720" w:hanging="192"/>
        <w:jc w:val="left"/>
        <w:rPr>
          <w:rFonts w:eastAsia="Arial" w:cs="Arial"/>
          <w:sz w:val="20"/>
          <w:szCs w:val="20"/>
        </w:rPr>
      </w:pPr>
      <w:r>
        <w:rPr>
          <w:rFonts w:eastAsia="Arial" w:cs="Arial"/>
          <w:sz w:val="20"/>
          <w:szCs w:val="20"/>
        </w:rPr>
        <w:t>model fees versus actual fees;</w:t>
      </w:r>
    </w:p>
    <w:p>
      <w:pPr>
        <w:numPr>
          <w:ilvl w:val="0"/>
          <w:numId w:val="500"/>
        </w:numPr>
        <w:ind w:left="720" w:hanging="192"/>
        <w:jc w:val="left"/>
        <w:rPr>
          <w:rFonts w:eastAsia="Arial" w:cs="Arial"/>
          <w:sz w:val="20"/>
          <w:szCs w:val="20"/>
        </w:rPr>
      </w:pPr>
      <w:r>
        <w:rPr>
          <w:rFonts w:eastAsia="Arial" w:cs="Arial"/>
          <w:sz w:val="20"/>
          <w:szCs w:val="20"/>
        </w:rPr>
        <w:t>whether or not to factor in contribution to return;</w:t>
      </w:r>
    </w:p>
    <w:p>
      <w:pPr>
        <w:numPr>
          <w:ilvl w:val="0"/>
          <w:numId w:val="500"/>
        </w:numPr>
        <w:ind w:left="720" w:hanging="192"/>
        <w:jc w:val="left"/>
        <w:rPr>
          <w:rFonts w:eastAsia="Arial" w:cs="Arial"/>
          <w:sz w:val="20"/>
          <w:szCs w:val="20"/>
        </w:rPr>
      </w:pPr>
      <w:r>
        <w:rPr>
          <w:rFonts w:eastAsia="Arial" w:cs="Arial"/>
          <w:sz w:val="20"/>
          <w:szCs w:val="20"/>
        </w:rPr>
        <w:t>whether or not to factor in attribution effects; and</w:t>
      </w:r>
    </w:p>
    <w:p>
      <w:pPr>
        <w:numPr>
          <w:ilvl w:val="0"/>
          <w:numId w:val="500"/>
        </w:numPr>
        <w:spacing w:after="200"/>
        <w:ind w:left="720" w:hanging="192"/>
        <w:jc w:val="left"/>
        <w:rPr>
          <w:rFonts w:eastAsia="Arial" w:cs="Arial"/>
          <w:sz w:val="20"/>
          <w:szCs w:val="20"/>
        </w:rPr>
      </w:pPr>
      <w:r>
        <w:rPr>
          <w:rFonts w:eastAsia="Arial" w:cs="Arial"/>
          <w:sz w:val="20"/>
          <w:szCs w:val="20"/>
        </w:rPr>
        <w:t>how to classify attribution effects, contribution, or yield as performance.</w:t>
      </w:r>
    </w:p>
    <w:p>
      <w:pPr>
        <w:pStyle w:val="normal0"/>
        <w:spacing w:before="200" w:after="200"/>
        <w:rPr>
          <w:rFonts w:eastAsia="Arial" w:cs="Arial"/>
          <w:sz w:val="20"/>
          <w:szCs w:val="20"/>
        </w:rPr>
      </w:pPr>
      <w:r>
        <w:rPr>
          <w:rFonts w:eastAsia="Arial" w:cs="Arial"/>
          <w:sz w:val="20"/>
          <w:szCs w:val="20"/>
        </w:rPr>
        <w:t>Periodically, KCD will reconcile the performance presented for clients' accounts and the custodian accounts of those clients, including to compare the portfolios that is the basis for the performance information and the portfolio holdings of the clients reflected in custodian statements. Consistent with the requirements of Rule 204-2(a)(16), KCD will maintain records supporting the basis for or demonstrate the calculation of the performance or rate of return of any or all managed accounts or securities recommendations.</w:t>
      </w:r>
    </w:p>
    <w:p>
      <w:pPr>
        <w:pStyle w:val="normal0"/>
        <w:spacing w:before="200" w:after="200"/>
        <w:rPr>
          <w:rFonts w:eastAsia="Arial" w:cs="Arial"/>
          <w:sz w:val="20"/>
          <w:szCs w:val="20"/>
        </w:rPr>
      </w:pPr>
      <w:r>
        <w:rPr>
          <w:rFonts w:eastAsia="Arial" w:cs="Arial"/>
          <w:sz w:val="20"/>
          <w:szCs w:val="20"/>
        </w:rPr>
        <w:t xml:space="preserve">7. </w:t>
      </w:r>
      <w:r>
        <w:rPr>
          <w:rFonts w:eastAsia="Arial" w:cs="Arial"/>
          <w:b/>
          <w:bCs/>
          <w:sz w:val="20"/>
          <w:szCs w:val="20"/>
        </w:rPr>
        <w:t>Other Factors Considered When Advertising Performance</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When adopting the performance advertising regulations, the SEC stated it believes that investment advisers should evaluate the particular facts and circumstances that may be relevant to clients and investors, including the assumptions, factors, and conditions that contributed to the performance, and include appropriate disclosures or other information such that the advertisement does not violate the general advertising prohibitions in Rule 206(4)-1 or other applicable law. </w:t>
            </w:r>
          </w:p>
        </w:tc>
      </w:tr>
    </w:tbl>
    <w:p>
      <w:pPr>
        <w:pStyle w:val="normal0"/>
        <w:spacing w:before="200" w:after="200"/>
        <w:rPr>
          <w:rFonts w:eastAsia="Arial" w:cs="Arial"/>
          <w:sz w:val="20"/>
          <w:szCs w:val="20"/>
        </w:rPr>
      </w:pPr>
      <w:r>
        <w:rPr>
          <w:rFonts w:eastAsia="Arial" w:cs="Arial"/>
          <w:sz w:val="20"/>
          <w:szCs w:val="20"/>
        </w:rPr>
        <w:t>Prior to disseminating an advertisement or marketing piece containing Firm performance information, the following, as applicable, will be considered and where necessary appropriate disclosure will be added:</w:t>
      </w:r>
    </w:p>
    <w:p>
      <w:pPr>
        <w:numPr>
          <w:ilvl w:val="0"/>
          <w:numId w:val="501"/>
        </w:numPr>
        <w:spacing w:before="200"/>
        <w:ind w:left="720" w:hanging="192"/>
        <w:jc w:val="left"/>
        <w:rPr>
          <w:rFonts w:eastAsia="Arial" w:cs="Arial"/>
          <w:sz w:val="20"/>
          <w:szCs w:val="20"/>
        </w:rPr>
      </w:pPr>
      <w:r>
        <w:rPr>
          <w:rFonts w:eastAsia="Arial" w:cs="Arial"/>
          <w:sz w:val="20"/>
          <w:szCs w:val="20"/>
        </w:rPr>
        <w:t>The effect of material market or economic conditions on the results advertised (</w:t>
      </w:r>
      <w:r>
        <w:rPr>
          <w:rFonts w:eastAsia="Arial" w:cs="Arial"/>
          <w:i/>
          <w:iCs/>
          <w:sz w:val="20"/>
          <w:szCs w:val="20"/>
        </w:rPr>
        <w:t>e.g.,</w:t>
      </w:r>
      <w:r>
        <w:rPr>
          <w:rFonts w:eastAsia="Arial" w:cs="Arial"/>
          <w:sz w:val="20"/>
          <w:szCs w:val="20"/>
        </w:rPr>
        <w:t xml:space="preserve"> it would be misleading to advertise that KCD's composite of equity managed accounts increased 10% without disclosing that the equity market was up 40% during the same period);</w:t>
      </w:r>
    </w:p>
    <w:p>
      <w:pPr>
        <w:numPr>
          <w:ilvl w:val="0"/>
          <w:numId w:val="501"/>
        </w:numPr>
        <w:ind w:left="720" w:hanging="192"/>
        <w:jc w:val="left"/>
        <w:rPr>
          <w:rFonts w:eastAsia="Arial" w:cs="Arial"/>
          <w:sz w:val="20"/>
          <w:szCs w:val="20"/>
        </w:rPr>
      </w:pPr>
      <w:r>
        <w:rPr>
          <w:rFonts w:eastAsia="Arial" w:cs="Arial"/>
          <w:sz w:val="20"/>
          <w:szCs w:val="20"/>
        </w:rPr>
        <w:t>Whether the performance reflects the reinvestment of dividends or other distributions;</w:t>
      </w:r>
    </w:p>
    <w:p>
      <w:pPr>
        <w:numPr>
          <w:ilvl w:val="0"/>
          <w:numId w:val="501"/>
        </w:numPr>
        <w:ind w:left="720" w:hanging="192"/>
        <w:jc w:val="left"/>
        <w:rPr>
          <w:rFonts w:eastAsia="Arial" w:cs="Arial"/>
          <w:sz w:val="20"/>
          <w:szCs w:val="20"/>
        </w:rPr>
      </w:pPr>
      <w:r>
        <w:rPr>
          <w:rFonts w:eastAsia="Arial" w:cs="Arial"/>
          <w:sz w:val="20"/>
          <w:szCs w:val="20"/>
        </w:rPr>
        <w:t>The possibility that a client may incur loss if the advertisement makes a claim about potential profits;</w:t>
      </w:r>
    </w:p>
    <w:p>
      <w:pPr>
        <w:numPr>
          <w:ilvl w:val="0"/>
          <w:numId w:val="501"/>
        </w:numPr>
        <w:ind w:left="720" w:hanging="192"/>
        <w:jc w:val="left"/>
        <w:rPr>
          <w:rFonts w:eastAsia="Arial" w:cs="Arial"/>
          <w:sz w:val="20"/>
          <w:szCs w:val="20"/>
        </w:rPr>
      </w:pPr>
      <w:r>
        <w:rPr>
          <w:rFonts w:eastAsia="Arial" w:cs="Arial"/>
          <w:sz w:val="20"/>
          <w:szCs w:val="20"/>
        </w:rPr>
        <w:t>The periods of performance presented (typically, 1, 5, 10 and since inception periods);</w:t>
      </w:r>
    </w:p>
    <w:p>
      <w:pPr>
        <w:numPr>
          <w:ilvl w:val="0"/>
          <w:numId w:val="501"/>
        </w:numPr>
        <w:ind w:left="720" w:hanging="192"/>
        <w:jc w:val="left"/>
        <w:rPr>
          <w:rFonts w:eastAsia="Arial" w:cs="Arial"/>
          <w:sz w:val="20"/>
          <w:szCs w:val="20"/>
        </w:rPr>
      </w:pPr>
      <w:r>
        <w:rPr>
          <w:rFonts w:eastAsia="Arial" w:cs="Arial"/>
          <w:sz w:val="20"/>
          <w:szCs w:val="20"/>
        </w:rPr>
        <w:t>The similarities and differences between how accounts are managed and an index if the advertisement includes the performance of an index;</w:t>
      </w:r>
    </w:p>
    <w:p>
      <w:pPr>
        <w:numPr>
          <w:ilvl w:val="0"/>
          <w:numId w:val="501"/>
        </w:numPr>
        <w:ind w:left="720" w:hanging="192"/>
        <w:jc w:val="left"/>
        <w:rPr>
          <w:rFonts w:eastAsia="Arial" w:cs="Arial"/>
          <w:sz w:val="20"/>
          <w:szCs w:val="20"/>
        </w:rPr>
      </w:pPr>
      <w:r>
        <w:rPr>
          <w:rFonts w:eastAsia="Arial" w:cs="Arial"/>
          <w:sz w:val="20"/>
          <w:szCs w:val="20"/>
        </w:rPr>
        <w:t>Material conditions, objectives and investment strategies employed by KCD to achieve the performance;</w:t>
      </w:r>
    </w:p>
    <w:p>
      <w:pPr>
        <w:numPr>
          <w:ilvl w:val="0"/>
          <w:numId w:val="501"/>
        </w:numPr>
        <w:ind w:left="720" w:hanging="192"/>
        <w:jc w:val="left"/>
        <w:rPr>
          <w:rFonts w:eastAsia="Arial" w:cs="Arial"/>
          <w:sz w:val="20"/>
          <w:szCs w:val="20"/>
        </w:rPr>
      </w:pPr>
      <w:r>
        <w:rPr>
          <w:rFonts w:eastAsia="Arial" w:cs="Arial"/>
          <w:sz w:val="20"/>
          <w:szCs w:val="20"/>
        </w:rPr>
        <w:t>A description of the composite, including the investment strategy used to achieve the composite results;</w:t>
      </w:r>
    </w:p>
    <w:p>
      <w:pPr>
        <w:numPr>
          <w:ilvl w:val="0"/>
          <w:numId w:val="501"/>
        </w:numPr>
        <w:ind w:left="720" w:hanging="192"/>
        <w:jc w:val="left"/>
        <w:rPr>
          <w:rFonts w:eastAsia="Arial" w:cs="Arial"/>
          <w:sz w:val="20"/>
          <w:szCs w:val="20"/>
        </w:rPr>
      </w:pPr>
      <w:r>
        <w:rPr>
          <w:rFonts w:eastAsia="Arial" w:cs="Arial"/>
          <w:sz w:val="20"/>
          <w:szCs w:val="20"/>
        </w:rPr>
        <w:t>The percentage of non-fee-paying accounts included in the composite, if the returns in the composite are based in part on non-fee-paying accounts;</w:t>
      </w:r>
    </w:p>
    <w:p>
      <w:pPr>
        <w:numPr>
          <w:ilvl w:val="0"/>
          <w:numId w:val="501"/>
        </w:numPr>
        <w:ind w:left="720" w:hanging="192"/>
        <w:jc w:val="left"/>
        <w:rPr>
          <w:rFonts w:eastAsia="Arial" w:cs="Arial"/>
          <w:sz w:val="20"/>
          <w:szCs w:val="20"/>
        </w:rPr>
      </w:pPr>
      <w:r>
        <w:rPr>
          <w:rFonts w:eastAsia="Arial" w:cs="Arial"/>
          <w:sz w:val="20"/>
          <w:szCs w:val="20"/>
        </w:rPr>
        <w:t>The dollar amount of assets represented by the composite and the percentage of KCD's total assets that the composite represents;</w:t>
      </w:r>
    </w:p>
    <w:p>
      <w:pPr>
        <w:numPr>
          <w:ilvl w:val="0"/>
          <w:numId w:val="501"/>
        </w:numPr>
        <w:ind w:left="720" w:hanging="192"/>
        <w:jc w:val="left"/>
        <w:rPr>
          <w:rFonts w:eastAsia="Arial" w:cs="Arial"/>
          <w:sz w:val="20"/>
          <w:szCs w:val="20"/>
        </w:rPr>
      </w:pPr>
      <w:r>
        <w:rPr>
          <w:rFonts w:eastAsia="Arial" w:cs="Arial"/>
          <w:sz w:val="20"/>
          <w:szCs w:val="20"/>
        </w:rPr>
        <w:t>A clear portrayal of any material disparity between the performance of the composite and the actual performance of KCD's accounts; and</w:t>
      </w:r>
    </w:p>
    <w:p>
      <w:pPr>
        <w:numPr>
          <w:ilvl w:val="0"/>
          <w:numId w:val="501"/>
        </w:numPr>
        <w:spacing w:after="200"/>
        <w:ind w:left="720" w:hanging="192"/>
        <w:jc w:val="left"/>
        <w:rPr>
          <w:rFonts w:eastAsia="Arial" w:cs="Arial"/>
          <w:sz w:val="20"/>
          <w:szCs w:val="20"/>
        </w:rPr>
      </w:pPr>
      <w:r>
        <w:rPr>
          <w:rFonts w:eastAsia="Arial" w:cs="Arial"/>
          <w:sz w:val="20"/>
          <w:szCs w:val="20"/>
        </w:rPr>
        <w:t>If KCD provides the yield of the investments in client accounts, it will consider whether the provision of such yield is the advertisement of performance and therefore subject to the procedures in this manual governing the advertisement of performance.</w:t>
      </w:r>
    </w:p>
    <w:p>
      <w:pPr>
        <w:pStyle w:val="normal0"/>
        <w:spacing w:before="200" w:after="200"/>
        <w:rPr>
          <w:rFonts w:eastAsia="Arial" w:cs="Arial"/>
          <w:sz w:val="20"/>
          <w:szCs w:val="20"/>
        </w:rPr>
      </w:pPr>
      <w:r>
        <w:rPr>
          <w:rFonts w:eastAsia="Arial" w:cs="Arial"/>
          <w:sz w:val="20"/>
          <w:szCs w:val="20"/>
        </w:rPr>
        <w:t>KCD does not have all of the documentation required by Rule 204-2(a)(16) of the Investment Advisers Act of 1940 that supports performance figures in an advertisement, it will immediately cease from using that advertisement.</w:t>
      </w:r>
    </w:p>
    <w:p>
      <w:pPr>
        <w:pStyle w:val="normal0"/>
        <w:spacing w:before="200" w:after="200"/>
        <w:rPr>
          <w:rFonts w:eastAsia="Arial" w:cs="Arial"/>
          <w:sz w:val="20"/>
          <w:szCs w:val="20"/>
        </w:rPr>
      </w:pPr>
      <w:r>
        <w:rPr>
          <w:rFonts w:eastAsia="Arial" w:cs="Arial"/>
          <w:sz w:val="20"/>
          <w:szCs w:val="20"/>
        </w:rPr>
        <w:t xml:space="preserve">8. </w:t>
      </w:r>
      <w:r>
        <w:rPr>
          <w:rFonts w:eastAsia="Arial" w:cs="Arial"/>
          <w:b/>
          <w:bCs/>
          <w:sz w:val="20"/>
          <w:szCs w:val="20"/>
        </w:rPr>
        <w:t>Portfolio Holdings</w:t>
      </w:r>
    </w:p>
    <w:p>
      <w:pPr>
        <w:pStyle w:val="normal0"/>
        <w:spacing w:before="200" w:after="200"/>
        <w:rPr>
          <w:rFonts w:eastAsia="Arial" w:cs="Arial"/>
          <w:sz w:val="20"/>
          <w:szCs w:val="20"/>
        </w:rPr>
      </w:pPr>
      <w:r>
        <w:rPr>
          <w:rFonts w:eastAsia="Arial" w:cs="Arial"/>
          <w:sz w:val="20"/>
          <w:szCs w:val="20"/>
        </w:rPr>
        <w:t>KCD will provide or at least make available upon request from a client the total portfolio that supports the performance presented.</w:t>
      </w:r>
    </w:p>
    <w:p>
      <w:bookmarkEnd w:id="582"/>
      <w:bookmarkStart w:id="583" w:name="Sec_Chp_061016102254625_93482"/>
    </w:p>
    <w:p>
      <w:pPr>
        <w:pStyle w:val="Heading5"/>
      </w:pPr>
      <w:r>
        <w:t xml:space="preserve">9.1.1.1.1 Composites and Related Performance </w:t>
      </w:r>
    </w:p>
    <w:p/>
    <w:p>
      <w:pPr>
        <w:rPr>
          <w:rFonts w:eastAsia="Arial" w:cs="Arial"/>
          <w:sz w:val="16"/>
          <w:szCs w:val="16"/>
        </w:rPr>
      </w:pPr>
      <w:r>
        <w:rPr>
          <w:rFonts w:eastAsia="Arial" w:cs="Arial"/>
          <w:sz w:val="16"/>
          <w:szCs w:val="16"/>
        </w:rPr>
        <w:t>[Investment Advisers Act of 1940 Rule 206(4)-1]</w:t>
      </w:r>
    </w:p>
    <w:p/>
    <w:p>
      <w:pPr>
        <w:spacing w:after="200"/>
        <w:rPr>
          <w:rFonts w:eastAsia="Arial" w:cs="Arial"/>
          <w:sz w:val="20"/>
          <w:szCs w:val="20"/>
        </w:rPr>
      </w:pPr>
      <w:r>
        <w:rPr>
          <w:rFonts w:eastAsia="Arial" w:cs="Arial"/>
          <w:sz w:val="20"/>
          <w:szCs w:val="20"/>
        </w:rPr>
        <w:t>KCD will present performance results in advertisements only if the performance includes all portfolios managed by KCD with substantially similar investment policies, objectives, and strategies as those of the services being offered in the advertisement.</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When advertising performance, the investment adviser must construct a composite of those managed accounts (called "portfolios" in Rule 206(4)-1) with substantially similar investment policies, objectives, and strategies as those of the services being offered in the advertisement. Rule 206(4)-1 calls the composite a "related portfolio." When selecting accounts for inclusion in the composite, Rule 206(4)-1 does not identify or prescribe particular requirements for determining whether portfolios are "related" beyond whether there are "substantially similar" investment policies, objectives, and strategies as those of the services being offered in the advertisement.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Key terms in Rule 206(4)-1 in the regulatory scheme governing performance presentation are: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Related Performance</w:t>
            </w:r>
            <w:r>
              <w:rPr>
                <w:rFonts w:eastAsia="Arial" w:cs="Arial"/>
                <w:b w:val="0"/>
                <w:bCs w:val="0"/>
                <w:i w:val="0"/>
                <w:iCs w:val="0"/>
                <w:smallCaps w:val="0"/>
                <w:color w:val="000000"/>
                <w:sz w:val="20"/>
              </w:rPr>
              <w:t xml:space="preserve">: The performance results of one or more related portfolios, either on a portfolio-by-portfolio basis or as a composite aggregation of all portfolios falling within stated criteria.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Related Portfolio</w:t>
            </w:r>
            <w:r>
              <w:rPr>
                <w:rFonts w:eastAsia="Arial" w:cs="Arial"/>
                <w:b w:val="0"/>
                <w:bCs w:val="0"/>
                <w:i w:val="0"/>
                <w:iCs w:val="0"/>
                <w:smallCaps w:val="0"/>
                <w:color w:val="000000"/>
                <w:sz w:val="20"/>
              </w:rPr>
              <w:t xml:space="preserve">: A portfolio with substantially similar investment policies, objectives, and strategies as those of the services being offered in the advertisement.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Portfolio</w:t>
            </w:r>
            <w:r>
              <w:rPr>
                <w:rFonts w:eastAsia="Arial" w:cs="Arial"/>
                <w:b w:val="0"/>
                <w:bCs w:val="0"/>
                <w:i w:val="0"/>
                <w:iCs w:val="0"/>
                <w:smallCaps w:val="0"/>
                <w:color w:val="000000"/>
                <w:sz w:val="20"/>
              </w:rPr>
              <w:t>: A group of investments managed by the investment adviser. A portfolio may be an account or a private fund and includes, but is not limited to, a portfolio for the account of the investment adviser or its advisory affiliate.</w:t>
            </w:r>
          </w:p>
        </w:tc>
      </w:tr>
    </w:tbl>
    <w:p>
      <w:pPr>
        <w:rPr>
          <w:rFonts w:eastAsia="Arial" w:cs="Arial"/>
          <w:sz w:val="20"/>
          <w:szCs w:val="20"/>
        </w:rPr>
      </w:pPr>
    </w:p>
    <w:p>
      <w:pPr>
        <w:numPr>
          <w:ilvl w:val="0"/>
          <w:numId w:val="502"/>
        </w:numPr>
        <w:spacing w:before="200"/>
        <w:ind w:left="720" w:hanging="267"/>
        <w:jc w:val="left"/>
        <w:rPr>
          <w:rFonts w:eastAsia="Arial" w:cs="Arial"/>
          <w:sz w:val="20"/>
          <w:szCs w:val="20"/>
        </w:rPr>
      </w:pPr>
      <w:r>
        <w:rPr>
          <w:rFonts w:eastAsia="Arial" w:cs="Arial"/>
          <w:sz w:val="20"/>
          <w:szCs w:val="20"/>
        </w:rPr>
        <w:t>When determining whether a particular portfolio is a "related portfolio," KCD will perform a facts and circumstances analysis. For example, KCD may determine that a portfolio with material client constraints or other material differences does not have substantially similar investment policies, objectives, and strategies and should not be included as a related portfolio.</w:t>
      </w:r>
    </w:p>
    <w:p>
      <w:pPr>
        <w:numPr>
          <w:ilvl w:val="0"/>
          <w:numId w:val="502"/>
        </w:numPr>
        <w:ind w:left="720" w:hanging="267"/>
        <w:jc w:val="left"/>
        <w:rPr>
          <w:rFonts w:eastAsia="Arial" w:cs="Arial"/>
          <w:sz w:val="20"/>
          <w:szCs w:val="20"/>
        </w:rPr>
      </w:pPr>
      <w:r>
        <w:rPr>
          <w:rFonts w:eastAsia="Arial" w:cs="Arial"/>
          <w:sz w:val="20"/>
          <w:szCs w:val="20"/>
        </w:rPr>
        <w:t>KCD may exclude related portfolios only if the advertised performance results are not materially higher than if all related portfolios had been included, and the exclusion does not alter the presentation of any applicable prescribed time period.</w:t>
      </w:r>
      <w:r>
        <w:rPr>
          <w:rFonts w:eastAsia="Arial" w:cs="Arial"/>
          <w:sz w:val="20"/>
          <w:szCs w:val="20"/>
        </w:rPr>
        <w:br/>
      </w:r>
    </w:p>
    <w:tbl>
      <w:tblPr>
        <w:tblStyle w:val="strfreeform"/>
        <w:tblW w:w="5000" w:type="pct"/>
        <w:tblCellSpacing w:w="0" w:type="dxa"/>
        <w:tblInd w:w="72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Ind w:w="720" w:type="dxa"/>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Excluding Portfolios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stated when it adopted amendments to Rule 206(4)-1 that an adviser may exclude related portfolios "if the results for one prescribed time period are no higher than if all related portfolios had been included for that time period, and the results for another prescribed time period are higher, but not materially higher, than if all related portfolios had been included for that time period. It may also meet this condition if the results for any and all prescribed time periods are not materially higher than if all related portfolios had been included for each time period." This is the Rule's "materially higher requirement."</w:t>
            </w:r>
          </w:p>
        </w:tc>
      </w:tr>
    </w:tbl>
    <w:p>
      <w:pPr>
        <w:ind w:left="720"/>
        <w:jc w:val="left"/>
        <w:rPr>
          <w:rFonts w:eastAsia="Arial" w:cs="Arial"/>
          <w:sz w:val="20"/>
          <w:szCs w:val="20"/>
        </w:rPr>
      </w:pPr>
    </w:p>
    <w:p>
      <w:pPr>
        <w:numPr>
          <w:ilvl w:val="0"/>
          <w:numId w:val="502"/>
        </w:numPr>
        <w:ind w:left="720" w:hanging="267"/>
        <w:jc w:val="left"/>
        <w:rPr>
          <w:rFonts w:eastAsia="Arial" w:cs="Arial"/>
          <w:sz w:val="20"/>
          <w:szCs w:val="20"/>
        </w:rPr>
      </w:pPr>
      <w:r>
        <w:rPr>
          <w:rFonts w:eastAsia="Arial" w:cs="Arial"/>
          <w:sz w:val="20"/>
          <w:szCs w:val="20"/>
        </w:rPr>
        <w:t xml:space="preserve">If KCD excludes certain portfolios (managed accounts), it will calculate the performance of all related portfolios to ensure that the exclusion of certain portfolios from the advertisement meets condition (2), the Rule's "materially higher requirement." </w:t>
      </w:r>
    </w:p>
    <w:p>
      <w:pPr>
        <w:numPr>
          <w:ilvl w:val="0"/>
          <w:numId w:val="502"/>
        </w:numPr>
        <w:ind w:left="720" w:hanging="267"/>
        <w:jc w:val="left"/>
        <w:rPr>
          <w:rFonts w:eastAsia="Arial" w:cs="Arial"/>
          <w:sz w:val="20"/>
          <w:szCs w:val="20"/>
        </w:rPr>
      </w:pPr>
      <w:r>
        <w:rPr>
          <w:rFonts w:eastAsia="Arial" w:cs="Arial"/>
          <w:sz w:val="20"/>
          <w:szCs w:val="20"/>
        </w:rPr>
        <w:t>Once KCD establishes its criteria for its performance composite, all related portfolios meeting the criteria must be included in the composite.</w:t>
      </w:r>
    </w:p>
    <w:p>
      <w:pPr>
        <w:numPr>
          <w:ilvl w:val="0"/>
          <w:numId w:val="502"/>
        </w:numPr>
        <w:spacing w:after="200"/>
        <w:ind w:left="720" w:hanging="267"/>
        <w:jc w:val="left"/>
        <w:rPr>
          <w:rFonts w:eastAsia="Arial" w:cs="Arial"/>
          <w:sz w:val="20"/>
          <w:szCs w:val="20"/>
        </w:rPr>
      </w:pPr>
      <w:r>
        <w:rPr>
          <w:rFonts w:eastAsia="Arial" w:cs="Arial"/>
          <w:sz w:val="20"/>
          <w:szCs w:val="20"/>
        </w:rPr>
        <w:t>KCD will not advertise the performance of only of a single account (also called a "representative account"). KCD may present the results of a single representative account (such as a flagship fund) or a subset of related portfolios provided it is alongside the required related performance.</w:t>
      </w:r>
    </w:p>
    <w:p>
      <w:bookmarkEnd w:id="583"/>
      <w:bookmarkStart w:id="584" w:name="Sec_Chp_061016102254625_93483"/>
    </w:p>
    <w:p>
      <w:pPr>
        <w:pStyle w:val="Heading5"/>
      </w:pPr>
      <w:r>
        <w:t xml:space="preserve">9.1.1.1.2 Extracted Performance </w:t>
      </w:r>
    </w:p>
    <w:p/>
    <w:p>
      <w:pPr>
        <w:rPr>
          <w:rFonts w:eastAsia="Arial" w:cs="Arial"/>
          <w:sz w:val="16"/>
          <w:szCs w:val="16"/>
        </w:rPr>
      </w:pPr>
      <w:r>
        <w:rPr>
          <w:rFonts w:eastAsia="Arial" w:cs="Arial"/>
          <w:sz w:val="16"/>
          <w:szCs w:val="16"/>
        </w:rPr>
        <w:t>[Investment Advisers Act of 1940 Rule 206(4)-1]</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Extracted Performance</w:t>
            </w:r>
            <w:r>
              <w:rPr>
                <w:rFonts w:eastAsia="Arial" w:cs="Arial"/>
                <w:b w:val="0"/>
                <w:bCs w:val="0"/>
                <w:i w:val="0"/>
                <w:iCs w:val="0"/>
                <w:smallCaps w:val="0"/>
                <w:color w:val="000000"/>
                <w:sz w:val="20"/>
              </w:rPr>
              <w:t xml:space="preserve">: The performance results of a subset of investments extracted from a portfolio. (Rule 206(4)-1(e)(6))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Portfolio</w:t>
            </w:r>
            <w:r>
              <w:rPr>
                <w:rFonts w:eastAsia="Arial" w:cs="Arial"/>
                <w:b w:val="0"/>
                <w:bCs w:val="0"/>
                <w:i w:val="0"/>
                <w:iCs w:val="0"/>
                <w:smallCaps w:val="0"/>
                <w:color w:val="000000"/>
                <w:sz w:val="20"/>
              </w:rPr>
              <w:t xml:space="preserve">: A group of investments managed by the investment adviser. </w:t>
            </w:r>
          </w:p>
        </w:tc>
      </w:tr>
    </w:tbl>
    <w:p>
      <w:pPr>
        <w:pStyle w:val="normal0"/>
        <w:spacing w:before="200" w:after="200"/>
        <w:rPr>
          <w:rFonts w:eastAsia="Arial" w:cs="Arial"/>
          <w:sz w:val="20"/>
          <w:szCs w:val="20"/>
        </w:rPr>
      </w:pPr>
      <w:r>
        <w:rPr>
          <w:rFonts w:eastAsia="Arial" w:cs="Arial"/>
          <w:sz w:val="20"/>
          <w:szCs w:val="20"/>
        </w:rPr>
        <w:t>KCD may advertise extracted performance only if:</w:t>
      </w:r>
    </w:p>
    <w:p>
      <w:pPr>
        <w:numPr>
          <w:ilvl w:val="0"/>
          <w:numId w:val="503"/>
        </w:numPr>
        <w:spacing w:before="200"/>
        <w:ind w:left="720" w:hanging="192"/>
        <w:jc w:val="left"/>
        <w:rPr>
          <w:rFonts w:eastAsia="Arial" w:cs="Arial"/>
          <w:sz w:val="20"/>
          <w:szCs w:val="20"/>
        </w:rPr>
      </w:pPr>
      <w:r>
        <w:rPr>
          <w:rFonts w:eastAsia="Arial" w:cs="Arial"/>
          <w:sz w:val="20"/>
          <w:szCs w:val="20"/>
        </w:rPr>
        <w:t>The advertisement provides, or offers to provide promptly, the performance results of the total portfolio from which the performance was extracted;</w:t>
      </w:r>
    </w:p>
    <w:p>
      <w:pPr>
        <w:numPr>
          <w:ilvl w:val="0"/>
          <w:numId w:val="503"/>
        </w:numPr>
        <w:ind w:left="720" w:hanging="192"/>
        <w:jc w:val="left"/>
        <w:rPr>
          <w:rFonts w:eastAsia="Arial" w:cs="Arial"/>
          <w:sz w:val="20"/>
          <w:szCs w:val="20"/>
        </w:rPr>
      </w:pPr>
      <w:r>
        <w:rPr>
          <w:rFonts w:eastAsia="Arial" w:cs="Arial"/>
          <w:sz w:val="20"/>
          <w:szCs w:val="20"/>
        </w:rPr>
        <w:t>The extracted performance is shown both as net and gross performance for the applicable subset of investments extracted from a portfolio; and</w:t>
      </w:r>
    </w:p>
    <w:p>
      <w:pPr>
        <w:numPr>
          <w:ilvl w:val="0"/>
          <w:numId w:val="503"/>
        </w:numPr>
        <w:spacing w:after="200"/>
        <w:ind w:left="720" w:hanging="192"/>
        <w:jc w:val="left"/>
        <w:rPr>
          <w:rFonts w:eastAsia="Arial" w:cs="Arial"/>
          <w:sz w:val="20"/>
          <w:szCs w:val="20"/>
        </w:rPr>
      </w:pPr>
      <w:r>
        <w:rPr>
          <w:rFonts w:eastAsia="Arial" w:cs="Arial"/>
          <w:sz w:val="20"/>
          <w:szCs w:val="20"/>
        </w:rPr>
        <w:t>The advertisement discloses whether the performance reflects an allocation of cash held by the entire portfolio and the effect of such cash allocation on performance.</w:t>
      </w:r>
    </w:p>
    <w:p>
      <w:pPr>
        <w:pStyle w:val="normal0"/>
        <w:spacing w:before="200" w:after="200"/>
        <w:rPr>
          <w:rFonts w:eastAsia="Arial" w:cs="Arial"/>
          <w:sz w:val="20"/>
          <w:szCs w:val="20"/>
        </w:rPr>
      </w:pPr>
      <w:r>
        <w:rPr>
          <w:rFonts w:eastAsia="Arial" w:cs="Arial"/>
          <w:sz w:val="20"/>
          <w:szCs w:val="20"/>
        </w:rPr>
        <w:t>The SEC staff takes the position that displaying the performance of one investment or a group of investments in a private fund is "extracted performance" for purposes of Rule 206(4)-1(e)(6).</w:t>
      </w:r>
    </w:p>
    <w:p>
      <w:bookmarkEnd w:id="584"/>
      <w:bookmarkStart w:id="585" w:name="Sec_Chp_061016102254625_257848"/>
    </w:p>
    <w:p>
      <w:pPr>
        <w:pStyle w:val="Heading5"/>
      </w:pPr>
      <w:r>
        <w:t>9.1.1.1.3 Database Performance Submissions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KCD may from time to time submit performance information to databases. When making such submissions, KCD will treat the information submitted as performance subject to the SEC's marketing rule and KCD's marketing procedures. KCD shall keep records of:</w:t>
      </w:r>
    </w:p>
    <w:p>
      <w:pPr>
        <w:numPr>
          <w:ilvl w:val="0"/>
          <w:numId w:val="504"/>
        </w:numPr>
        <w:spacing w:before="200"/>
        <w:ind w:left="720" w:hanging="267"/>
        <w:jc w:val="left"/>
        <w:rPr>
          <w:rFonts w:eastAsia="Arial" w:cs="Arial"/>
          <w:sz w:val="20"/>
          <w:szCs w:val="20"/>
        </w:rPr>
      </w:pPr>
      <w:r>
        <w:rPr>
          <w:rFonts w:eastAsia="Arial" w:cs="Arial"/>
          <w:sz w:val="20"/>
          <w:szCs w:val="20"/>
        </w:rPr>
        <w:t>The performance submitted to the database;</w:t>
      </w:r>
    </w:p>
    <w:p>
      <w:pPr>
        <w:numPr>
          <w:ilvl w:val="0"/>
          <w:numId w:val="504"/>
        </w:numPr>
        <w:ind w:left="720" w:hanging="267"/>
        <w:jc w:val="left"/>
        <w:rPr>
          <w:rFonts w:eastAsia="Arial" w:cs="Arial"/>
          <w:sz w:val="20"/>
          <w:szCs w:val="20"/>
        </w:rPr>
      </w:pPr>
      <w:r>
        <w:rPr>
          <w:rFonts w:eastAsia="Arial" w:cs="Arial"/>
          <w:sz w:val="20"/>
          <w:szCs w:val="20"/>
        </w:rPr>
        <w:t>Name of database; and</w:t>
      </w:r>
    </w:p>
    <w:p>
      <w:pPr>
        <w:numPr>
          <w:ilvl w:val="0"/>
          <w:numId w:val="504"/>
        </w:numPr>
        <w:ind w:left="720" w:hanging="267"/>
        <w:jc w:val="left"/>
        <w:rPr>
          <w:rFonts w:eastAsia="Arial" w:cs="Arial"/>
          <w:sz w:val="20"/>
          <w:szCs w:val="20"/>
        </w:rPr>
      </w:pPr>
      <w:r>
        <w:rPr>
          <w:rFonts w:eastAsia="Arial" w:cs="Arial"/>
          <w:sz w:val="20"/>
          <w:szCs w:val="20"/>
        </w:rPr>
        <w:t>Whether the information submitted was:</w:t>
      </w:r>
    </w:p>
    <w:p>
      <w:pPr>
        <w:numPr>
          <w:ilvl w:val="1"/>
          <w:numId w:val="504"/>
        </w:numPr>
        <w:ind w:left="1440" w:hanging="267"/>
        <w:jc w:val="left"/>
        <w:rPr>
          <w:rFonts w:eastAsia="Arial" w:cs="Arial"/>
          <w:sz w:val="20"/>
          <w:szCs w:val="20"/>
        </w:rPr>
      </w:pPr>
      <w:r>
        <w:rPr>
          <w:rFonts w:eastAsia="Arial" w:cs="Arial"/>
          <w:sz w:val="20"/>
          <w:szCs w:val="20"/>
        </w:rPr>
        <w:t>at the request of the database;</w:t>
      </w:r>
    </w:p>
    <w:p>
      <w:pPr>
        <w:numPr>
          <w:ilvl w:val="1"/>
          <w:numId w:val="504"/>
        </w:numPr>
        <w:ind w:left="1440" w:hanging="267"/>
        <w:jc w:val="left"/>
        <w:rPr>
          <w:rFonts w:eastAsia="Arial" w:cs="Arial"/>
          <w:sz w:val="20"/>
          <w:szCs w:val="20"/>
        </w:rPr>
      </w:pPr>
      <w:r>
        <w:rPr>
          <w:rFonts w:eastAsia="Arial" w:cs="Arial"/>
          <w:sz w:val="20"/>
          <w:szCs w:val="20"/>
        </w:rPr>
        <w:t>after KCD requested that the database include KCD's performance information; or</w:t>
      </w:r>
    </w:p>
    <w:p>
      <w:pPr>
        <w:numPr>
          <w:ilvl w:val="1"/>
          <w:numId w:val="504"/>
        </w:numPr>
        <w:spacing w:after="200"/>
        <w:ind w:left="1440" w:hanging="256"/>
        <w:jc w:val="left"/>
        <w:rPr>
          <w:rFonts w:eastAsia="Arial" w:cs="Arial"/>
          <w:sz w:val="20"/>
          <w:szCs w:val="20"/>
        </w:rPr>
      </w:pPr>
      <w:r>
        <w:rPr>
          <w:rFonts w:eastAsia="Arial" w:cs="Arial"/>
          <w:sz w:val="20"/>
          <w:szCs w:val="20"/>
        </w:rPr>
        <w:t>contains information that is in addition to the information requested by database.</w:t>
      </w:r>
    </w:p>
    <w:p>
      <w:bookmarkEnd w:id="585"/>
      <w:bookmarkStart w:id="586" w:name="Sec_Chp_061016102254625_00009348"/>
    </w:p>
    <w:p>
      <w:pPr>
        <w:pStyle w:val="Heading4"/>
      </w:pPr>
      <w:r>
        <w:t>9.1.1.2 Backtesting</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From time to time, KCD may desire to disseminate backtested performance results.</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Backtesting involves applying a strategy or predictive model to historical data to determine its accuracy. It can be used to test and compare the viability of an investment strategy so an adviser can employ and modify successful strategies. It is the general method for seeing how well a strategy or model would have done ex-post. Backtesting assesses the viability of an investment strategy by discovering how it would play out using historical data. Investment advisers may want to advertise backtested results in an attempt to validate an investment strategy to be used when managing client accounts. In some cases, institutional clients may request backtests of a strategy proposed to be used to manage their assets. The presentation of backtested performance can be misleading for a variety of reasons including the fact that the conditions of future markets are likely to differ from the conditions in past markets in which the strategy was tested. The SEC has stated that backtested performance is more likely to be misleading to the extent that the intended audience does not have the resources and financial expertise to assess the backetested performance information.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Since backetested performance is a type of hypothetical performance, these procedures are modeled after KCD's procedures governing the use of hypothetical performance information. </w:t>
            </w:r>
          </w:p>
        </w:tc>
      </w:tr>
    </w:tbl>
    <w:p>
      <w:pPr>
        <w:rPr>
          <w:rFonts w:eastAsia="Arial" w:cs="Arial"/>
          <w:sz w:val="20"/>
          <w:szCs w:val="20"/>
        </w:rPr>
      </w:pPr>
    </w:p>
    <w:p>
      <w:pPr>
        <w:pStyle w:val="normal0"/>
        <w:spacing w:before="200" w:after="200"/>
        <w:rPr>
          <w:rFonts w:eastAsia="Arial" w:cs="Arial"/>
          <w:sz w:val="20"/>
          <w:szCs w:val="20"/>
        </w:rPr>
      </w:pPr>
      <w:r>
        <w:rPr>
          <w:rFonts w:eastAsia="Arial" w:cs="Arial"/>
          <w:b/>
          <w:bCs/>
          <w:sz w:val="20"/>
          <w:szCs w:val="20"/>
        </w:rPr>
        <w:t>Classification of the Use of Backtested Performance Information</w:t>
      </w:r>
    </w:p>
    <w:p>
      <w:pPr>
        <w:pStyle w:val="normal0"/>
        <w:spacing w:before="200" w:after="200"/>
        <w:rPr>
          <w:rFonts w:eastAsia="Arial" w:cs="Arial"/>
          <w:sz w:val="20"/>
          <w:szCs w:val="20"/>
        </w:rPr>
      </w:pPr>
      <w:r>
        <w:rPr>
          <w:rFonts w:eastAsia="Arial" w:cs="Arial"/>
          <w:sz w:val="20"/>
          <w:szCs w:val="20"/>
        </w:rPr>
        <w:t>KCD deems each instance of advertising or dissemination of backtested performance information to be an "advertisement" subject to Rule 206(4)-1 under the Advisers Act and the policies and procedures of this Compliance Manual except in these two instances:</w:t>
      </w:r>
    </w:p>
    <w:p>
      <w:pPr>
        <w:numPr>
          <w:ilvl w:val="0"/>
          <w:numId w:val="505"/>
        </w:numPr>
        <w:spacing w:before="200"/>
        <w:ind w:left="720" w:hanging="267"/>
        <w:jc w:val="left"/>
        <w:rPr>
          <w:rFonts w:eastAsia="Arial" w:cs="Arial"/>
          <w:sz w:val="20"/>
          <w:szCs w:val="20"/>
        </w:rPr>
      </w:pPr>
      <w:r>
        <w:rPr>
          <w:rFonts w:eastAsia="Arial" w:cs="Arial"/>
          <w:sz w:val="20"/>
          <w:szCs w:val="20"/>
        </w:rPr>
        <w:t xml:space="preserve">client or potential client seeks backtested performance information for his or her own purposes, and not in response to a communication disseminated by KCD offering its investment advisory services; or </w:t>
      </w:r>
    </w:p>
    <w:p>
      <w:pPr>
        <w:numPr>
          <w:ilvl w:val="0"/>
          <w:numId w:val="505"/>
        </w:numPr>
        <w:spacing w:after="200"/>
        <w:ind w:left="720" w:hanging="267"/>
        <w:jc w:val="left"/>
        <w:rPr>
          <w:rFonts w:eastAsia="Arial" w:cs="Arial"/>
          <w:sz w:val="20"/>
          <w:szCs w:val="20"/>
        </w:rPr>
      </w:pPr>
      <w:r>
        <w:rPr>
          <w:rFonts w:eastAsia="Arial" w:cs="Arial"/>
          <w:sz w:val="20"/>
          <w:szCs w:val="20"/>
        </w:rPr>
        <w:t>backtested performance information is provided to an investor in a private fund advised by KCD in a one-on-one presentation.</w:t>
      </w:r>
    </w:p>
    <w:p>
      <w:pPr>
        <w:pStyle w:val="normal0"/>
        <w:spacing w:before="200" w:after="200"/>
        <w:rPr>
          <w:rFonts w:eastAsia="Arial" w:cs="Arial"/>
          <w:sz w:val="20"/>
          <w:szCs w:val="20"/>
        </w:rPr>
      </w:pPr>
      <w:r>
        <w:rPr>
          <w:rFonts w:eastAsia="Arial" w:cs="Arial"/>
          <w:b/>
          <w:bCs/>
          <w:sz w:val="20"/>
          <w:szCs w:val="20"/>
        </w:rPr>
        <w:t>Use of Backtested Performance Information</w:t>
      </w:r>
    </w:p>
    <w:p>
      <w:pPr>
        <w:pStyle w:val="normal0"/>
        <w:spacing w:before="200" w:after="200"/>
        <w:rPr>
          <w:rFonts w:eastAsia="Arial" w:cs="Arial"/>
          <w:sz w:val="20"/>
          <w:szCs w:val="20"/>
        </w:rPr>
      </w:pPr>
      <w:r>
        <w:rPr>
          <w:rFonts w:eastAsia="Arial" w:cs="Arial"/>
          <w:sz w:val="20"/>
          <w:szCs w:val="20"/>
        </w:rPr>
        <w:t>In addition to treating the advertisement or other dissemination of backtested performance information to be an "advertisement" subject to Rule 206(4)-1 and the policies and procedures of this Compliance Manual, the Chief Compliance Officer will ensure that when the backtested performance is provided to potential or existing clients or otherwise advertised:</w:t>
      </w:r>
    </w:p>
    <w:p>
      <w:pPr>
        <w:numPr>
          <w:ilvl w:val="0"/>
          <w:numId w:val="506"/>
        </w:numPr>
        <w:spacing w:before="200"/>
        <w:ind w:left="720" w:hanging="192"/>
        <w:jc w:val="left"/>
        <w:rPr>
          <w:rFonts w:eastAsia="Arial" w:cs="Arial"/>
          <w:sz w:val="20"/>
          <w:szCs w:val="20"/>
        </w:rPr>
      </w:pPr>
      <w:r>
        <w:rPr>
          <w:rFonts w:eastAsia="Arial" w:cs="Arial"/>
          <w:sz w:val="20"/>
          <w:szCs w:val="20"/>
        </w:rPr>
        <w:t>The backtested performance is relevant to the likely financial situation and investment objectives of the person requesting such performance or the person KCD disseminates such information to;</w:t>
      </w:r>
    </w:p>
    <w:p>
      <w:pPr>
        <w:numPr>
          <w:ilvl w:val="0"/>
          <w:numId w:val="506"/>
        </w:numPr>
        <w:ind w:left="720" w:hanging="192"/>
        <w:jc w:val="left"/>
        <w:rPr>
          <w:rFonts w:eastAsia="Arial" w:cs="Arial"/>
          <w:sz w:val="20"/>
          <w:szCs w:val="20"/>
        </w:rPr>
      </w:pPr>
      <w:r>
        <w:rPr>
          <w:rFonts w:eastAsia="Arial" w:cs="Arial"/>
          <w:sz w:val="20"/>
          <w:szCs w:val="20"/>
        </w:rPr>
        <w:t>The backtested performance to be provided clearly states that it is backtested performance information and contains or is accompanied by sufficient information to enable the person requesting such information to understand the criteria used and assumptions made in calculating such hypothetical performance; and</w:t>
      </w:r>
    </w:p>
    <w:p>
      <w:pPr>
        <w:numPr>
          <w:ilvl w:val="0"/>
          <w:numId w:val="506"/>
        </w:numPr>
        <w:spacing w:after="200"/>
        <w:ind w:left="720" w:hanging="192"/>
        <w:jc w:val="left"/>
        <w:rPr>
          <w:rFonts w:eastAsia="Arial" w:cs="Arial"/>
          <w:sz w:val="20"/>
          <w:szCs w:val="20"/>
        </w:rPr>
      </w:pPr>
      <w:r>
        <w:rPr>
          <w:rFonts w:eastAsia="Arial" w:cs="Arial"/>
          <w:sz w:val="20"/>
          <w:szCs w:val="20"/>
        </w:rPr>
        <w:t>The backtested performance information to be provided contains or is accompanied by sufficient information to enable the person requesting such information to understand the risks and limitations of using backtested performance information in making investment decisions.</w:t>
      </w:r>
    </w:p>
    <w:p>
      <w:pPr>
        <w:pStyle w:val="normal0"/>
        <w:spacing w:before="200" w:after="200"/>
        <w:rPr>
          <w:rFonts w:eastAsia="Arial" w:cs="Arial"/>
          <w:sz w:val="20"/>
          <w:szCs w:val="20"/>
        </w:rPr>
      </w:pPr>
      <w:r>
        <w:rPr>
          <w:rFonts w:eastAsia="Arial" w:cs="Arial"/>
          <w:sz w:val="20"/>
          <w:szCs w:val="20"/>
        </w:rPr>
        <w:t>KCD will not include any backtested performance information in any advertisement to be disseminated to a mass audience or general circulation.</w:t>
      </w:r>
    </w:p>
    <w:p>
      <w:pPr>
        <w:pStyle w:val="normal0"/>
        <w:spacing w:before="200" w:after="200"/>
        <w:rPr>
          <w:rFonts w:eastAsia="Arial" w:cs="Arial"/>
          <w:sz w:val="20"/>
          <w:szCs w:val="20"/>
        </w:rPr>
      </w:pPr>
      <w:r>
        <w:rPr>
          <w:rFonts w:eastAsia="Arial" w:cs="Arial"/>
          <w:b/>
          <w:bCs/>
          <w:sz w:val="20"/>
          <w:szCs w:val="20"/>
        </w:rPr>
        <w:t>Financial Situation and Investment Objectives</w:t>
      </w:r>
    </w:p>
    <w:p>
      <w:pPr>
        <w:pStyle w:val="normal0"/>
        <w:spacing w:before="200" w:after="200"/>
        <w:rPr>
          <w:rFonts w:eastAsia="Arial" w:cs="Arial"/>
          <w:sz w:val="20"/>
          <w:szCs w:val="20"/>
        </w:rPr>
      </w:pPr>
      <w:r>
        <w:rPr>
          <w:rFonts w:eastAsia="Arial" w:cs="Arial"/>
          <w:sz w:val="20"/>
          <w:szCs w:val="20"/>
        </w:rPr>
        <w:t>When assessing whether the backtested performance is relevant to the likely financial situation and investment objectives, KCD will consider:</w:t>
      </w:r>
    </w:p>
    <w:p>
      <w:pPr>
        <w:numPr>
          <w:ilvl w:val="0"/>
          <w:numId w:val="507"/>
        </w:numPr>
        <w:spacing w:before="200"/>
        <w:ind w:left="720" w:hanging="192"/>
        <w:jc w:val="left"/>
        <w:rPr>
          <w:rFonts w:eastAsia="Arial" w:cs="Arial"/>
          <w:sz w:val="20"/>
          <w:szCs w:val="20"/>
        </w:rPr>
      </w:pPr>
      <w:r>
        <w:rPr>
          <w:rFonts w:eastAsia="Arial" w:cs="Arial"/>
          <w:sz w:val="20"/>
          <w:szCs w:val="20"/>
        </w:rPr>
        <w:t>whether the recipient of the backtested performance information is an existing client of KCD;</w:t>
      </w:r>
    </w:p>
    <w:p>
      <w:pPr>
        <w:numPr>
          <w:ilvl w:val="0"/>
          <w:numId w:val="507"/>
        </w:numPr>
        <w:ind w:left="720" w:hanging="192"/>
        <w:jc w:val="left"/>
        <w:rPr>
          <w:rFonts w:eastAsia="Arial" w:cs="Arial"/>
          <w:sz w:val="20"/>
          <w:szCs w:val="20"/>
        </w:rPr>
      </w:pPr>
      <w:r>
        <w:rPr>
          <w:rFonts w:eastAsia="Arial" w:cs="Arial"/>
          <w:sz w:val="20"/>
          <w:szCs w:val="20"/>
        </w:rPr>
        <w:t>the net worth or investment experience of the recipients;</w:t>
      </w:r>
    </w:p>
    <w:p>
      <w:pPr>
        <w:numPr>
          <w:ilvl w:val="0"/>
          <w:numId w:val="507"/>
        </w:numPr>
        <w:ind w:left="720" w:hanging="192"/>
        <w:jc w:val="left"/>
        <w:rPr>
          <w:rFonts w:eastAsia="Arial" w:cs="Arial"/>
          <w:sz w:val="20"/>
          <w:szCs w:val="20"/>
        </w:rPr>
      </w:pPr>
      <w:r>
        <w:rPr>
          <w:rFonts w:eastAsia="Arial" w:cs="Arial"/>
          <w:sz w:val="20"/>
          <w:szCs w:val="20"/>
        </w:rPr>
        <w:t>whether the recipients are "qualified purchasers," "qualified clients," or "qualified institutional buyers" under the Advisers Act or Investment Company Act; and</w:t>
      </w:r>
    </w:p>
    <w:p>
      <w:pPr>
        <w:numPr>
          <w:ilvl w:val="0"/>
          <w:numId w:val="507"/>
        </w:numPr>
        <w:spacing w:after="200"/>
        <w:ind w:left="720" w:hanging="192"/>
        <w:jc w:val="left"/>
        <w:rPr>
          <w:rFonts w:eastAsia="Arial" w:cs="Arial"/>
          <w:sz w:val="20"/>
          <w:szCs w:val="20"/>
        </w:rPr>
      </w:pPr>
      <w:r>
        <w:rPr>
          <w:rFonts w:eastAsia="Arial" w:cs="Arial"/>
          <w:sz w:val="20"/>
          <w:szCs w:val="20"/>
        </w:rPr>
        <w:t>whether the recipients are sophisticated natural persons or financial institutions.</w:t>
      </w:r>
    </w:p>
    <w:p>
      <w:pPr>
        <w:pStyle w:val="normal0"/>
        <w:spacing w:before="200" w:after="200"/>
        <w:rPr>
          <w:rFonts w:eastAsia="Arial" w:cs="Arial"/>
          <w:sz w:val="20"/>
          <w:szCs w:val="20"/>
        </w:rPr>
      </w:pPr>
      <w:r>
        <w:rPr>
          <w:rFonts w:eastAsia="Arial" w:cs="Arial"/>
          <w:b/>
          <w:bCs/>
          <w:sz w:val="20"/>
          <w:szCs w:val="20"/>
        </w:rPr>
        <w:t>Records</w:t>
      </w:r>
    </w:p>
    <w:p>
      <w:pPr>
        <w:pStyle w:val="normal0"/>
        <w:spacing w:before="200" w:after="200"/>
        <w:rPr>
          <w:rFonts w:eastAsia="Arial" w:cs="Arial"/>
          <w:sz w:val="20"/>
          <w:szCs w:val="20"/>
        </w:rPr>
      </w:pPr>
      <w:r>
        <w:rPr>
          <w:rFonts w:eastAsia="Arial" w:cs="Arial"/>
          <w:sz w:val="20"/>
          <w:szCs w:val="20"/>
        </w:rPr>
        <w:t>KCD shall maintain a record of who the intended audience is each time it disseminates backtested performance information.</w:t>
      </w:r>
    </w:p>
    <w:p>
      <w:bookmarkEnd w:id="586"/>
      <w:bookmarkStart w:id="587" w:name="Sec_Chp_061016102254625_00009349"/>
    </w:p>
    <w:p>
      <w:pPr>
        <w:pStyle w:val="Heading4"/>
      </w:pPr>
      <w:r>
        <w:t>9.1.1.3 Interactive Tools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From time to time, KCD may desire to make available interactive tools and/or educational materials to prospective clients.</w:t>
      </w:r>
    </w:p>
    <w:p>
      <w:pPr>
        <w:pStyle w:val="normal0"/>
        <w:spacing w:before="200" w:after="200"/>
        <w:rPr>
          <w:rFonts w:eastAsia="Arial" w:cs="Arial"/>
          <w:sz w:val="20"/>
          <w:szCs w:val="20"/>
        </w:rPr>
      </w:pPr>
      <w:r>
        <w:rPr>
          <w:rFonts w:eastAsia="Arial" w:cs="Arial"/>
          <w:sz w:val="20"/>
          <w:szCs w:val="20"/>
        </w:rPr>
        <w:t>Interactive tools include tools or electronic interfaces that allow a prospective client to select its own targeted or assumed rate of return and to project forward a portfolio using that client's selected rate of return.</w:t>
      </w:r>
    </w:p>
    <w:p>
      <w:pPr>
        <w:pStyle w:val="normal0"/>
        <w:spacing w:before="200" w:after="200"/>
        <w:rPr>
          <w:rFonts w:eastAsia="Arial" w:cs="Arial"/>
          <w:sz w:val="20"/>
          <w:szCs w:val="20"/>
        </w:rPr>
      </w:pPr>
      <w:r>
        <w:rPr>
          <w:rFonts w:eastAsia="Arial" w:cs="Arial"/>
          <w:sz w:val="20"/>
          <w:szCs w:val="20"/>
        </w:rPr>
        <w:t>KCD will not deem interactive tools and/or educational materials to be advertisements subject to Rule 206(4)-1 and KCD's marketing compliance procedures provided the content in such offerings are not advertisements.</w:t>
      </w:r>
    </w:p>
    <w:p>
      <w:pPr>
        <w:pStyle w:val="normal0"/>
        <w:spacing w:before="200" w:after="200"/>
        <w:rPr>
          <w:rFonts w:eastAsia="Arial" w:cs="Arial"/>
          <w:sz w:val="20"/>
          <w:szCs w:val="20"/>
        </w:rPr>
      </w:pPr>
      <w:r>
        <w:rPr>
          <w:rFonts w:eastAsia="Arial" w:cs="Arial"/>
          <w:sz w:val="20"/>
          <w:szCs w:val="20"/>
        </w:rPr>
        <w:t>Prior to making available interactive tools and/or educational materials, KCD shall:</w:t>
      </w:r>
    </w:p>
    <w:p>
      <w:pPr>
        <w:numPr>
          <w:ilvl w:val="0"/>
          <w:numId w:val="508"/>
        </w:numPr>
        <w:spacing w:before="200"/>
        <w:ind w:left="720" w:hanging="192"/>
        <w:jc w:val="left"/>
        <w:rPr>
          <w:rFonts w:eastAsia="Arial" w:cs="Arial"/>
          <w:sz w:val="20"/>
          <w:szCs w:val="20"/>
        </w:rPr>
      </w:pPr>
      <w:r>
        <w:rPr>
          <w:rFonts w:eastAsia="Arial" w:cs="Arial"/>
          <w:sz w:val="20"/>
          <w:szCs w:val="20"/>
        </w:rPr>
        <w:t>review the content to ensure it is accurate, not misleading or otherwise misleading;</w:t>
      </w:r>
    </w:p>
    <w:p>
      <w:pPr>
        <w:numPr>
          <w:ilvl w:val="0"/>
          <w:numId w:val="508"/>
        </w:numPr>
        <w:ind w:left="720" w:hanging="192"/>
        <w:jc w:val="left"/>
        <w:rPr>
          <w:rFonts w:eastAsia="Arial" w:cs="Arial"/>
          <w:sz w:val="20"/>
          <w:szCs w:val="20"/>
        </w:rPr>
      </w:pPr>
      <w:r>
        <w:rPr>
          <w:rFonts w:eastAsia="Arial" w:cs="Arial"/>
          <w:sz w:val="20"/>
          <w:szCs w:val="20"/>
        </w:rPr>
        <w:t>ensure the content is free of any promotional or other language that might be viewed as advertising KCD's advisory services; and</w:t>
      </w:r>
    </w:p>
    <w:p>
      <w:pPr>
        <w:numPr>
          <w:ilvl w:val="0"/>
          <w:numId w:val="508"/>
        </w:numPr>
        <w:spacing w:after="200"/>
        <w:ind w:left="720" w:hanging="192"/>
        <w:jc w:val="left"/>
        <w:rPr>
          <w:rFonts w:eastAsia="Arial" w:cs="Arial"/>
          <w:sz w:val="20"/>
          <w:szCs w:val="20"/>
        </w:rPr>
      </w:pPr>
      <w:r>
        <w:rPr>
          <w:rFonts w:eastAsia="Arial" w:cs="Arial"/>
          <w:sz w:val="20"/>
          <w:szCs w:val="20"/>
        </w:rPr>
        <w:t>ensure that any interactive tool not suggest or imply a rate of return.</w:t>
      </w:r>
    </w:p>
    <w:p>
      <w:pPr>
        <w:pStyle w:val="normal0"/>
        <w:spacing w:before="200" w:after="200"/>
        <w:rPr>
          <w:rFonts w:eastAsia="Arial" w:cs="Arial"/>
          <w:sz w:val="20"/>
          <w:szCs w:val="20"/>
        </w:rPr>
      </w:pPr>
      <w:r>
        <w:rPr>
          <w:rFonts w:eastAsia="Arial" w:cs="Arial"/>
          <w:sz w:val="20"/>
          <w:szCs w:val="20"/>
        </w:rPr>
        <w:t>Any interactive tool developed and offered by KCD shall:</w:t>
      </w:r>
    </w:p>
    <w:p>
      <w:pPr>
        <w:numPr>
          <w:ilvl w:val="0"/>
          <w:numId w:val="509"/>
        </w:numPr>
        <w:spacing w:before="200"/>
        <w:ind w:left="720" w:hanging="192"/>
        <w:jc w:val="left"/>
        <w:rPr>
          <w:rFonts w:eastAsia="Arial" w:cs="Arial"/>
          <w:sz w:val="20"/>
          <w:szCs w:val="20"/>
        </w:rPr>
      </w:pPr>
      <w:r>
        <w:rPr>
          <w:rFonts w:eastAsia="Arial" w:cs="Arial"/>
          <w:sz w:val="20"/>
          <w:szCs w:val="20"/>
        </w:rPr>
        <w:t>contain a description of the criteria and methodology used, limitations and assumptions;</w:t>
      </w:r>
    </w:p>
    <w:p>
      <w:pPr>
        <w:numPr>
          <w:ilvl w:val="0"/>
          <w:numId w:val="509"/>
        </w:numPr>
        <w:ind w:left="720" w:hanging="192"/>
        <w:jc w:val="left"/>
        <w:rPr>
          <w:rFonts w:eastAsia="Arial" w:cs="Arial"/>
          <w:sz w:val="20"/>
          <w:szCs w:val="20"/>
        </w:rPr>
      </w:pPr>
      <w:r>
        <w:rPr>
          <w:rFonts w:eastAsia="Arial" w:cs="Arial"/>
          <w:sz w:val="20"/>
          <w:szCs w:val="20"/>
        </w:rPr>
        <w:t>explain that the results may vary with each use and over time;</w:t>
      </w:r>
    </w:p>
    <w:p>
      <w:pPr>
        <w:numPr>
          <w:ilvl w:val="0"/>
          <w:numId w:val="509"/>
        </w:numPr>
        <w:ind w:left="720" w:hanging="192"/>
        <w:jc w:val="left"/>
        <w:rPr>
          <w:rFonts w:eastAsia="Arial" w:cs="Arial"/>
          <w:sz w:val="20"/>
          <w:szCs w:val="20"/>
        </w:rPr>
      </w:pPr>
      <w:r>
        <w:rPr>
          <w:rFonts w:eastAsia="Arial" w:cs="Arial"/>
          <w:sz w:val="20"/>
          <w:szCs w:val="20"/>
        </w:rPr>
        <w:t>if applicable, describe the universe of investments considered in the analysis; and</w:t>
      </w:r>
    </w:p>
    <w:p>
      <w:pPr>
        <w:numPr>
          <w:ilvl w:val="0"/>
          <w:numId w:val="509"/>
        </w:numPr>
        <w:spacing w:after="200"/>
        <w:ind w:left="720" w:hanging="192"/>
        <w:jc w:val="left"/>
        <w:rPr>
          <w:rFonts w:eastAsia="Arial" w:cs="Arial"/>
          <w:sz w:val="20"/>
          <w:szCs w:val="20"/>
        </w:rPr>
      </w:pPr>
      <w:r>
        <w:rPr>
          <w:rFonts w:eastAsia="Arial" w:cs="Arial"/>
          <w:sz w:val="20"/>
          <w:szCs w:val="20"/>
        </w:rPr>
        <w:t xml:space="preserve">disclose that the tool generates outcomes that are hypothetical in nature. </w:t>
      </w:r>
    </w:p>
    <w:p>
      <w:bookmarkEnd w:id="587"/>
      <w:bookmarkStart w:id="588" w:name="Sec_Chp_061016102254625_000093410"/>
    </w:p>
    <w:p>
      <w:pPr>
        <w:pStyle w:val="Heading4"/>
      </w:pPr>
      <w:r>
        <w:t>9.1.1.4 Audio and Video Programs (including Podcasts)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From time to time, KCD may desire to engage in public audio and video programs including podcasts.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Rule 206(4)-1 does not prohibit an investment adviser from engaging in and disseminating audio and video programs including podcasts.</w:t>
            </w:r>
          </w:p>
        </w:tc>
      </w:tr>
    </w:tbl>
    <w:p>
      <w:pPr>
        <w:pStyle w:val="normal0"/>
        <w:spacing w:before="200" w:after="200"/>
        <w:rPr>
          <w:rFonts w:eastAsia="Arial" w:cs="Arial"/>
          <w:sz w:val="20"/>
          <w:szCs w:val="20"/>
        </w:rPr>
      </w:pPr>
      <w:r>
        <w:rPr>
          <w:rFonts w:eastAsia="Arial" w:cs="Arial"/>
          <w:b/>
          <w:bCs/>
          <w:sz w:val="20"/>
          <w:szCs w:val="20"/>
        </w:rPr>
        <w:t>Classification of the Use of Audio and Video Programs including Podcasts</w:t>
      </w:r>
    </w:p>
    <w:p>
      <w:pPr>
        <w:pStyle w:val="normal0"/>
        <w:spacing w:before="200" w:after="200"/>
        <w:rPr>
          <w:rFonts w:eastAsia="Arial" w:cs="Arial"/>
          <w:sz w:val="20"/>
          <w:szCs w:val="20"/>
        </w:rPr>
      </w:pPr>
      <w:r>
        <w:rPr>
          <w:rFonts w:eastAsia="Arial" w:cs="Arial"/>
          <w:sz w:val="20"/>
          <w:szCs w:val="20"/>
        </w:rPr>
        <w:t>KCD deems each instance of the public use of an audio or video program including podcasts as an "advertisement" subject to Rule 206(4)-1 under the Advisers Act and the policies and procedures of this Compliance Manual.</w:t>
      </w:r>
    </w:p>
    <w:p>
      <w:pPr>
        <w:pStyle w:val="normal0"/>
        <w:spacing w:before="200" w:after="200"/>
        <w:rPr>
          <w:rFonts w:eastAsia="Arial" w:cs="Arial"/>
          <w:sz w:val="20"/>
          <w:szCs w:val="20"/>
        </w:rPr>
      </w:pPr>
      <w:r>
        <w:rPr>
          <w:rFonts w:eastAsia="Arial" w:cs="Arial"/>
          <w:b/>
          <w:bCs/>
          <w:sz w:val="20"/>
          <w:szCs w:val="20"/>
        </w:rPr>
        <w:t>Audio and Video Program Procedures</w:t>
      </w:r>
    </w:p>
    <w:p>
      <w:pPr>
        <w:pStyle w:val="normal0"/>
        <w:spacing w:before="200" w:after="200"/>
        <w:rPr>
          <w:rFonts w:eastAsia="Arial" w:cs="Arial"/>
          <w:sz w:val="20"/>
          <w:szCs w:val="20"/>
        </w:rPr>
      </w:pPr>
      <w:r>
        <w:rPr>
          <w:rFonts w:eastAsia="Arial" w:cs="Arial"/>
          <w:sz w:val="20"/>
          <w:szCs w:val="20"/>
        </w:rPr>
        <w:t>With respect to each public audio or video program including podcasts that KCD engages in, the Chief Compliance Officer will:</w:t>
      </w:r>
    </w:p>
    <w:p>
      <w:pPr>
        <w:numPr>
          <w:ilvl w:val="0"/>
          <w:numId w:val="510"/>
        </w:numPr>
        <w:spacing w:before="200"/>
        <w:ind w:left="720" w:hanging="192"/>
        <w:jc w:val="left"/>
        <w:rPr>
          <w:rFonts w:eastAsia="Arial" w:cs="Arial"/>
          <w:sz w:val="20"/>
          <w:szCs w:val="20"/>
        </w:rPr>
      </w:pPr>
      <w:r>
        <w:rPr>
          <w:rFonts w:eastAsia="Arial" w:cs="Arial"/>
          <w:sz w:val="20"/>
          <w:szCs w:val="20"/>
        </w:rPr>
        <w:t>Approve and make a record of the date, program sponsor and topic of discussion;</w:t>
      </w:r>
    </w:p>
    <w:p>
      <w:pPr>
        <w:numPr>
          <w:ilvl w:val="0"/>
          <w:numId w:val="510"/>
        </w:numPr>
        <w:ind w:left="720" w:hanging="192"/>
        <w:jc w:val="left"/>
        <w:rPr>
          <w:rFonts w:eastAsia="Arial" w:cs="Arial"/>
          <w:sz w:val="20"/>
          <w:szCs w:val="20"/>
        </w:rPr>
      </w:pPr>
      <w:r>
        <w:rPr>
          <w:rFonts w:eastAsia="Arial" w:cs="Arial"/>
          <w:sz w:val="20"/>
          <w:szCs w:val="20"/>
        </w:rPr>
        <w:t>Create a record of whether the event was broadcast live or pre-recorded (with or without an audience);</w:t>
      </w:r>
    </w:p>
    <w:p>
      <w:pPr>
        <w:numPr>
          <w:ilvl w:val="0"/>
          <w:numId w:val="510"/>
        </w:numPr>
        <w:ind w:left="720" w:hanging="192"/>
        <w:jc w:val="left"/>
        <w:rPr>
          <w:rFonts w:eastAsia="Arial" w:cs="Arial"/>
          <w:sz w:val="20"/>
          <w:szCs w:val="20"/>
        </w:rPr>
      </w:pPr>
      <w:r>
        <w:rPr>
          <w:rFonts w:eastAsia="Arial" w:cs="Arial"/>
          <w:sz w:val="20"/>
          <w:szCs w:val="20"/>
        </w:rPr>
        <w:t>Require a script, outline, slide deck or summary for each audio or video program including podcast to be drafted (and maintained in Firm records) and designate one or more Firm employees to be responsible for its content;</w:t>
      </w:r>
    </w:p>
    <w:p>
      <w:pPr>
        <w:numPr>
          <w:ilvl w:val="0"/>
          <w:numId w:val="510"/>
        </w:numPr>
        <w:ind w:left="720" w:hanging="192"/>
        <w:jc w:val="left"/>
        <w:rPr>
          <w:rFonts w:eastAsia="Arial" w:cs="Arial"/>
          <w:sz w:val="20"/>
          <w:szCs w:val="20"/>
        </w:rPr>
      </w:pPr>
      <w:r>
        <w:rPr>
          <w:rFonts w:eastAsia="Arial" w:cs="Arial"/>
          <w:sz w:val="20"/>
          <w:szCs w:val="20"/>
        </w:rPr>
        <w:t>Review the draft of each script, outline, slide deck or summary in accordance with the procedures for all advertisements (</w:t>
      </w:r>
      <w:r>
        <w:rPr>
          <w:rFonts w:eastAsia="Arial" w:cs="Arial"/>
          <w:i/>
          <w:iCs/>
          <w:sz w:val="20"/>
          <w:szCs w:val="20"/>
        </w:rPr>
        <w:t>e.g.,</w:t>
      </w:r>
      <w:r>
        <w:rPr>
          <w:rFonts w:eastAsia="Arial" w:cs="Arial"/>
          <w:sz w:val="20"/>
          <w:szCs w:val="20"/>
        </w:rPr>
        <w:t xml:space="preserve"> the content will be fair and balanced); </w:t>
      </w:r>
    </w:p>
    <w:p>
      <w:pPr>
        <w:numPr>
          <w:ilvl w:val="0"/>
          <w:numId w:val="510"/>
        </w:numPr>
        <w:ind w:left="720" w:hanging="192"/>
        <w:jc w:val="left"/>
        <w:rPr>
          <w:rFonts w:eastAsia="Arial" w:cs="Arial"/>
          <w:sz w:val="20"/>
          <w:szCs w:val="20"/>
        </w:rPr>
      </w:pPr>
      <w:r>
        <w:rPr>
          <w:rFonts w:eastAsia="Arial" w:cs="Arial"/>
          <w:sz w:val="20"/>
          <w:szCs w:val="20"/>
        </w:rPr>
        <w:t>Ensure appropriate disclaimers will be read during the audio or video program (</w:t>
      </w:r>
      <w:r>
        <w:rPr>
          <w:rFonts w:eastAsia="Arial" w:cs="Arial"/>
          <w:i/>
          <w:iCs/>
          <w:sz w:val="20"/>
          <w:szCs w:val="20"/>
        </w:rPr>
        <w:t>e.g.,</w:t>
      </w:r>
      <w:r>
        <w:rPr>
          <w:rFonts w:eastAsia="Arial" w:cs="Arial"/>
          <w:sz w:val="20"/>
          <w:szCs w:val="20"/>
        </w:rPr>
        <w:t xml:space="preserve"> "the content of the podcast may no longer reflect the views and the opinions of [Name of the Firm]");</w:t>
      </w:r>
    </w:p>
    <w:p>
      <w:pPr>
        <w:numPr>
          <w:ilvl w:val="0"/>
          <w:numId w:val="510"/>
        </w:numPr>
        <w:ind w:left="720" w:hanging="192"/>
        <w:jc w:val="left"/>
        <w:rPr>
          <w:rFonts w:eastAsia="Arial" w:cs="Arial"/>
          <w:sz w:val="20"/>
          <w:szCs w:val="20"/>
        </w:rPr>
      </w:pPr>
      <w:r>
        <w:rPr>
          <w:rFonts w:eastAsia="Arial" w:cs="Arial"/>
          <w:sz w:val="20"/>
          <w:szCs w:val="20"/>
        </w:rPr>
        <w:t>Instruct each Firm employee participating to avoid making any materially misleading or untruthful statements during the audio or video program or podcast;</w:t>
      </w:r>
    </w:p>
    <w:p>
      <w:pPr>
        <w:numPr>
          <w:ilvl w:val="0"/>
          <w:numId w:val="510"/>
        </w:numPr>
        <w:ind w:left="720" w:hanging="192"/>
        <w:jc w:val="left"/>
        <w:rPr>
          <w:rFonts w:eastAsia="Arial" w:cs="Arial"/>
          <w:sz w:val="20"/>
          <w:szCs w:val="20"/>
        </w:rPr>
      </w:pPr>
      <w:r>
        <w:rPr>
          <w:rFonts w:eastAsia="Arial" w:cs="Arial"/>
          <w:sz w:val="20"/>
          <w:szCs w:val="20"/>
        </w:rPr>
        <w:t>Maintain a list of where all recorded audio and video programs including podcasts are uploaded or otherwise disseminated (</w:t>
      </w:r>
      <w:r>
        <w:rPr>
          <w:rFonts w:eastAsia="Arial" w:cs="Arial"/>
          <w:i/>
          <w:iCs/>
          <w:sz w:val="20"/>
          <w:szCs w:val="20"/>
        </w:rPr>
        <w:t>e.g.,</w:t>
      </w:r>
      <w:r>
        <w:rPr>
          <w:rFonts w:eastAsia="Arial" w:cs="Arial"/>
          <w:sz w:val="20"/>
          <w:szCs w:val="20"/>
        </w:rPr>
        <w:t xml:space="preserve"> YouTube); and</w:t>
      </w:r>
    </w:p>
    <w:p>
      <w:pPr>
        <w:numPr>
          <w:ilvl w:val="0"/>
          <w:numId w:val="510"/>
        </w:numPr>
        <w:spacing w:after="200"/>
        <w:ind w:left="720" w:hanging="192"/>
        <w:jc w:val="left"/>
        <w:rPr>
          <w:rFonts w:eastAsia="Arial" w:cs="Arial"/>
          <w:sz w:val="20"/>
          <w:szCs w:val="20"/>
        </w:rPr>
      </w:pPr>
      <w:r>
        <w:rPr>
          <w:rFonts w:eastAsia="Arial" w:cs="Arial"/>
          <w:sz w:val="20"/>
          <w:szCs w:val="20"/>
        </w:rPr>
        <w:t>Ascertain and document whether KCD or any of its employees were compensated directly or indirectly for participating in the audio or video program or podcast.</w:t>
      </w:r>
    </w:p>
    <w:p>
      <w:bookmarkEnd w:id="588"/>
      <w:bookmarkStart w:id="589" w:name="Sec_Chp_061016102254625_061016102254687"/>
    </w:p>
    <w:p>
      <w:pPr>
        <w:pStyle w:val="Heading2"/>
      </w:pPr>
      <w:bookmarkStart w:id="590" w:name="_Toc256000164"/>
      <w:r>
        <w:t>9.2 Compliance Reference Chart</w:t>
      </w:r>
      <w:bookmarkEnd w:id="590"/>
    </w:p>
    <w:p/>
    <w:p>
      <w:pPr>
        <w:rPr>
          <w:rFonts w:eastAsia="Arial" w:cs="Arial"/>
          <w:sz w:val="16"/>
          <w:szCs w:val="16"/>
        </w:rPr>
      </w:pPr>
      <w:r>
        <w:rPr>
          <w:rFonts w:eastAsia="Arial" w:cs="Arial"/>
          <w:sz w:val="16"/>
          <w:szCs w:val="16"/>
        </w:rPr>
        <w:t>[Investment Advisers Act of 1940 Rule 204-2(a)(11) and 206(4)-8; SEC Securities Act of 1933 Rule 156; Telemarketing and Consumer Fraud and Abuse Prevention Act]</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Investments</w:t>
            </w:r>
          </w:p>
          <w:p>
            <w:pPr>
              <w:numPr>
                <w:ilvl w:val="0"/>
                <w:numId w:val="51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p>
            <w:pPr>
              <w:numPr>
                <w:ilvl w:val="0"/>
                <w:numId w:val="51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Marketing</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3"/>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Prior to each time a marketing piece is disseminated</w:t>
            </w:r>
          </w:p>
          <w:p>
            <w:pPr>
              <w:numPr>
                <w:ilvl w:val="0"/>
                <w:numId w:val="51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Ongoing (if KCD has a web site)</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 xml:space="preserve">Statute/Rule </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156 under the Securities Act of 1933</w:t>
            </w:r>
          </w:p>
          <w:p>
            <w:pPr>
              <w:numPr>
                <w:ilvl w:val="0"/>
                <w:numId w:val="51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204-2(a)(11) under the Investment Advisers Act of 1940</w:t>
            </w:r>
          </w:p>
          <w:p>
            <w:pPr>
              <w:numPr>
                <w:ilvl w:val="0"/>
                <w:numId w:val="51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206(4)-1 under the Investment Advisers Act of 1940</w:t>
            </w:r>
          </w:p>
          <w:p>
            <w:pPr>
              <w:numPr>
                <w:ilvl w:val="0"/>
                <w:numId w:val="51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206(4)-8 under the Investment Advisers Act of 1940</w:t>
            </w:r>
          </w:p>
          <w:p>
            <w:pPr>
              <w:numPr>
                <w:ilvl w:val="0"/>
                <w:numId w:val="51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Telemarketing and Consumer Fraud and Abuse Prevention Act</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Advertisements</w:t>
            </w:r>
          </w:p>
          <w:p>
            <w:pPr>
              <w:numPr>
                <w:ilvl w:val="0"/>
                <w:numId w:val="51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Account Information Supporting Performance Figures</w:t>
            </w:r>
          </w:p>
          <w:p>
            <w:pPr>
              <w:numPr>
                <w:ilvl w:val="0"/>
                <w:numId w:val="51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Referral Arrangement Documents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1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Marketing Procedures [monthly].</w:t>
            </w:r>
          </w:p>
        </w:tc>
      </w:tr>
    </w:tbl>
    <w:p>
      <w:bookmarkEnd w:id="589"/>
      <w:bookmarkStart w:id="591" w:name="Sec_Chp_061016102254625_061016102254734"/>
    </w:p>
    <w:p>
      <w:pPr>
        <w:pStyle w:val="Heading2"/>
      </w:pPr>
      <w:bookmarkStart w:id="592" w:name="_Toc256000165"/>
      <w:r>
        <w:t>9.3 Policy</w:t>
      </w:r>
      <w:bookmarkEnd w:id="592"/>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It is KCD's policy to advertise and otherwise market its advisory services in a truthful and non-misleading manner. </w:t>
      </w:r>
    </w:p>
    <w:p>
      <w:bookmarkEnd w:id="591"/>
      <w:bookmarkStart w:id="593" w:name="Sec_Chp_061016102254625_061016102254750"/>
    </w:p>
    <w:p>
      <w:pPr>
        <w:pStyle w:val="Heading2"/>
      </w:pPr>
      <w:bookmarkStart w:id="594" w:name="_Toc256000166"/>
      <w:r>
        <w:t>9.4 Procedures</w:t>
      </w:r>
      <w:bookmarkEnd w:id="594"/>
    </w:p>
    <w:p/>
    <w:p>
      <w:pPr>
        <w:rPr>
          <w:rFonts w:eastAsia="Arial" w:cs="Arial"/>
          <w:sz w:val="16"/>
          <w:szCs w:val="16"/>
        </w:rPr>
      </w:pPr>
    </w:p>
    <w:p>
      <w:bookmarkEnd w:id="593"/>
      <w:bookmarkStart w:id="595" w:name="Sec_Chp_061016102254625_931"/>
    </w:p>
    <w:p>
      <w:pPr>
        <w:pStyle w:val="Heading3"/>
      </w:pPr>
      <w:bookmarkStart w:id="596" w:name="_Toc256000167"/>
      <w:r>
        <w:t>9.4.1 Advertisement Determination</w:t>
      </w:r>
      <w:bookmarkEnd w:id="596"/>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time KCD proposes a communication to clients, third-parties or the public in general, it shall determine whether such communication is an advertisement. If a communication by KCD meets either 1. or 2. below, that communication will be deemed to be an advertisement:</w:t>
      </w:r>
    </w:p>
    <w:p>
      <w:pPr>
        <w:numPr>
          <w:ilvl w:val="0"/>
          <w:numId w:val="517"/>
        </w:numPr>
        <w:spacing w:before="200"/>
        <w:ind w:left="720" w:hanging="267"/>
        <w:jc w:val="left"/>
        <w:rPr>
          <w:rFonts w:eastAsia="Arial" w:cs="Arial"/>
          <w:sz w:val="20"/>
          <w:szCs w:val="20"/>
        </w:rPr>
      </w:pPr>
      <w:r>
        <w:rPr>
          <w:rFonts w:eastAsia="Arial" w:cs="Arial"/>
          <w:sz w:val="20"/>
          <w:szCs w:val="20"/>
        </w:rPr>
        <w:t xml:space="preserve">A direct or indirect communication to be made to more than one person, or to one or more persons, if the communication: </w:t>
      </w:r>
    </w:p>
    <w:p>
      <w:pPr>
        <w:numPr>
          <w:ilvl w:val="1"/>
          <w:numId w:val="517"/>
        </w:numPr>
        <w:ind w:left="1440" w:hanging="220"/>
        <w:jc w:val="left"/>
        <w:rPr>
          <w:rFonts w:eastAsia="Arial" w:cs="Arial"/>
          <w:sz w:val="20"/>
          <w:szCs w:val="20"/>
        </w:rPr>
      </w:pPr>
      <w:r>
        <w:rPr>
          <w:rFonts w:eastAsia="Arial" w:cs="Arial"/>
          <w:sz w:val="20"/>
          <w:szCs w:val="20"/>
        </w:rPr>
        <w:t>includes hypothetical performance,</w:t>
      </w:r>
    </w:p>
    <w:p>
      <w:pPr>
        <w:numPr>
          <w:ilvl w:val="1"/>
          <w:numId w:val="517"/>
        </w:numPr>
        <w:ind w:left="1440" w:hanging="220"/>
        <w:jc w:val="left"/>
        <w:rPr>
          <w:rFonts w:eastAsia="Arial" w:cs="Arial"/>
          <w:sz w:val="20"/>
          <w:szCs w:val="20"/>
        </w:rPr>
      </w:pPr>
      <w:r>
        <w:rPr>
          <w:rFonts w:eastAsia="Arial" w:cs="Arial"/>
          <w:sz w:val="20"/>
          <w:szCs w:val="20"/>
        </w:rPr>
        <w:t>offers KCD's investment advisory services with regard to securities to prospective clients or investors in a private fund advised by KCD; or</w:t>
      </w:r>
    </w:p>
    <w:p>
      <w:pPr>
        <w:numPr>
          <w:ilvl w:val="1"/>
          <w:numId w:val="517"/>
        </w:numPr>
        <w:ind w:left="1440" w:hanging="220"/>
        <w:jc w:val="left"/>
        <w:rPr>
          <w:rFonts w:eastAsia="Arial" w:cs="Arial"/>
          <w:sz w:val="20"/>
          <w:szCs w:val="20"/>
        </w:rPr>
      </w:pPr>
      <w:r>
        <w:rPr>
          <w:rFonts w:eastAsia="Arial" w:cs="Arial"/>
          <w:sz w:val="20"/>
          <w:szCs w:val="20"/>
        </w:rPr>
        <w:t>offers new investment advisory services with regard to securities to current clients or investors in a private fund advised by KCD; or</w:t>
      </w:r>
    </w:p>
    <w:p>
      <w:pPr>
        <w:numPr>
          <w:ilvl w:val="0"/>
          <w:numId w:val="517"/>
        </w:numPr>
        <w:spacing w:after="200"/>
        <w:ind w:left="720" w:hanging="267"/>
        <w:jc w:val="left"/>
        <w:rPr>
          <w:rFonts w:eastAsia="Arial" w:cs="Arial"/>
          <w:sz w:val="20"/>
          <w:szCs w:val="20"/>
        </w:rPr>
      </w:pPr>
      <w:r>
        <w:rPr>
          <w:rFonts w:eastAsia="Arial" w:cs="Arial"/>
          <w:sz w:val="20"/>
          <w:szCs w:val="20"/>
        </w:rPr>
        <w:t>Any endorsement or testimonial for which KCD provides compensation, directly or indirectly.</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Advertisements</w:t>
            </w:r>
            <w:r>
              <w:rPr>
                <w:rFonts w:eastAsia="Arial" w:cs="Arial"/>
                <w:b w:val="0"/>
                <w:bCs w:val="0"/>
                <w:i w:val="0"/>
                <w:iCs w:val="0"/>
                <w:smallCaps w:val="0"/>
                <w:color w:val="000000"/>
                <w:sz w:val="20"/>
              </w:rPr>
              <w:t xml:space="preserve">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Common communications that may be deemed to be advertisements depending upon their content and audience are:</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Marketing brochures</w:t>
            </w:r>
          </w:p>
          <w:p>
            <w:pPr>
              <w:numPr>
                <w:ilvl w:val="0"/>
                <w:numId w:val="518"/>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Advertisement in a magazine or other publication</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Television, radio or broadcast advertisement</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Internet website</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E-mail or text messages sent to multiple recipients</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Audio/video of presentation designed to market</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Press releases</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Third-party publication reprints</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Performance presentations to more than one prospective client</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Telemarketing scripts</w:t>
            </w:r>
          </w:p>
          <w:p>
            <w:pPr>
              <w:numPr>
                <w:ilvl w:val="0"/>
                <w:numId w:val="5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Analysis, report or publication concerning securities</w:t>
            </w:r>
          </w:p>
          <w:p>
            <w:pPr>
              <w:numPr>
                <w:ilvl w:val="0"/>
                <w:numId w:val="51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Certain "entanglement" type actions such as KCD posting responses to a third-party social media site's postings about KCD or its investment adviser representatives</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An advertisement may arise in a variety of circumstances including emails, text messages, instant messages, electronic presentations, videos, films, podcasts, digital audio or video files, blogs, billboards, and all manner of social media, as well as by paper, including in newspapers, magazines, and the mail. The SEC in the release adopting amendments to the SEC advertisement rule recognized that "electronic media (including social media and other internet communications) and mobile communications play a significant role in current advertising practices." In that release, the SEC noted that the definition remains evergreen in the face of evolving technology and methods of communication. </w:t>
            </w:r>
          </w:p>
        </w:tc>
      </w:tr>
    </w:tbl>
    <w:p>
      <w:pPr>
        <w:pStyle w:val="normal0"/>
        <w:spacing w:before="200" w:after="200"/>
        <w:rPr>
          <w:rFonts w:eastAsia="Arial" w:cs="Arial"/>
          <w:sz w:val="20"/>
          <w:szCs w:val="20"/>
        </w:rPr>
      </w:pPr>
      <w:r>
        <w:rPr>
          <w:rFonts w:eastAsia="Arial" w:cs="Arial"/>
          <w:sz w:val="20"/>
          <w:szCs w:val="20"/>
        </w:rPr>
        <w:t>The following are not deemed to be advertisements:</w:t>
      </w:r>
    </w:p>
    <w:p>
      <w:pPr>
        <w:numPr>
          <w:ilvl w:val="0"/>
          <w:numId w:val="519"/>
        </w:numPr>
        <w:spacing w:before="200"/>
        <w:ind w:left="720" w:hanging="192"/>
        <w:jc w:val="left"/>
        <w:rPr>
          <w:rFonts w:eastAsia="Arial" w:cs="Arial"/>
          <w:sz w:val="20"/>
          <w:szCs w:val="20"/>
        </w:rPr>
      </w:pPr>
      <w:r>
        <w:rPr>
          <w:rFonts w:eastAsia="Arial" w:cs="Arial"/>
          <w:sz w:val="20"/>
          <w:szCs w:val="20"/>
        </w:rPr>
        <w:t>an extemporaneous, live, oral communication;</w:t>
      </w:r>
    </w:p>
    <w:p>
      <w:pPr>
        <w:numPr>
          <w:ilvl w:val="0"/>
          <w:numId w:val="519"/>
        </w:numPr>
        <w:ind w:left="720" w:hanging="192"/>
        <w:jc w:val="left"/>
        <w:rPr>
          <w:rFonts w:eastAsia="Arial" w:cs="Arial"/>
          <w:sz w:val="20"/>
          <w:szCs w:val="20"/>
        </w:rPr>
      </w:pPr>
      <w:r>
        <w:rPr>
          <w:rFonts w:eastAsia="Arial" w:cs="Arial"/>
          <w:sz w:val="20"/>
          <w:szCs w:val="20"/>
        </w:rPr>
        <w:t>information contained in a statutory or regulatory notice, filing, or other required communication (provided that such information is reasonably designed to satisfy the requirements of such notice, filing, or other required communication);</w:t>
      </w:r>
    </w:p>
    <w:p>
      <w:pPr>
        <w:numPr>
          <w:ilvl w:val="0"/>
          <w:numId w:val="519"/>
        </w:numPr>
        <w:ind w:left="720" w:hanging="192"/>
        <w:jc w:val="left"/>
        <w:rPr>
          <w:rFonts w:eastAsia="Arial" w:cs="Arial"/>
          <w:sz w:val="20"/>
          <w:szCs w:val="20"/>
        </w:rPr>
      </w:pPr>
      <w:r>
        <w:rPr>
          <w:rFonts w:eastAsia="Arial" w:cs="Arial"/>
          <w:sz w:val="20"/>
          <w:szCs w:val="20"/>
        </w:rPr>
        <w:t xml:space="preserve">a communication that includes hypothetical performance that is provided: </w:t>
      </w:r>
    </w:p>
    <w:p>
      <w:pPr>
        <w:numPr>
          <w:ilvl w:val="1"/>
          <w:numId w:val="519"/>
        </w:numPr>
        <w:ind w:left="1440" w:hanging="220"/>
        <w:jc w:val="left"/>
        <w:rPr>
          <w:rFonts w:eastAsia="Arial" w:cs="Arial"/>
          <w:sz w:val="20"/>
          <w:szCs w:val="20"/>
        </w:rPr>
      </w:pPr>
      <w:r>
        <w:rPr>
          <w:rFonts w:eastAsia="Arial" w:cs="Arial"/>
          <w:sz w:val="20"/>
          <w:szCs w:val="20"/>
        </w:rPr>
        <w:t>in response to an unsolicited request for such information from a prospective or current client or investor in a private fund advised by KCD; or</w:t>
      </w:r>
    </w:p>
    <w:p>
      <w:pPr>
        <w:numPr>
          <w:ilvl w:val="1"/>
          <w:numId w:val="519"/>
        </w:numPr>
        <w:ind w:left="1440" w:hanging="220"/>
        <w:jc w:val="left"/>
        <w:rPr>
          <w:rFonts w:eastAsia="Arial" w:cs="Arial"/>
          <w:sz w:val="20"/>
          <w:szCs w:val="20"/>
        </w:rPr>
      </w:pPr>
      <w:r>
        <w:rPr>
          <w:rFonts w:eastAsia="Arial" w:cs="Arial"/>
          <w:sz w:val="20"/>
          <w:szCs w:val="20"/>
        </w:rPr>
        <w:t>to a prospective or current investor in a private fund advised by KCD in a one-on-one communication;</w:t>
      </w:r>
    </w:p>
    <w:p>
      <w:pPr>
        <w:numPr>
          <w:ilvl w:val="0"/>
          <w:numId w:val="519"/>
        </w:numPr>
        <w:ind w:left="720" w:hanging="192"/>
        <w:jc w:val="left"/>
        <w:rPr>
          <w:rFonts w:eastAsia="Arial" w:cs="Arial"/>
          <w:sz w:val="20"/>
          <w:szCs w:val="20"/>
        </w:rPr>
      </w:pPr>
      <w:r>
        <w:rPr>
          <w:rFonts w:eastAsia="Arial" w:cs="Arial"/>
          <w:sz w:val="20"/>
          <w:szCs w:val="20"/>
        </w:rPr>
        <w:t>a communication including "brand" content or trying to raise brand awareness (</w:t>
      </w:r>
      <w:r>
        <w:rPr>
          <w:rFonts w:eastAsia="Arial" w:cs="Arial"/>
          <w:i/>
          <w:iCs/>
          <w:sz w:val="20"/>
          <w:szCs w:val="20"/>
        </w:rPr>
        <w:t>e.g.,</w:t>
      </w:r>
      <w:r>
        <w:rPr>
          <w:rFonts w:eastAsia="Arial" w:cs="Arial"/>
          <w:sz w:val="20"/>
          <w:szCs w:val="20"/>
        </w:rPr>
        <w:t xml:space="preserve"> displays of the advisory firm name in connection with sponsoring sporting events, supporting community service activities, or supporting philanthropic efforts) unless the communication offers any investment advisory services with regard to securities;</w:t>
      </w:r>
    </w:p>
    <w:p>
      <w:pPr>
        <w:numPr>
          <w:ilvl w:val="0"/>
          <w:numId w:val="519"/>
        </w:numPr>
        <w:ind w:left="720" w:hanging="192"/>
        <w:jc w:val="left"/>
        <w:rPr>
          <w:rFonts w:eastAsia="Arial" w:cs="Arial"/>
          <w:sz w:val="20"/>
          <w:szCs w:val="20"/>
        </w:rPr>
      </w:pPr>
      <w:r>
        <w:rPr>
          <w:rFonts w:eastAsia="Arial" w:cs="Arial"/>
          <w:sz w:val="20"/>
          <w:szCs w:val="20"/>
        </w:rPr>
        <w:t xml:space="preserve">an educational communication that is limited to providing general information about investing, such as information about types of investment vehicles, asset classes, strategies, certain geographic regions, or commercial sectors: </w:t>
      </w:r>
    </w:p>
    <w:p>
      <w:pPr>
        <w:numPr>
          <w:ilvl w:val="1"/>
          <w:numId w:val="519"/>
        </w:numPr>
        <w:ind w:left="1440" w:hanging="220"/>
        <w:jc w:val="left"/>
        <w:rPr>
          <w:rFonts w:eastAsia="Arial" w:cs="Arial"/>
          <w:sz w:val="20"/>
          <w:szCs w:val="20"/>
        </w:rPr>
      </w:pPr>
      <w:r>
        <w:rPr>
          <w:rFonts w:eastAsia="Arial" w:cs="Arial"/>
          <w:sz w:val="20"/>
          <w:szCs w:val="20"/>
        </w:rPr>
        <w:t>provided that such educational communication shall not include any Firm investment strategy, investment advice or discussion about any particular stock or investment product; and</w:t>
      </w:r>
    </w:p>
    <w:p>
      <w:pPr>
        <w:numPr>
          <w:ilvl w:val="1"/>
          <w:numId w:val="519"/>
        </w:numPr>
        <w:ind w:left="1440" w:hanging="220"/>
        <w:jc w:val="left"/>
        <w:rPr>
          <w:rFonts w:eastAsia="Arial" w:cs="Arial"/>
          <w:sz w:val="20"/>
          <w:szCs w:val="20"/>
        </w:rPr>
      </w:pPr>
      <w:r>
        <w:rPr>
          <w:rFonts w:eastAsia="Arial" w:cs="Arial"/>
          <w:sz w:val="20"/>
          <w:szCs w:val="20"/>
        </w:rPr>
        <w:t>no educational communication shall be used prior to its approval by the Chief Compliance Officer;</w:t>
      </w:r>
    </w:p>
    <w:p>
      <w:pPr>
        <w:numPr>
          <w:ilvl w:val="0"/>
          <w:numId w:val="519"/>
        </w:numPr>
        <w:ind w:left="720" w:hanging="192"/>
        <w:jc w:val="left"/>
        <w:rPr>
          <w:rFonts w:eastAsia="Arial" w:cs="Arial"/>
          <w:sz w:val="20"/>
          <w:szCs w:val="20"/>
        </w:rPr>
      </w:pPr>
      <w:r>
        <w:rPr>
          <w:rFonts w:eastAsia="Arial" w:cs="Arial"/>
          <w:sz w:val="20"/>
          <w:szCs w:val="20"/>
        </w:rPr>
        <w:t>market commentary (including during press interviews) that is unlikely to offer advisory services with regard to securities;</w:t>
      </w:r>
    </w:p>
    <w:p>
      <w:pPr>
        <w:numPr>
          <w:ilvl w:val="0"/>
          <w:numId w:val="519"/>
        </w:numPr>
        <w:ind w:left="720" w:hanging="192"/>
        <w:jc w:val="left"/>
        <w:rPr>
          <w:rFonts w:eastAsia="Arial" w:cs="Arial"/>
          <w:sz w:val="20"/>
          <w:szCs w:val="20"/>
        </w:rPr>
      </w:pPr>
      <w:r>
        <w:rPr>
          <w:rFonts w:eastAsia="Arial" w:cs="Arial"/>
          <w:sz w:val="20"/>
          <w:szCs w:val="20"/>
        </w:rPr>
        <w:t>presentations to existing clients concerning the performance of funds they have investments in; and</w:t>
      </w:r>
    </w:p>
    <w:p>
      <w:pPr>
        <w:numPr>
          <w:ilvl w:val="0"/>
          <w:numId w:val="519"/>
        </w:numPr>
        <w:spacing w:after="200"/>
        <w:ind w:left="720" w:hanging="192"/>
        <w:jc w:val="left"/>
        <w:rPr>
          <w:rFonts w:eastAsia="Arial" w:cs="Arial"/>
          <w:sz w:val="20"/>
          <w:szCs w:val="20"/>
        </w:rPr>
      </w:pPr>
      <w:r>
        <w:rPr>
          <w:rFonts w:eastAsia="Arial" w:cs="Arial"/>
          <w:sz w:val="20"/>
          <w:szCs w:val="20"/>
        </w:rPr>
        <w:t>certain communications to private fund investors such as private placement memorandums (PPMs), private fund account statements, transaction reports and other similar materials delivered to existing private fund investors and due diligence rooms (unless materials in such rooms constitute advertisements).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Even if a communication by KCD does not meet the definition of "advertisement" and thus is not subject to the Rule 206(4)-1's advertising rules, such communication is subject to the antifraud provisions of the Advisers Act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an e-mail to a select group of clients that contains misleading performance information). Those provisions prohibit an adviser from engaging in any act, practice or course of business that is fraudulent, deceptive or manipulative.</w:t>
            </w:r>
          </w:p>
        </w:tc>
      </w:tr>
    </w:tbl>
    <w:p>
      <w:pPr>
        <w:pStyle w:val="normal0"/>
        <w:spacing w:before="200" w:after="200"/>
        <w:rPr>
          <w:rFonts w:eastAsia="Arial" w:cs="Arial"/>
          <w:sz w:val="20"/>
          <w:szCs w:val="20"/>
        </w:rPr>
      </w:pPr>
      <w:r>
        <w:rPr>
          <w:rFonts w:eastAsia="Arial" w:cs="Arial"/>
          <w:sz w:val="20"/>
          <w:szCs w:val="20"/>
        </w:rPr>
        <w:t xml:space="preserve">Once a proposed communication meets the above definition of "advertisement," applicable personnel of KCD will subject that communication to the appropriate procedures in this </w:t>
      </w:r>
      <w:r>
        <w:rPr>
          <w:rFonts w:eastAsia="Arial" w:cs="Arial"/>
          <w:i/>
          <w:iCs/>
          <w:sz w:val="20"/>
          <w:szCs w:val="20"/>
        </w:rPr>
        <w:t>MARKETING</w:t>
      </w:r>
      <w:r>
        <w:rPr>
          <w:rFonts w:eastAsia="Arial" w:cs="Arial"/>
          <w:sz w:val="20"/>
          <w:szCs w:val="20"/>
        </w:rPr>
        <w:t xml:space="preserve"> chapter.</w:t>
      </w:r>
    </w:p>
    <w:p>
      <w:bookmarkEnd w:id="595"/>
      <w:bookmarkStart w:id="597" w:name="Sec_Chp_061016102254625_061016102254765"/>
    </w:p>
    <w:p>
      <w:pPr>
        <w:pStyle w:val="Heading3"/>
      </w:pPr>
      <w:bookmarkStart w:id="598" w:name="_Toc256000168"/>
      <w:r>
        <w:t>9.4.2 Advertisements and Marketing Pieces Routing Procedures</w:t>
      </w:r>
      <w:bookmarkEnd w:id="598"/>
    </w:p>
    <w:p/>
    <w:p>
      <w:pPr>
        <w:rPr>
          <w:rFonts w:eastAsia="Arial" w:cs="Arial"/>
          <w:sz w:val="16"/>
          <w:szCs w:val="16"/>
        </w:rPr>
      </w:pPr>
      <w:r>
        <w:rPr>
          <w:rFonts w:eastAsia="Arial" w:cs="Arial"/>
          <w:sz w:val="16"/>
          <w:szCs w:val="16"/>
        </w:rPr>
        <w:t>[Investment Advisers Act of 1940 Rule 206(4)-1]</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stated when it adopted significant amendments to Rule 206(4)-1, the advertising rule, that investment advisers should establish objective and testable compliance policies and procedures governing advertisements. It has noted that internal pre-review and approval of advertisements could serve as an effective component of an adviser's compliance program. Other effective methods to prevent issues the SEC has noted include reviewing a sample of advertisements based on risk or pre-approving templates and spot-checking advertisements and periodic reviews.</w:t>
            </w:r>
          </w:p>
        </w:tc>
      </w:tr>
    </w:tbl>
    <w:p>
      <w:pPr>
        <w:pStyle w:val="normal0"/>
        <w:spacing w:before="200" w:after="200"/>
        <w:rPr>
          <w:rFonts w:eastAsia="Arial" w:cs="Arial"/>
          <w:sz w:val="20"/>
          <w:szCs w:val="20"/>
        </w:rPr>
      </w:pPr>
      <w:r>
        <w:rPr>
          <w:rFonts w:eastAsia="Arial" w:cs="Arial"/>
          <w:sz w:val="20"/>
          <w:szCs w:val="20"/>
        </w:rPr>
        <w:t>KCD will maintain and substantiate its processes for creating and approving marketing pieces. KCD with respect to its marketing practice will assess whether disseminated marketing pieces and advertisements include any untrue statements of a material fact, are materially misleading, or are otherwise deceptive and, as applicable, comply with the requirements for performance (including hypothetical and predecessor performance), third-party ratings, and testimonials and endorsements. Because a false or misleading advertisement or marketing piece may result in fraud charges against KCD, each marketing piece or advertisement must be reviewed and controlled in advance of public dissemination as well as after it is disseminated.</w:t>
      </w:r>
    </w:p>
    <w:p>
      <w:pPr>
        <w:pStyle w:val="normal0"/>
        <w:spacing w:before="200" w:after="200"/>
        <w:rPr>
          <w:rFonts w:eastAsia="Arial" w:cs="Arial"/>
          <w:sz w:val="20"/>
          <w:szCs w:val="20"/>
        </w:rPr>
      </w:pPr>
      <w:r>
        <w:rPr>
          <w:rFonts w:eastAsia="Arial" w:cs="Arial"/>
          <w:b/>
          <w:bCs/>
          <w:sz w:val="20"/>
          <w:szCs w:val="20"/>
        </w:rPr>
        <w:t>Pre-Review and Approval of Advertisements</w:t>
      </w:r>
    </w:p>
    <w:p>
      <w:pPr>
        <w:pStyle w:val="normal0"/>
        <w:spacing w:before="200" w:after="200"/>
        <w:rPr>
          <w:rFonts w:eastAsia="Arial" w:cs="Arial"/>
          <w:sz w:val="20"/>
          <w:szCs w:val="20"/>
        </w:rPr>
      </w:pPr>
      <w:r>
        <w:rPr>
          <w:rFonts w:eastAsia="Arial" w:cs="Arial"/>
          <w:sz w:val="20"/>
          <w:szCs w:val="20"/>
        </w:rPr>
        <w:t>With respect to each proposed advertisement or other marketing piece (advertisement):</w:t>
      </w:r>
    </w:p>
    <w:p>
      <w:pPr>
        <w:pStyle w:val="normal0"/>
        <w:spacing w:before="200" w:after="200"/>
        <w:rPr>
          <w:rFonts w:eastAsia="Arial" w:cs="Arial"/>
          <w:sz w:val="20"/>
          <w:szCs w:val="20"/>
        </w:rPr>
      </w:pPr>
      <w:r>
        <w:rPr>
          <w:rFonts w:eastAsia="Arial" w:cs="Arial"/>
          <w:sz w:val="20"/>
          <w:szCs w:val="20"/>
        </w:rPr>
        <w:t>1. The marketing employee submitting the proposed advertisement will have prepared the advertisement on the Firm template (if available) and, in any case, to the best of his or her abilities in a manner that complies with these procedures and Rule 206(4)-1 under the Advisers Act and all other applicable regulations;</w:t>
      </w:r>
    </w:p>
    <w:p>
      <w:pPr>
        <w:pStyle w:val="normal0"/>
        <w:spacing w:before="200" w:after="200"/>
        <w:rPr>
          <w:rFonts w:eastAsia="Arial" w:cs="Arial"/>
          <w:sz w:val="20"/>
          <w:szCs w:val="20"/>
        </w:rPr>
      </w:pPr>
      <w:r>
        <w:rPr>
          <w:rFonts w:eastAsia="Arial" w:cs="Arial"/>
          <w:sz w:val="20"/>
          <w:szCs w:val="20"/>
        </w:rPr>
        <w:t>2. The marketing employee will prepare a routing form (Routing Form) containing the following:</w:t>
      </w:r>
    </w:p>
    <w:p>
      <w:pPr>
        <w:numPr>
          <w:ilvl w:val="0"/>
          <w:numId w:val="520"/>
        </w:numPr>
        <w:spacing w:before="200"/>
        <w:ind w:left="720" w:hanging="192"/>
        <w:jc w:val="left"/>
        <w:rPr>
          <w:rFonts w:eastAsia="Arial" w:cs="Arial"/>
          <w:sz w:val="20"/>
          <w:szCs w:val="20"/>
        </w:rPr>
      </w:pPr>
      <w:r>
        <w:rPr>
          <w:rFonts w:eastAsia="Arial" w:cs="Arial"/>
          <w:sz w:val="20"/>
          <w:szCs w:val="20"/>
        </w:rPr>
        <w:t>Text of the proposed advertisement;</w:t>
      </w:r>
    </w:p>
    <w:p>
      <w:pPr>
        <w:numPr>
          <w:ilvl w:val="0"/>
          <w:numId w:val="520"/>
        </w:numPr>
        <w:ind w:left="720" w:hanging="192"/>
        <w:jc w:val="left"/>
        <w:rPr>
          <w:rFonts w:eastAsia="Arial" w:cs="Arial"/>
          <w:sz w:val="20"/>
          <w:szCs w:val="20"/>
        </w:rPr>
      </w:pPr>
      <w:r>
        <w:rPr>
          <w:rFonts w:eastAsia="Arial" w:cs="Arial"/>
          <w:sz w:val="20"/>
          <w:szCs w:val="20"/>
        </w:rPr>
        <w:t>Target audience;</w:t>
      </w:r>
    </w:p>
    <w:p>
      <w:pPr>
        <w:numPr>
          <w:ilvl w:val="0"/>
          <w:numId w:val="520"/>
        </w:numPr>
        <w:ind w:left="720" w:hanging="192"/>
        <w:jc w:val="left"/>
        <w:rPr>
          <w:rFonts w:eastAsia="Arial" w:cs="Arial"/>
          <w:sz w:val="20"/>
          <w:szCs w:val="20"/>
        </w:rPr>
      </w:pPr>
      <w:r>
        <w:rPr>
          <w:rFonts w:eastAsia="Arial" w:cs="Arial"/>
          <w:sz w:val="20"/>
          <w:szCs w:val="20"/>
        </w:rPr>
        <w:t>List of employees and others who must review and sign off on the advertisement (with blank boxes for date received by such person, date reviewed by such person and initials);</w:t>
      </w:r>
    </w:p>
    <w:p>
      <w:pPr>
        <w:numPr>
          <w:ilvl w:val="0"/>
          <w:numId w:val="520"/>
        </w:numPr>
        <w:ind w:left="720" w:hanging="192"/>
        <w:jc w:val="left"/>
        <w:rPr>
          <w:rFonts w:eastAsia="Arial" w:cs="Arial"/>
          <w:sz w:val="20"/>
          <w:szCs w:val="20"/>
        </w:rPr>
      </w:pPr>
      <w:r>
        <w:rPr>
          <w:rFonts w:eastAsia="Arial" w:cs="Arial"/>
          <w:sz w:val="20"/>
          <w:szCs w:val="20"/>
        </w:rPr>
        <w:t>Deadline; and</w:t>
      </w:r>
    </w:p>
    <w:p>
      <w:pPr>
        <w:numPr>
          <w:ilvl w:val="0"/>
          <w:numId w:val="520"/>
        </w:numPr>
        <w:spacing w:after="200"/>
        <w:ind w:left="720" w:hanging="192"/>
        <w:jc w:val="left"/>
        <w:rPr>
          <w:rFonts w:eastAsia="Arial" w:cs="Arial"/>
          <w:sz w:val="20"/>
          <w:szCs w:val="20"/>
        </w:rPr>
      </w:pPr>
      <w:r>
        <w:rPr>
          <w:rFonts w:eastAsia="Arial" w:cs="Arial"/>
          <w:sz w:val="20"/>
          <w:szCs w:val="20"/>
        </w:rPr>
        <w:t>Statement whether the advertisement contains performance data, and, if so, who must review it.</w:t>
      </w:r>
    </w:p>
    <w:p>
      <w:pPr>
        <w:pStyle w:val="normal0"/>
        <w:spacing w:before="200" w:after="200"/>
        <w:rPr>
          <w:rFonts w:eastAsia="Arial" w:cs="Arial"/>
          <w:sz w:val="20"/>
          <w:szCs w:val="20"/>
        </w:rPr>
      </w:pPr>
      <w:r>
        <w:rPr>
          <w:rFonts w:eastAsia="Arial" w:cs="Arial"/>
          <w:sz w:val="20"/>
          <w:szCs w:val="20"/>
        </w:rPr>
        <w:t>3. During the routing process, KCD's compliance employee responsible for reviewing advertisements (Advertisement Reviewer) will determine whether the proposed advertisement in fact meets the definition of advertisement. (Oral communications are not advertisements. However, fraudulent or misleading oral statements are prohibited.)</w:t>
      </w:r>
    </w:p>
    <w:p>
      <w:pPr>
        <w:pStyle w:val="normal0"/>
        <w:spacing w:before="200" w:after="200"/>
        <w:rPr>
          <w:rFonts w:eastAsia="Arial" w:cs="Arial"/>
          <w:sz w:val="20"/>
          <w:szCs w:val="20"/>
        </w:rPr>
      </w:pPr>
      <w:r>
        <w:rPr>
          <w:rFonts w:eastAsia="Arial" w:cs="Arial"/>
          <w:sz w:val="20"/>
          <w:szCs w:val="20"/>
        </w:rPr>
        <w:t>4. If the advertisement contains performance returns, the Advertisement Reviewer will review documentation including worksheets supporting the calculation of the performance returns. In addition, the Advertisement Reviewer will look for numbers that appear to be outliers or otherwise incorrect. If so, the advertisement will be sent back so that the correct performance returns may be used.</w:t>
      </w:r>
    </w:p>
    <w:p>
      <w:pPr>
        <w:pStyle w:val="normal0"/>
        <w:spacing w:before="200" w:after="200"/>
        <w:rPr>
          <w:rFonts w:eastAsia="Arial" w:cs="Arial"/>
          <w:sz w:val="20"/>
          <w:szCs w:val="20"/>
        </w:rPr>
      </w:pPr>
      <w:r>
        <w:rPr>
          <w:rFonts w:eastAsia="Arial" w:cs="Arial"/>
          <w:sz w:val="20"/>
          <w:szCs w:val="20"/>
        </w:rPr>
        <w:t>5. The Advertisement Reviewer using the factors described below, will determine whether the proposed advertisement is misleading, incomplete, inaccurate or missing necessary information and that it complies with all applicable regulations and SEC interpretative positions of those regulations.</w:t>
      </w:r>
    </w:p>
    <w:p>
      <w:pPr>
        <w:pStyle w:val="normal0"/>
        <w:spacing w:before="200" w:after="200"/>
        <w:rPr>
          <w:rFonts w:eastAsia="Arial" w:cs="Arial"/>
          <w:sz w:val="20"/>
          <w:szCs w:val="20"/>
        </w:rPr>
      </w:pPr>
      <w:r>
        <w:rPr>
          <w:rFonts w:eastAsia="Arial" w:cs="Arial"/>
          <w:sz w:val="20"/>
          <w:szCs w:val="20"/>
        </w:rPr>
        <w:t>6. The Advertisement Reviewer will ensure that the advertisement contains the correct disclosures and disclaimers.</w:t>
      </w:r>
    </w:p>
    <w:p>
      <w:pPr>
        <w:pStyle w:val="normal0"/>
        <w:spacing w:before="200" w:after="200"/>
        <w:rPr>
          <w:rFonts w:eastAsia="Arial" w:cs="Arial"/>
          <w:sz w:val="20"/>
          <w:szCs w:val="20"/>
        </w:rPr>
      </w:pPr>
      <w:r>
        <w:rPr>
          <w:rFonts w:eastAsia="Arial" w:cs="Arial"/>
          <w:sz w:val="20"/>
          <w:szCs w:val="20"/>
        </w:rPr>
        <w:t>7. After reviewing the proposed advertisement, the Advertisement Reviewer will indicate on the Routing Form his or her approval or disapproval on the proposed advertisement.</w:t>
      </w:r>
    </w:p>
    <w:p>
      <w:pPr>
        <w:pStyle w:val="normal0"/>
        <w:spacing w:before="200" w:after="200"/>
        <w:rPr>
          <w:rFonts w:eastAsia="Arial" w:cs="Arial"/>
          <w:sz w:val="20"/>
          <w:szCs w:val="20"/>
        </w:rPr>
      </w:pPr>
      <w:r>
        <w:rPr>
          <w:rFonts w:eastAsia="Arial" w:cs="Arial"/>
          <w:sz w:val="20"/>
          <w:szCs w:val="20"/>
        </w:rPr>
        <w:t>8. If disapproved, the Advertisement Reviewer will return the Routing Form with the proposed advertisement to the marketing employee who made the submission, with comments and suggested edits.</w:t>
      </w:r>
    </w:p>
    <w:p>
      <w:pPr>
        <w:pStyle w:val="normal0"/>
        <w:spacing w:before="200" w:after="200"/>
        <w:rPr>
          <w:rFonts w:eastAsia="Arial" w:cs="Arial"/>
          <w:sz w:val="20"/>
          <w:szCs w:val="20"/>
        </w:rPr>
      </w:pPr>
      <w:r>
        <w:rPr>
          <w:rFonts w:eastAsia="Arial" w:cs="Arial"/>
          <w:sz w:val="20"/>
          <w:szCs w:val="20"/>
        </w:rPr>
        <w:t>9. If approved by the Advertisement Reviewer, the marketing employee will incorporate the edits and comments (if any) into the prospective advertisement and return it to the Advertisement Reviewer for final review.</w:t>
      </w:r>
    </w:p>
    <w:p>
      <w:pPr>
        <w:pStyle w:val="normal0"/>
        <w:spacing w:before="200" w:after="200"/>
        <w:rPr>
          <w:rFonts w:eastAsia="Arial" w:cs="Arial"/>
          <w:sz w:val="20"/>
          <w:szCs w:val="20"/>
        </w:rPr>
      </w:pPr>
      <w:r>
        <w:rPr>
          <w:rFonts w:eastAsia="Arial" w:cs="Arial"/>
          <w:sz w:val="20"/>
          <w:szCs w:val="20"/>
        </w:rPr>
        <w:t>10. When comments become final, the Advertisement Reviewer will indicate final approval for use on the Routing Form, which will then be put in final layout form.</w:t>
      </w:r>
    </w:p>
    <w:p>
      <w:pPr>
        <w:pStyle w:val="normal0"/>
        <w:spacing w:before="200" w:after="200"/>
        <w:rPr>
          <w:rFonts w:eastAsia="Arial" w:cs="Arial"/>
          <w:sz w:val="20"/>
          <w:szCs w:val="20"/>
        </w:rPr>
      </w:pPr>
      <w:r>
        <w:rPr>
          <w:rFonts w:eastAsia="Arial" w:cs="Arial"/>
          <w:sz w:val="20"/>
          <w:szCs w:val="20"/>
        </w:rPr>
        <w:t>11. Approved advertisements may not be used or modified (except to update performance information) without the express written approval of the Chief Compliance Officer. An advertisement with unauthorized modifications will be deemed a proposed advertisement, subject to each and every one of these procedures.</w:t>
      </w:r>
    </w:p>
    <w:p>
      <w:pPr>
        <w:pStyle w:val="normal0"/>
        <w:spacing w:before="200" w:after="200"/>
        <w:rPr>
          <w:rFonts w:eastAsia="Arial" w:cs="Arial"/>
          <w:sz w:val="20"/>
          <w:szCs w:val="20"/>
        </w:rPr>
      </w:pPr>
      <w:r>
        <w:rPr>
          <w:rFonts w:eastAsia="Arial" w:cs="Arial"/>
          <w:sz w:val="20"/>
          <w:szCs w:val="20"/>
        </w:rPr>
        <w:t>12. Advertisements with material modifications or advertisements that have been in use for at least one year must be re-routed through the process set forth above.</w:t>
      </w:r>
    </w:p>
    <w:p>
      <w:pPr>
        <w:pStyle w:val="normal0"/>
        <w:spacing w:before="200" w:after="200"/>
        <w:rPr>
          <w:rFonts w:eastAsia="Arial" w:cs="Arial"/>
          <w:sz w:val="20"/>
          <w:szCs w:val="20"/>
        </w:rPr>
      </w:pPr>
      <w:r>
        <w:rPr>
          <w:rFonts w:eastAsia="Arial" w:cs="Arial"/>
          <w:b/>
          <w:bCs/>
          <w:sz w:val="20"/>
          <w:szCs w:val="20"/>
        </w:rPr>
        <w:t>Post-Review of Advertisements</w:t>
      </w:r>
    </w:p>
    <w:p>
      <w:pPr>
        <w:pStyle w:val="normal0"/>
        <w:spacing w:before="200" w:after="200"/>
        <w:rPr>
          <w:rFonts w:eastAsia="Arial" w:cs="Arial"/>
          <w:sz w:val="20"/>
          <w:szCs w:val="20"/>
        </w:rPr>
      </w:pPr>
      <w:r>
        <w:rPr>
          <w:rFonts w:eastAsia="Arial" w:cs="Arial"/>
          <w:sz w:val="20"/>
          <w:szCs w:val="20"/>
        </w:rPr>
        <w:t>Periodically, the Chief Compliance Officer shall spot check outstanding Firm advertisements for compliance with these procedures and ensure that they remain up to date. Where necessary, KCD will pull advertisements (</w:t>
      </w:r>
      <w:r>
        <w:rPr>
          <w:rFonts w:eastAsia="Arial" w:cs="Arial"/>
          <w:i/>
          <w:iCs/>
          <w:sz w:val="20"/>
          <w:szCs w:val="20"/>
        </w:rPr>
        <w:t>e.g.,</w:t>
      </w:r>
      <w:r>
        <w:rPr>
          <w:rFonts w:eastAsia="Arial" w:cs="Arial"/>
          <w:sz w:val="20"/>
          <w:szCs w:val="20"/>
        </w:rPr>
        <w:t xml:space="preserve"> by requesting the sponsor of a website containing the advertisement to delete it from the website) or re-issue a corrected or updated advertisement.</w:t>
      </w:r>
    </w:p>
    <w:p>
      <w:bookmarkEnd w:id="597"/>
      <w:bookmarkStart w:id="599" w:name="Sec_Chp_061016102254625_061016102254781"/>
    </w:p>
    <w:p>
      <w:pPr>
        <w:pStyle w:val="Heading3"/>
      </w:pPr>
      <w:bookmarkStart w:id="600" w:name="_Toc256000169"/>
      <w:r>
        <w:t>9.4.3 Advertisements and Marketing Pieces Content Review</w:t>
      </w:r>
      <w:bookmarkEnd w:id="600"/>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All advertisements or marketing pieces will be reviewed prior to dissemination to verify that they are not misleading and are not prohibited by the Adviser General Prohibitions set forth in Rule 206(4)-1. No advertisement or marketing piece: (1) shall be misleading; or (2) shall:</w:t>
      </w:r>
    </w:p>
    <w:p>
      <w:pPr>
        <w:numPr>
          <w:ilvl w:val="0"/>
          <w:numId w:val="521"/>
        </w:numPr>
        <w:spacing w:before="200"/>
        <w:ind w:left="720" w:hanging="192"/>
        <w:jc w:val="left"/>
        <w:rPr>
          <w:rFonts w:eastAsia="Arial" w:cs="Arial"/>
          <w:sz w:val="20"/>
          <w:szCs w:val="20"/>
        </w:rPr>
      </w:pPr>
      <w:r>
        <w:rPr>
          <w:rFonts w:eastAsia="Arial" w:cs="Arial"/>
          <w:sz w:val="20"/>
          <w:szCs w:val="20"/>
        </w:rPr>
        <w:t>Include any untrue statement of a material fact, or omit to state a material fact necessary in order to make the statement made, in the light of the circumstances under which it was made, not misleading;</w:t>
      </w:r>
    </w:p>
    <w:p>
      <w:pPr>
        <w:numPr>
          <w:ilvl w:val="0"/>
          <w:numId w:val="521"/>
        </w:numPr>
        <w:ind w:left="720" w:hanging="192"/>
        <w:jc w:val="left"/>
        <w:rPr>
          <w:rFonts w:eastAsia="Arial" w:cs="Arial"/>
          <w:sz w:val="20"/>
          <w:szCs w:val="20"/>
        </w:rPr>
      </w:pPr>
      <w:r>
        <w:rPr>
          <w:rFonts w:eastAsia="Arial" w:cs="Arial"/>
          <w:sz w:val="20"/>
          <w:szCs w:val="20"/>
        </w:rPr>
        <w:t>Include a material statement of fact that KCD does not have a reasonable basis for believing it will be able to substantiate upon demand by the SEC;</w:t>
      </w:r>
    </w:p>
    <w:p>
      <w:pPr>
        <w:numPr>
          <w:ilvl w:val="0"/>
          <w:numId w:val="521"/>
        </w:numPr>
        <w:ind w:left="720" w:hanging="192"/>
        <w:jc w:val="left"/>
        <w:rPr>
          <w:rFonts w:eastAsia="Arial" w:cs="Arial"/>
          <w:sz w:val="20"/>
          <w:szCs w:val="20"/>
        </w:rPr>
      </w:pPr>
      <w:r>
        <w:rPr>
          <w:rFonts w:eastAsia="Arial" w:cs="Arial"/>
          <w:sz w:val="20"/>
          <w:szCs w:val="20"/>
        </w:rPr>
        <w:t>Include information that would reasonably be likely to cause an untrue or misleading implication or inference to be drawn concerning a material fact relating to KCD;</w:t>
      </w:r>
    </w:p>
    <w:p>
      <w:pPr>
        <w:numPr>
          <w:ilvl w:val="0"/>
          <w:numId w:val="521"/>
        </w:numPr>
        <w:ind w:left="720" w:hanging="192"/>
        <w:jc w:val="left"/>
        <w:rPr>
          <w:rFonts w:eastAsia="Arial" w:cs="Arial"/>
          <w:sz w:val="20"/>
          <w:szCs w:val="20"/>
        </w:rPr>
      </w:pPr>
      <w:r>
        <w:rPr>
          <w:rFonts w:eastAsia="Arial" w:cs="Arial"/>
          <w:sz w:val="20"/>
          <w:szCs w:val="20"/>
        </w:rPr>
        <w:t>Discuss any potential benefits to clients or investors connected with or resulting from KCD's services or methods of operation without providing fair and balanced treatment of any material risks or material limitations associated with the potential benefits;</w:t>
      </w:r>
    </w:p>
    <w:p>
      <w:pPr>
        <w:numPr>
          <w:ilvl w:val="0"/>
          <w:numId w:val="521"/>
        </w:numPr>
        <w:ind w:left="720" w:hanging="192"/>
        <w:jc w:val="left"/>
        <w:rPr>
          <w:rFonts w:eastAsia="Arial" w:cs="Arial"/>
          <w:sz w:val="20"/>
          <w:szCs w:val="20"/>
        </w:rPr>
      </w:pPr>
      <w:r>
        <w:rPr>
          <w:rFonts w:eastAsia="Arial" w:cs="Arial"/>
          <w:sz w:val="20"/>
          <w:szCs w:val="20"/>
        </w:rPr>
        <w:t>Include a reference to specific investment advice provided by KCD where such investment advice is not presented in a manner that is fair and balanced;</w:t>
      </w:r>
    </w:p>
    <w:p>
      <w:pPr>
        <w:numPr>
          <w:ilvl w:val="0"/>
          <w:numId w:val="521"/>
        </w:numPr>
        <w:ind w:left="720" w:hanging="192"/>
        <w:jc w:val="left"/>
        <w:rPr>
          <w:rFonts w:eastAsia="Arial" w:cs="Arial"/>
          <w:sz w:val="20"/>
          <w:szCs w:val="20"/>
        </w:rPr>
      </w:pPr>
      <w:r>
        <w:rPr>
          <w:rFonts w:eastAsia="Arial" w:cs="Arial"/>
          <w:sz w:val="20"/>
          <w:szCs w:val="20"/>
        </w:rPr>
        <w:t xml:space="preserve">Include or exclude performance results, or present performance time periods, in a manner that is not fair and balanced; </w:t>
      </w:r>
    </w:p>
    <w:p>
      <w:pPr>
        <w:numPr>
          <w:ilvl w:val="0"/>
          <w:numId w:val="521"/>
        </w:numPr>
        <w:ind w:left="720" w:hanging="192"/>
        <w:jc w:val="left"/>
        <w:rPr>
          <w:rFonts w:eastAsia="Arial" w:cs="Arial"/>
          <w:sz w:val="20"/>
          <w:szCs w:val="20"/>
        </w:rPr>
      </w:pPr>
      <w:r>
        <w:rPr>
          <w:rFonts w:eastAsia="Arial" w:cs="Arial"/>
          <w:sz w:val="20"/>
          <w:szCs w:val="20"/>
        </w:rPr>
        <w:t>If the crypto assets such as Bitcoin are mentioned, (i) do not include a statement that the crypto asset functions like cash, (ii) discuss how crypto works including its features and the risks of crypto investments, (iii) disclose the fees, commissions or other costs when trading crypto assets, and (iv) avoid comparing crypto investments to other types of investments unless the differences between such investment types are clearly explained; or</w:t>
      </w:r>
    </w:p>
    <w:p>
      <w:pPr>
        <w:numPr>
          <w:ilvl w:val="0"/>
          <w:numId w:val="521"/>
        </w:numPr>
        <w:spacing w:after="200"/>
        <w:ind w:left="720" w:hanging="192"/>
        <w:jc w:val="left"/>
        <w:rPr>
          <w:rFonts w:eastAsia="Arial" w:cs="Arial"/>
          <w:sz w:val="20"/>
          <w:szCs w:val="20"/>
        </w:rPr>
      </w:pPr>
      <w:r>
        <w:rPr>
          <w:rFonts w:eastAsia="Arial" w:cs="Arial"/>
          <w:sz w:val="20"/>
          <w:szCs w:val="20"/>
        </w:rPr>
        <w:t>otherwise be misleading.</w:t>
      </w:r>
    </w:p>
    <w:p>
      <w:pPr>
        <w:pStyle w:val="normal0"/>
        <w:spacing w:before="200" w:after="200"/>
        <w:rPr>
          <w:rFonts w:eastAsia="Arial" w:cs="Arial"/>
          <w:sz w:val="20"/>
          <w:szCs w:val="20"/>
        </w:rPr>
      </w:pPr>
      <w:r>
        <w:rPr>
          <w:rFonts w:eastAsia="Arial" w:cs="Arial"/>
          <w:sz w:val="20"/>
          <w:szCs w:val="20"/>
        </w:rPr>
        <w:t>When determining whether or not an advertisement is misleading, the Advertisement Reviewer will consider the:</w:t>
      </w:r>
    </w:p>
    <w:p>
      <w:pPr>
        <w:numPr>
          <w:ilvl w:val="0"/>
          <w:numId w:val="522"/>
        </w:numPr>
        <w:spacing w:before="200"/>
        <w:ind w:left="720" w:hanging="192"/>
        <w:jc w:val="left"/>
        <w:rPr>
          <w:rFonts w:eastAsia="Arial" w:cs="Arial"/>
          <w:sz w:val="20"/>
          <w:szCs w:val="20"/>
        </w:rPr>
      </w:pPr>
      <w:r>
        <w:rPr>
          <w:rFonts w:eastAsia="Arial" w:cs="Arial"/>
          <w:sz w:val="20"/>
          <w:szCs w:val="20"/>
        </w:rPr>
        <w:t>Overall context in which the advertisement or communication is made;</w:t>
      </w:r>
    </w:p>
    <w:p>
      <w:pPr>
        <w:numPr>
          <w:ilvl w:val="0"/>
          <w:numId w:val="522"/>
        </w:numPr>
        <w:ind w:left="720" w:hanging="192"/>
        <w:jc w:val="left"/>
        <w:rPr>
          <w:rFonts w:eastAsia="Arial" w:cs="Arial"/>
          <w:sz w:val="20"/>
          <w:szCs w:val="20"/>
        </w:rPr>
      </w:pPr>
      <w:r>
        <w:rPr>
          <w:rFonts w:eastAsia="Arial" w:cs="Arial"/>
          <w:sz w:val="20"/>
          <w:szCs w:val="20"/>
        </w:rPr>
        <w:t>Audience to which the advertisement or communication is directed;</w:t>
      </w:r>
    </w:p>
    <w:p>
      <w:pPr>
        <w:numPr>
          <w:ilvl w:val="0"/>
          <w:numId w:val="522"/>
        </w:numPr>
        <w:ind w:left="720" w:hanging="192"/>
        <w:jc w:val="left"/>
        <w:rPr>
          <w:rFonts w:eastAsia="Arial" w:cs="Arial"/>
          <w:sz w:val="20"/>
          <w:szCs w:val="20"/>
        </w:rPr>
      </w:pPr>
      <w:r>
        <w:rPr>
          <w:rFonts w:eastAsia="Arial" w:cs="Arial"/>
          <w:sz w:val="20"/>
          <w:szCs w:val="20"/>
        </w:rPr>
        <w:t>Overall clarity of the advertisement or communication; and</w:t>
      </w:r>
    </w:p>
    <w:p>
      <w:pPr>
        <w:numPr>
          <w:ilvl w:val="0"/>
          <w:numId w:val="522"/>
        </w:numPr>
        <w:spacing w:after="200"/>
        <w:ind w:left="720" w:hanging="192"/>
        <w:jc w:val="left"/>
        <w:rPr>
          <w:rFonts w:eastAsia="Arial" w:cs="Arial"/>
          <w:sz w:val="20"/>
          <w:szCs w:val="20"/>
        </w:rPr>
      </w:pPr>
      <w:r>
        <w:rPr>
          <w:rFonts w:eastAsia="Arial" w:cs="Arial"/>
          <w:sz w:val="20"/>
          <w:szCs w:val="20"/>
        </w:rPr>
        <w:t>Use of explanatory footnotes in the advertisement or communication.</w:t>
      </w:r>
    </w:p>
    <w:p>
      <w:pPr>
        <w:pStyle w:val="normal0"/>
        <w:spacing w:before="200" w:after="200"/>
        <w:rPr>
          <w:rFonts w:eastAsia="Arial" w:cs="Arial"/>
          <w:sz w:val="20"/>
          <w:szCs w:val="20"/>
        </w:rPr>
      </w:pPr>
      <w:r>
        <w:rPr>
          <w:rFonts w:eastAsia="Arial" w:cs="Arial"/>
          <w:sz w:val="20"/>
          <w:szCs w:val="20"/>
        </w:rPr>
        <w:t>Prior to approving a particular advertisement, the Advertisement Reviewer will:</w:t>
      </w:r>
    </w:p>
    <w:p>
      <w:pPr>
        <w:numPr>
          <w:ilvl w:val="0"/>
          <w:numId w:val="523"/>
        </w:numPr>
        <w:spacing w:before="200"/>
        <w:ind w:left="720" w:hanging="192"/>
        <w:jc w:val="left"/>
        <w:rPr>
          <w:rFonts w:eastAsia="Arial" w:cs="Arial"/>
          <w:sz w:val="20"/>
          <w:szCs w:val="20"/>
        </w:rPr>
      </w:pPr>
      <w:r>
        <w:rPr>
          <w:rFonts w:eastAsia="Arial" w:cs="Arial"/>
          <w:sz w:val="20"/>
          <w:szCs w:val="20"/>
        </w:rPr>
        <w:t>Identify incomplete, inaccurate and missing disclosure;</w:t>
      </w:r>
    </w:p>
    <w:p>
      <w:pPr>
        <w:numPr>
          <w:ilvl w:val="0"/>
          <w:numId w:val="523"/>
        </w:numPr>
        <w:ind w:left="720" w:hanging="192"/>
        <w:jc w:val="left"/>
        <w:rPr>
          <w:rFonts w:eastAsia="Arial" w:cs="Arial"/>
          <w:sz w:val="20"/>
          <w:szCs w:val="20"/>
        </w:rPr>
      </w:pPr>
      <w:r>
        <w:rPr>
          <w:rFonts w:eastAsia="Arial" w:cs="Arial"/>
          <w:sz w:val="20"/>
          <w:szCs w:val="20"/>
        </w:rPr>
        <w:t>Identify and delete or revise any superlatives such as "superior returns" or "outstanding performance;"</w:t>
      </w:r>
    </w:p>
    <w:p>
      <w:pPr>
        <w:numPr>
          <w:ilvl w:val="0"/>
          <w:numId w:val="523"/>
        </w:numPr>
        <w:ind w:left="720" w:hanging="192"/>
        <w:jc w:val="left"/>
        <w:rPr>
          <w:rFonts w:eastAsia="Arial" w:cs="Arial"/>
          <w:sz w:val="20"/>
          <w:szCs w:val="20"/>
        </w:rPr>
      </w:pPr>
      <w:r>
        <w:rPr>
          <w:rFonts w:eastAsia="Arial" w:cs="Arial"/>
          <w:sz w:val="20"/>
          <w:szCs w:val="20"/>
        </w:rPr>
        <w:t>Identify and delete or revise any promissory statements;</w:t>
      </w:r>
    </w:p>
    <w:p>
      <w:pPr>
        <w:numPr>
          <w:ilvl w:val="0"/>
          <w:numId w:val="523"/>
        </w:numPr>
        <w:ind w:left="720" w:hanging="192"/>
        <w:jc w:val="left"/>
        <w:rPr>
          <w:rFonts w:eastAsia="Arial" w:cs="Arial"/>
          <w:sz w:val="20"/>
          <w:szCs w:val="20"/>
        </w:rPr>
      </w:pPr>
      <w:r>
        <w:rPr>
          <w:rFonts w:eastAsia="Arial" w:cs="Arial"/>
          <w:sz w:val="20"/>
          <w:szCs w:val="20"/>
        </w:rPr>
        <w:t>Identify and delete or revise any statements that are too broad and that cannot be substantiated by the facts and circumstances; and</w:t>
      </w:r>
    </w:p>
    <w:p>
      <w:pPr>
        <w:numPr>
          <w:ilvl w:val="0"/>
          <w:numId w:val="523"/>
        </w:numPr>
        <w:spacing w:after="200"/>
        <w:ind w:left="720" w:hanging="192"/>
        <w:jc w:val="left"/>
        <w:rPr>
          <w:rFonts w:eastAsia="Arial" w:cs="Arial"/>
          <w:sz w:val="20"/>
          <w:szCs w:val="20"/>
        </w:rPr>
      </w:pPr>
      <w:r>
        <w:rPr>
          <w:rFonts w:eastAsia="Arial" w:cs="Arial"/>
          <w:sz w:val="20"/>
          <w:szCs w:val="20"/>
        </w:rPr>
        <w:t>Ensure that the content contains no misspellings, incorrect punctuations and grammatical errors.</w:t>
      </w:r>
    </w:p>
    <w:p>
      <w:pPr>
        <w:pStyle w:val="normal0"/>
        <w:spacing w:before="200" w:after="200"/>
        <w:rPr>
          <w:rFonts w:eastAsia="Arial" w:cs="Arial"/>
          <w:sz w:val="20"/>
          <w:szCs w:val="20"/>
        </w:rPr>
      </w:pPr>
      <w:r>
        <w:rPr>
          <w:rFonts w:eastAsia="Arial" w:cs="Arial"/>
          <w:sz w:val="20"/>
          <w:szCs w:val="20"/>
        </w:rPr>
        <w:t>KCD shall maintain a record of who the intended audience is each time it disseminates hypothetical performance information.</w:t>
      </w:r>
    </w:p>
    <w:p>
      <w:pPr>
        <w:pStyle w:val="normal0"/>
        <w:spacing w:before="200" w:after="200"/>
        <w:rPr>
          <w:rFonts w:eastAsia="Arial" w:cs="Arial"/>
          <w:sz w:val="20"/>
          <w:szCs w:val="20"/>
        </w:rPr>
      </w:pPr>
      <w:r>
        <w:rPr>
          <w:rFonts w:eastAsia="Arial" w:cs="Arial"/>
          <w:b/>
          <w:bCs/>
          <w:sz w:val="20"/>
          <w:szCs w:val="20"/>
        </w:rPr>
        <w:t>Certain Marketing Activities</w:t>
      </w:r>
    </w:p>
    <w:p>
      <w:pPr>
        <w:pStyle w:val="normal0"/>
        <w:spacing w:before="200" w:after="200"/>
        <w:rPr>
          <w:rFonts w:eastAsia="Arial" w:cs="Arial"/>
          <w:sz w:val="20"/>
          <w:szCs w:val="20"/>
        </w:rPr>
      </w:pPr>
      <w:r>
        <w:rPr>
          <w:rFonts w:eastAsia="Arial" w:cs="Arial"/>
          <w:sz w:val="20"/>
          <w:szCs w:val="20"/>
        </w:rPr>
        <w:t>The Chief Compliance Officer will note two types of marketing activities when reviewing marketing proposals: offering free advisory services and presenting graphs, charts and formulas. In reviewing such marketing activity, the Chief Compliance Officer will take the following into account as to whether to permit or modify such marketing proposals.</w:t>
      </w:r>
    </w:p>
    <w:p>
      <w:pPr>
        <w:pStyle w:val="normal0"/>
        <w:spacing w:before="200" w:after="200"/>
        <w:rPr>
          <w:rFonts w:eastAsia="Arial" w:cs="Arial"/>
          <w:sz w:val="20"/>
          <w:szCs w:val="20"/>
        </w:rPr>
      </w:pPr>
      <w:r>
        <w:rPr>
          <w:rFonts w:eastAsia="Arial" w:cs="Arial"/>
          <w:i/>
          <w:iCs/>
          <w:sz w:val="20"/>
          <w:szCs w:val="20"/>
        </w:rPr>
        <w:t>Free Advisory Services</w:t>
      </w:r>
    </w:p>
    <w:p>
      <w:pPr>
        <w:pStyle w:val="normal0"/>
        <w:spacing w:before="200" w:after="200"/>
        <w:rPr>
          <w:rFonts w:eastAsia="Arial" w:cs="Arial"/>
          <w:sz w:val="20"/>
          <w:szCs w:val="20"/>
        </w:rPr>
      </w:pPr>
      <w:r>
        <w:rPr>
          <w:rFonts w:eastAsia="Arial" w:cs="Arial"/>
          <w:sz w:val="20"/>
          <w:szCs w:val="20"/>
        </w:rPr>
        <w:t>Prior to its modification, Rule 206(4)-1, the SEC's advertisement rule, contained an explicit prohibition on advertisements that contain statements to the effect that a report, analysis, or other service will be furnished free of charge, unless the analysis or service is actually free and without condition. The SEC eliminated the separate explicit prohibitions of such statements in the Rule because falsely claiming a free analysis or service would be prohibited by the revised Rule's prohibition on untrue statements or omissions.</w:t>
      </w:r>
    </w:p>
    <w:p>
      <w:pPr>
        <w:pStyle w:val="normal0"/>
        <w:spacing w:before="200" w:after="200"/>
        <w:rPr>
          <w:rFonts w:eastAsia="Arial" w:cs="Arial"/>
          <w:sz w:val="20"/>
          <w:szCs w:val="20"/>
        </w:rPr>
      </w:pPr>
      <w:r>
        <w:rPr>
          <w:rFonts w:eastAsia="Arial" w:cs="Arial"/>
          <w:i/>
          <w:iCs/>
          <w:sz w:val="20"/>
          <w:szCs w:val="20"/>
        </w:rPr>
        <w:t>Graphs, Charts and Formulas</w:t>
      </w:r>
    </w:p>
    <w:p>
      <w:pPr>
        <w:pStyle w:val="normal0"/>
        <w:spacing w:before="200" w:after="200"/>
        <w:rPr>
          <w:rFonts w:eastAsia="Arial" w:cs="Arial"/>
          <w:sz w:val="20"/>
          <w:szCs w:val="20"/>
        </w:rPr>
      </w:pPr>
      <w:r>
        <w:rPr>
          <w:rFonts w:eastAsia="Arial" w:cs="Arial"/>
          <w:sz w:val="20"/>
          <w:szCs w:val="20"/>
        </w:rPr>
        <w:t>Prior to its modification, Rule 206(4)-1 contained an explicit prohibition on an adviser's use of graphs, charts, or formulas to represent, directly or indirectly, that such graphs, charts, or formulas can in and of themselves be used to determine which securities to buy or sell, or when to buy or sell them. The SEC eliminated the separate explicit prohibitions because such use of graphs, charts and formulas would be prohibited by the revised Rule's prohibition on untrue statements or omissions.</w:t>
      </w:r>
    </w:p>
    <w:p>
      <w:bookmarkEnd w:id="599"/>
      <w:bookmarkStart w:id="601" w:name="Sec_Chp_061016102254625_061016102254859"/>
    </w:p>
    <w:p>
      <w:pPr>
        <w:pStyle w:val="Heading4"/>
      </w:pPr>
      <w:r>
        <w:t>9.4.3.1 Model (Hypothetical) Results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From time to time, KCD may desire to disseminate model (or hypothetical) results.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Hypothetical performance is defined as:</w:t>
            </w:r>
          </w:p>
          <w:p>
            <w:pPr>
              <w:numPr>
                <w:ilvl w:val="0"/>
                <w:numId w:val="524"/>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Performance derived from model portfolios;</w:t>
            </w:r>
          </w:p>
          <w:p>
            <w:pPr>
              <w:numPr>
                <w:ilvl w:val="0"/>
                <w:numId w:val="52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Performance that is backtested by the application of a strategy to data from prior time periods when the strategy was not actually used during those time periods; and</w:t>
            </w:r>
          </w:p>
          <w:p>
            <w:pPr>
              <w:numPr>
                <w:ilvl w:val="0"/>
                <w:numId w:val="52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Targeted or projected performance returns with respect to any portfolio or to the investment advisory services with regard to securities offered in the advertisement.</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Hypothetical performance is not:</w:t>
            </w:r>
          </w:p>
          <w:p>
            <w:pPr>
              <w:numPr>
                <w:ilvl w:val="0"/>
                <w:numId w:val="525"/>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Interactive analysis tools used by a client or prospective client to produce simulations and statistical analyses of the likelihood of future outcomes so long as KCD:</w:t>
            </w:r>
          </w:p>
          <w:p>
            <w:pPr>
              <w:numPr>
                <w:ilvl w:val="1"/>
                <w:numId w:val="525"/>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describes the criteria and methodology used, including its limitations and key assumptions;</w:t>
            </w:r>
          </w:p>
          <w:p>
            <w:pPr>
              <w:numPr>
                <w:ilvl w:val="1"/>
                <w:numId w:val="525"/>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explains that results may vary with each use and over time are hypothetical in nature and, if applicable, describes the universe of investments considered in the analysis;</w:t>
            </w:r>
          </w:p>
          <w:p>
            <w:pPr>
              <w:numPr>
                <w:ilvl w:val="1"/>
                <w:numId w:val="525"/>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explains how the tool determines which investment to select;</w:t>
            </w:r>
          </w:p>
          <w:p>
            <w:pPr>
              <w:numPr>
                <w:ilvl w:val="1"/>
                <w:numId w:val="525"/>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discloses if the tool favors certain investments and, if so, explains the reasons for the selectivity;</w:t>
            </w:r>
          </w:p>
          <w:p>
            <w:pPr>
              <w:numPr>
                <w:ilvl w:val="1"/>
                <w:numId w:val="525"/>
              </w:numPr>
              <w:ind w:left="1440" w:hanging="30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states that other investments not considered may have characteristics similar or superior to those being analyzed.</w:t>
            </w:r>
          </w:p>
          <w:p>
            <w:pPr>
              <w:numPr>
                <w:ilvl w:val="0"/>
                <w:numId w:val="52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Predecessor performance (provided it is compliant).</w:t>
            </w:r>
          </w:p>
        </w:tc>
      </w:tr>
    </w:tbl>
    <w:p>
      <w:pPr>
        <w:pStyle w:val="normal0"/>
        <w:spacing w:before="200" w:after="200"/>
        <w:rPr>
          <w:rFonts w:eastAsia="Arial" w:cs="Arial"/>
          <w:sz w:val="20"/>
          <w:szCs w:val="20"/>
        </w:rPr>
      </w:pPr>
      <w:r>
        <w:rPr>
          <w:rFonts w:eastAsia="Arial" w:cs="Arial"/>
          <w:b/>
          <w:bCs/>
          <w:sz w:val="20"/>
          <w:szCs w:val="20"/>
        </w:rPr>
        <w:t>Classification of the Use of Hypothetical Performance Information</w:t>
      </w:r>
    </w:p>
    <w:p>
      <w:pPr>
        <w:pStyle w:val="normal0"/>
        <w:spacing w:before="200" w:after="200"/>
        <w:rPr>
          <w:rFonts w:eastAsia="Arial" w:cs="Arial"/>
          <w:sz w:val="20"/>
          <w:szCs w:val="20"/>
        </w:rPr>
      </w:pPr>
      <w:r>
        <w:rPr>
          <w:rFonts w:eastAsia="Arial" w:cs="Arial"/>
          <w:sz w:val="20"/>
          <w:szCs w:val="20"/>
        </w:rPr>
        <w:t>KCD deems each instance of advertising or dissemination of hypothetical performance information to be an "advertisement" subject to Rule 206(4)-1 under the Advisers Act and the policies and procedures of this Compliance Manual except in these two instances:</w:t>
      </w:r>
    </w:p>
    <w:p>
      <w:pPr>
        <w:numPr>
          <w:ilvl w:val="0"/>
          <w:numId w:val="526"/>
        </w:numPr>
        <w:spacing w:before="200"/>
        <w:ind w:left="720" w:hanging="192"/>
        <w:jc w:val="left"/>
        <w:rPr>
          <w:rFonts w:eastAsia="Arial" w:cs="Arial"/>
          <w:sz w:val="20"/>
          <w:szCs w:val="20"/>
        </w:rPr>
      </w:pPr>
      <w:r>
        <w:rPr>
          <w:rFonts w:eastAsia="Arial" w:cs="Arial"/>
          <w:sz w:val="20"/>
          <w:szCs w:val="20"/>
        </w:rPr>
        <w:t>A client or potential client seeks hypothetical performance information for his or her own purposes, and not in response to a communication disseminated by KCD offering its investment advisory services; or</w:t>
      </w:r>
    </w:p>
    <w:p>
      <w:pPr>
        <w:numPr>
          <w:ilvl w:val="0"/>
          <w:numId w:val="526"/>
        </w:numPr>
        <w:spacing w:after="200"/>
        <w:ind w:left="720" w:hanging="192"/>
        <w:jc w:val="left"/>
        <w:rPr>
          <w:rFonts w:eastAsia="Arial" w:cs="Arial"/>
          <w:sz w:val="20"/>
          <w:szCs w:val="20"/>
        </w:rPr>
      </w:pPr>
      <w:r>
        <w:rPr>
          <w:rFonts w:eastAsia="Arial" w:cs="Arial"/>
          <w:sz w:val="20"/>
          <w:szCs w:val="20"/>
        </w:rPr>
        <w:t>Hypothetical performance information is provided to an investor in a private fund advised by KCD in a one-on-one communication (collectively, "Exempted Hypothetical Performance Information").</w:t>
      </w:r>
    </w:p>
    <w:p>
      <w:pPr>
        <w:pStyle w:val="normal0"/>
        <w:spacing w:before="200" w:after="200"/>
        <w:rPr>
          <w:rFonts w:eastAsia="Arial" w:cs="Arial"/>
          <w:sz w:val="20"/>
          <w:szCs w:val="20"/>
        </w:rPr>
      </w:pPr>
      <w:r>
        <w:rPr>
          <w:rFonts w:eastAsia="Arial" w:cs="Arial"/>
          <w:sz w:val="20"/>
          <w:szCs w:val="20"/>
        </w:rPr>
        <w:t>Any affirmative effort by an employee of KCD intended or designed to induce an investor of a private fund advised by KCD to request hypothetical performance information would render the request solicited and thus not eligible for being provided to such person.</w:t>
      </w:r>
    </w:p>
    <w:p>
      <w:pPr>
        <w:pStyle w:val="normal0"/>
        <w:spacing w:before="200" w:after="200"/>
        <w:rPr>
          <w:rFonts w:eastAsia="Arial" w:cs="Arial"/>
          <w:sz w:val="20"/>
          <w:szCs w:val="20"/>
        </w:rPr>
      </w:pPr>
      <w:r>
        <w:rPr>
          <w:rFonts w:eastAsia="Arial" w:cs="Arial"/>
          <w:b/>
          <w:bCs/>
          <w:sz w:val="20"/>
          <w:szCs w:val="20"/>
        </w:rPr>
        <w:t>Use of Hypothetical Performance Information</w:t>
      </w:r>
    </w:p>
    <w:p>
      <w:pPr>
        <w:pStyle w:val="normal0"/>
        <w:spacing w:before="200" w:after="200"/>
        <w:rPr>
          <w:rFonts w:eastAsia="Arial" w:cs="Arial"/>
          <w:sz w:val="20"/>
          <w:szCs w:val="20"/>
        </w:rPr>
      </w:pPr>
      <w:r>
        <w:rPr>
          <w:rFonts w:eastAsia="Arial" w:cs="Arial"/>
          <w:sz w:val="20"/>
          <w:szCs w:val="20"/>
        </w:rPr>
        <w:t>With the exception of Exempted Hypothetical Performance Information, KCD shall deem any use of hypothetical performance information to be an advertisement.</w:t>
      </w:r>
    </w:p>
    <w:p>
      <w:pPr>
        <w:pStyle w:val="normal0"/>
        <w:spacing w:before="200" w:after="200"/>
        <w:rPr>
          <w:rFonts w:eastAsia="Arial" w:cs="Arial"/>
          <w:sz w:val="20"/>
          <w:szCs w:val="20"/>
        </w:rPr>
      </w:pPr>
      <w:r>
        <w:rPr>
          <w:rFonts w:eastAsia="Arial" w:cs="Arial"/>
          <w:sz w:val="20"/>
          <w:szCs w:val="20"/>
        </w:rPr>
        <w:t>In addition to treating the advertisement or other dissemination of hypothetical performance information to be an "advertisement" subject to Rule 206(4)-1 and the policies and procedures of this Compliance Manual the [Chief Compliance Officer] will ensure that when the hypothetical performance is provided to potential or existing clients or otherwise advertised:</w:t>
      </w:r>
    </w:p>
    <w:p>
      <w:pPr>
        <w:numPr>
          <w:ilvl w:val="0"/>
          <w:numId w:val="527"/>
        </w:numPr>
        <w:spacing w:before="200"/>
        <w:ind w:left="720" w:hanging="192"/>
        <w:jc w:val="left"/>
        <w:rPr>
          <w:rFonts w:eastAsia="Arial" w:cs="Arial"/>
          <w:sz w:val="20"/>
          <w:szCs w:val="20"/>
        </w:rPr>
      </w:pPr>
      <w:r>
        <w:rPr>
          <w:rFonts w:eastAsia="Arial" w:cs="Arial"/>
          <w:sz w:val="20"/>
          <w:szCs w:val="20"/>
        </w:rPr>
        <w:t>The hypothetical performance is relevant to the likely financial situation and investment objectives of the person requesting such performance;</w:t>
      </w:r>
    </w:p>
    <w:p>
      <w:pPr>
        <w:numPr>
          <w:ilvl w:val="0"/>
          <w:numId w:val="527"/>
        </w:numPr>
        <w:ind w:left="720" w:hanging="192"/>
        <w:jc w:val="left"/>
        <w:rPr>
          <w:rFonts w:eastAsia="Arial" w:cs="Arial"/>
          <w:sz w:val="20"/>
          <w:szCs w:val="20"/>
        </w:rPr>
      </w:pPr>
      <w:r>
        <w:rPr>
          <w:rFonts w:eastAsia="Arial" w:cs="Arial"/>
          <w:sz w:val="20"/>
          <w:szCs w:val="20"/>
        </w:rPr>
        <w:t>The hypothetical performance to be provided contains or is accompanied by sufficient information to enable the person requesting such information to understand the criteria used and assumptions made in calculating such hypothetical performance; and</w:t>
      </w:r>
    </w:p>
    <w:p>
      <w:pPr>
        <w:numPr>
          <w:ilvl w:val="0"/>
          <w:numId w:val="527"/>
        </w:numPr>
        <w:spacing w:after="200"/>
        <w:ind w:left="720" w:hanging="192"/>
        <w:jc w:val="left"/>
        <w:rPr>
          <w:rFonts w:eastAsia="Arial" w:cs="Arial"/>
          <w:sz w:val="20"/>
          <w:szCs w:val="20"/>
        </w:rPr>
      </w:pPr>
      <w:r>
        <w:rPr>
          <w:rFonts w:eastAsia="Arial" w:cs="Arial"/>
          <w:sz w:val="20"/>
          <w:szCs w:val="20"/>
        </w:rPr>
        <w:t>The hypothetical performance to be provided contains or is accompanied by sufficient information to enable the person requesting such information to understand the risks and limitations of using hypothetical performance in making investment decisions.</w:t>
      </w:r>
    </w:p>
    <w:p>
      <w:pPr>
        <w:pStyle w:val="normal0"/>
        <w:spacing w:before="200" w:after="200"/>
        <w:rPr>
          <w:rFonts w:eastAsia="Arial" w:cs="Arial"/>
          <w:sz w:val="20"/>
          <w:szCs w:val="20"/>
        </w:rPr>
      </w:pPr>
      <w:r>
        <w:rPr>
          <w:rFonts w:eastAsia="Arial" w:cs="Arial"/>
          <w:sz w:val="20"/>
          <w:szCs w:val="20"/>
        </w:rPr>
        <w:t>KCD will not include any hypothetical performance information in any advertisement to be directed to a mass audience or intended for general circulation. KCD will limit its presentation of hypothetical information to certain classes of professionals and investors including, among the following:</w:t>
      </w:r>
    </w:p>
    <w:p>
      <w:pPr>
        <w:numPr>
          <w:ilvl w:val="0"/>
          <w:numId w:val="528"/>
        </w:numPr>
        <w:spacing w:before="200"/>
        <w:ind w:left="720" w:hanging="192"/>
        <w:jc w:val="left"/>
        <w:rPr>
          <w:rFonts w:eastAsia="Arial" w:cs="Arial"/>
          <w:sz w:val="20"/>
          <w:szCs w:val="20"/>
        </w:rPr>
      </w:pPr>
      <w:r>
        <w:rPr>
          <w:rFonts w:eastAsia="Arial" w:cs="Arial"/>
          <w:sz w:val="20"/>
          <w:szCs w:val="20"/>
        </w:rPr>
        <w:t>accredited investors</w:t>
      </w:r>
    </w:p>
    <w:p>
      <w:pPr>
        <w:numPr>
          <w:ilvl w:val="0"/>
          <w:numId w:val="528"/>
        </w:numPr>
        <w:ind w:left="720" w:hanging="192"/>
        <w:jc w:val="left"/>
        <w:rPr>
          <w:rFonts w:eastAsia="Arial" w:cs="Arial"/>
          <w:sz w:val="20"/>
          <w:szCs w:val="20"/>
        </w:rPr>
      </w:pPr>
      <w:r>
        <w:rPr>
          <w:rFonts w:eastAsia="Arial" w:cs="Arial"/>
          <w:sz w:val="20"/>
          <w:szCs w:val="20"/>
        </w:rPr>
        <w:t>qualified institutional buyers</w:t>
      </w:r>
    </w:p>
    <w:p>
      <w:pPr>
        <w:numPr>
          <w:ilvl w:val="0"/>
          <w:numId w:val="528"/>
        </w:numPr>
        <w:ind w:left="720" w:hanging="192"/>
        <w:jc w:val="left"/>
        <w:rPr>
          <w:rFonts w:eastAsia="Arial" w:cs="Arial"/>
          <w:sz w:val="20"/>
          <w:szCs w:val="20"/>
        </w:rPr>
      </w:pPr>
      <w:r>
        <w:rPr>
          <w:rFonts w:eastAsia="Arial" w:cs="Arial"/>
          <w:sz w:val="20"/>
          <w:szCs w:val="20"/>
        </w:rPr>
        <w:t>qualified eligible participants</w:t>
      </w:r>
    </w:p>
    <w:p>
      <w:pPr>
        <w:numPr>
          <w:ilvl w:val="0"/>
          <w:numId w:val="528"/>
        </w:numPr>
        <w:ind w:left="720" w:hanging="192"/>
        <w:jc w:val="left"/>
        <w:rPr>
          <w:rFonts w:eastAsia="Arial" w:cs="Arial"/>
          <w:sz w:val="20"/>
          <w:szCs w:val="20"/>
        </w:rPr>
      </w:pPr>
      <w:r>
        <w:rPr>
          <w:rFonts w:eastAsia="Arial" w:cs="Arial"/>
          <w:sz w:val="20"/>
          <w:szCs w:val="20"/>
        </w:rPr>
        <w:t>qualified clients</w:t>
      </w:r>
    </w:p>
    <w:p>
      <w:pPr>
        <w:numPr>
          <w:ilvl w:val="0"/>
          <w:numId w:val="528"/>
        </w:numPr>
        <w:ind w:left="720" w:hanging="192"/>
        <w:jc w:val="left"/>
        <w:rPr>
          <w:rFonts w:eastAsia="Arial" w:cs="Arial"/>
          <w:sz w:val="20"/>
          <w:szCs w:val="20"/>
        </w:rPr>
      </w:pPr>
      <w:r>
        <w:rPr>
          <w:rFonts w:eastAsia="Arial" w:cs="Arial"/>
          <w:sz w:val="20"/>
          <w:szCs w:val="20"/>
        </w:rPr>
        <w:t>consultants</w:t>
      </w:r>
    </w:p>
    <w:p>
      <w:pPr>
        <w:numPr>
          <w:ilvl w:val="0"/>
          <w:numId w:val="528"/>
        </w:numPr>
        <w:ind w:left="720" w:hanging="192"/>
        <w:jc w:val="left"/>
        <w:rPr>
          <w:rFonts w:eastAsia="Arial" w:cs="Arial"/>
          <w:sz w:val="20"/>
          <w:szCs w:val="20"/>
        </w:rPr>
      </w:pPr>
      <w:r>
        <w:rPr>
          <w:rFonts w:eastAsia="Arial" w:cs="Arial"/>
          <w:sz w:val="20"/>
          <w:szCs w:val="20"/>
        </w:rPr>
        <w:t>qualified purchasers, those defined in FINRA Rule 2210 and FINRA Rule 4512</w:t>
      </w:r>
    </w:p>
    <w:p>
      <w:pPr>
        <w:numPr>
          <w:ilvl w:val="0"/>
          <w:numId w:val="528"/>
        </w:numPr>
        <w:ind w:left="720" w:hanging="192"/>
        <w:jc w:val="left"/>
        <w:rPr>
          <w:rFonts w:eastAsia="Arial" w:cs="Arial"/>
          <w:sz w:val="20"/>
          <w:szCs w:val="20"/>
        </w:rPr>
      </w:pPr>
      <w:r>
        <w:rPr>
          <w:rFonts w:eastAsia="Arial" w:cs="Arial"/>
          <w:sz w:val="20"/>
          <w:szCs w:val="20"/>
        </w:rPr>
        <w:t>non-retail clients who meet the criteria of a "sophisticated investor"</w:t>
      </w:r>
    </w:p>
    <w:p>
      <w:pPr>
        <w:numPr>
          <w:ilvl w:val="0"/>
          <w:numId w:val="528"/>
        </w:numPr>
        <w:ind w:left="720" w:hanging="192"/>
        <w:jc w:val="left"/>
        <w:rPr>
          <w:rFonts w:eastAsia="Arial" w:cs="Arial"/>
          <w:sz w:val="20"/>
          <w:szCs w:val="20"/>
        </w:rPr>
      </w:pPr>
      <w:r>
        <w:rPr>
          <w:rFonts w:eastAsia="Arial" w:cs="Arial"/>
          <w:sz w:val="20"/>
          <w:szCs w:val="20"/>
        </w:rPr>
        <w:t>financial professionals</w:t>
      </w:r>
    </w:p>
    <w:p>
      <w:pPr>
        <w:numPr>
          <w:ilvl w:val="0"/>
          <w:numId w:val="528"/>
        </w:numPr>
        <w:ind w:left="720" w:hanging="192"/>
        <w:jc w:val="left"/>
        <w:rPr>
          <w:rFonts w:eastAsia="Arial" w:cs="Arial"/>
          <w:sz w:val="20"/>
          <w:szCs w:val="20"/>
        </w:rPr>
      </w:pPr>
      <w:r>
        <w:rPr>
          <w:rFonts w:eastAsia="Arial" w:cs="Arial"/>
          <w:sz w:val="20"/>
          <w:szCs w:val="20"/>
        </w:rPr>
        <w:t>institutions or plan sponsors</w:t>
      </w:r>
    </w:p>
    <w:p>
      <w:pPr>
        <w:numPr>
          <w:ilvl w:val="0"/>
          <w:numId w:val="528"/>
        </w:numPr>
        <w:ind w:left="720" w:hanging="192"/>
        <w:jc w:val="left"/>
        <w:rPr>
          <w:rFonts w:eastAsia="Arial" w:cs="Arial"/>
          <w:sz w:val="20"/>
          <w:szCs w:val="20"/>
        </w:rPr>
      </w:pPr>
      <w:r>
        <w:rPr>
          <w:rFonts w:eastAsia="Arial" w:cs="Arial"/>
          <w:sz w:val="20"/>
          <w:szCs w:val="20"/>
        </w:rPr>
        <w:t>institutional investors as defined under the UK Financial Conduct</w:t>
      </w:r>
    </w:p>
    <w:p>
      <w:pPr>
        <w:numPr>
          <w:ilvl w:val="0"/>
          <w:numId w:val="528"/>
        </w:numPr>
        <w:ind w:left="720" w:hanging="192"/>
        <w:jc w:val="left"/>
        <w:rPr>
          <w:rFonts w:eastAsia="Arial" w:cs="Arial"/>
          <w:sz w:val="20"/>
          <w:szCs w:val="20"/>
        </w:rPr>
      </w:pPr>
      <w:r>
        <w:rPr>
          <w:rFonts w:eastAsia="Arial" w:cs="Arial"/>
          <w:sz w:val="20"/>
          <w:szCs w:val="20"/>
        </w:rPr>
        <w:t>endowments</w:t>
      </w:r>
    </w:p>
    <w:p>
      <w:pPr>
        <w:numPr>
          <w:ilvl w:val="0"/>
          <w:numId w:val="528"/>
        </w:numPr>
        <w:ind w:left="720" w:hanging="192"/>
        <w:jc w:val="left"/>
        <w:rPr>
          <w:rFonts w:eastAsia="Arial" w:cs="Arial"/>
          <w:sz w:val="20"/>
          <w:szCs w:val="20"/>
        </w:rPr>
      </w:pPr>
      <w:r>
        <w:rPr>
          <w:rFonts w:eastAsia="Arial" w:cs="Arial"/>
          <w:sz w:val="20"/>
          <w:szCs w:val="20"/>
        </w:rPr>
        <w:t>pension funds</w:t>
      </w:r>
    </w:p>
    <w:p>
      <w:pPr>
        <w:numPr>
          <w:ilvl w:val="0"/>
          <w:numId w:val="528"/>
        </w:numPr>
        <w:ind w:left="720" w:hanging="192"/>
        <w:jc w:val="left"/>
        <w:rPr>
          <w:rFonts w:eastAsia="Arial" w:cs="Arial"/>
          <w:sz w:val="20"/>
          <w:szCs w:val="20"/>
        </w:rPr>
      </w:pPr>
      <w:r>
        <w:rPr>
          <w:rFonts w:eastAsia="Arial" w:cs="Arial"/>
          <w:sz w:val="20"/>
          <w:szCs w:val="20"/>
        </w:rPr>
        <w:t>insurance companies</w:t>
      </w:r>
    </w:p>
    <w:p>
      <w:pPr>
        <w:numPr>
          <w:ilvl w:val="0"/>
          <w:numId w:val="528"/>
        </w:numPr>
        <w:ind w:left="720" w:hanging="192"/>
        <w:jc w:val="left"/>
        <w:rPr>
          <w:rFonts w:eastAsia="Arial" w:cs="Arial"/>
          <w:sz w:val="20"/>
          <w:szCs w:val="20"/>
        </w:rPr>
      </w:pPr>
      <w:r>
        <w:rPr>
          <w:rFonts w:eastAsia="Arial" w:cs="Arial"/>
          <w:sz w:val="20"/>
          <w:szCs w:val="20"/>
        </w:rPr>
        <w:t>retirement plan sponsors</w:t>
      </w:r>
    </w:p>
    <w:p>
      <w:pPr>
        <w:numPr>
          <w:ilvl w:val="0"/>
          <w:numId w:val="528"/>
        </w:numPr>
        <w:ind w:left="720" w:hanging="192"/>
        <w:jc w:val="left"/>
        <w:rPr>
          <w:rFonts w:eastAsia="Arial" w:cs="Arial"/>
          <w:sz w:val="20"/>
          <w:szCs w:val="20"/>
        </w:rPr>
      </w:pPr>
      <w:r>
        <w:rPr>
          <w:rFonts w:eastAsia="Arial" w:cs="Arial"/>
          <w:sz w:val="20"/>
          <w:szCs w:val="20"/>
        </w:rPr>
        <w:t>consultants</w:t>
      </w:r>
    </w:p>
    <w:p>
      <w:pPr>
        <w:numPr>
          <w:ilvl w:val="0"/>
          <w:numId w:val="528"/>
        </w:numPr>
        <w:ind w:left="720" w:hanging="192"/>
        <w:jc w:val="left"/>
        <w:rPr>
          <w:rFonts w:eastAsia="Arial" w:cs="Arial"/>
          <w:sz w:val="20"/>
          <w:szCs w:val="20"/>
        </w:rPr>
      </w:pPr>
      <w:r>
        <w:rPr>
          <w:rFonts w:eastAsia="Arial" w:cs="Arial"/>
          <w:sz w:val="20"/>
          <w:szCs w:val="20"/>
        </w:rPr>
        <w:t>state and corporate treasurers</w:t>
      </w:r>
    </w:p>
    <w:p>
      <w:pPr>
        <w:numPr>
          <w:ilvl w:val="0"/>
          <w:numId w:val="528"/>
        </w:numPr>
        <w:spacing w:after="200"/>
        <w:ind w:left="720" w:hanging="192"/>
        <w:jc w:val="left"/>
        <w:rPr>
          <w:rFonts w:eastAsia="Arial" w:cs="Arial"/>
          <w:sz w:val="20"/>
          <w:szCs w:val="20"/>
        </w:rPr>
      </w:pPr>
      <w:r>
        <w:rPr>
          <w:rFonts w:eastAsia="Arial" w:cs="Arial"/>
          <w:sz w:val="20"/>
          <w:szCs w:val="20"/>
        </w:rPr>
        <w:t>financial intermediaries such as registered investment advisers and broker-dealers</w:t>
      </w:r>
    </w:p>
    <w:p>
      <w:pPr>
        <w:pStyle w:val="normal0"/>
        <w:spacing w:before="200" w:after="200"/>
        <w:rPr>
          <w:rFonts w:eastAsia="Arial" w:cs="Arial"/>
          <w:sz w:val="20"/>
          <w:szCs w:val="20"/>
        </w:rPr>
      </w:pPr>
      <w:r>
        <w:rPr>
          <w:rFonts w:eastAsia="Arial" w:cs="Arial"/>
          <w:b/>
          <w:bCs/>
          <w:sz w:val="20"/>
          <w:szCs w:val="20"/>
        </w:rPr>
        <w:t>Financial Situation and Investment Objectives</w:t>
      </w:r>
    </w:p>
    <w:p>
      <w:pPr>
        <w:pStyle w:val="normal0"/>
        <w:spacing w:before="200" w:after="200"/>
        <w:rPr>
          <w:rFonts w:eastAsia="Arial" w:cs="Arial"/>
          <w:sz w:val="20"/>
          <w:szCs w:val="20"/>
        </w:rPr>
      </w:pPr>
      <w:r>
        <w:rPr>
          <w:rFonts w:eastAsia="Arial" w:cs="Arial"/>
          <w:sz w:val="20"/>
          <w:szCs w:val="20"/>
        </w:rPr>
        <w:t>When assessing whether the hypothetical performance is relevant to the likely financial situation and investment objectives, KCD will consider:</w:t>
      </w:r>
    </w:p>
    <w:p>
      <w:pPr>
        <w:numPr>
          <w:ilvl w:val="0"/>
          <w:numId w:val="529"/>
        </w:numPr>
        <w:spacing w:before="200"/>
        <w:ind w:left="720" w:hanging="192"/>
        <w:jc w:val="left"/>
        <w:rPr>
          <w:rFonts w:eastAsia="Arial" w:cs="Arial"/>
          <w:sz w:val="20"/>
          <w:szCs w:val="20"/>
        </w:rPr>
      </w:pPr>
      <w:r>
        <w:rPr>
          <w:rFonts w:eastAsia="Arial" w:cs="Arial"/>
          <w:sz w:val="20"/>
          <w:szCs w:val="20"/>
        </w:rPr>
        <w:t>whether the recipient of the hypothetical performance information is an existing client of KCD;</w:t>
      </w:r>
    </w:p>
    <w:p>
      <w:pPr>
        <w:numPr>
          <w:ilvl w:val="0"/>
          <w:numId w:val="529"/>
        </w:numPr>
        <w:ind w:left="720" w:hanging="192"/>
        <w:jc w:val="left"/>
        <w:rPr>
          <w:rFonts w:eastAsia="Arial" w:cs="Arial"/>
          <w:sz w:val="20"/>
          <w:szCs w:val="20"/>
        </w:rPr>
      </w:pPr>
      <w:r>
        <w:rPr>
          <w:rFonts w:eastAsia="Arial" w:cs="Arial"/>
          <w:sz w:val="20"/>
          <w:szCs w:val="20"/>
        </w:rPr>
        <w:t>the net worth or investing experience of the recipients;</w:t>
      </w:r>
    </w:p>
    <w:p>
      <w:pPr>
        <w:numPr>
          <w:ilvl w:val="0"/>
          <w:numId w:val="529"/>
        </w:numPr>
        <w:ind w:left="720" w:hanging="192"/>
        <w:jc w:val="left"/>
        <w:rPr>
          <w:rFonts w:eastAsia="Arial" w:cs="Arial"/>
          <w:sz w:val="20"/>
          <w:szCs w:val="20"/>
        </w:rPr>
      </w:pPr>
      <w:r>
        <w:rPr>
          <w:rFonts w:eastAsia="Arial" w:cs="Arial"/>
          <w:sz w:val="20"/>
          <w:szCs w:val="20"/>
        </w:rPr>
        <w:t>how complex the performance is;</w:t>
      </w:r>
    </w:p>
    <w:p>
      <w:pPr>
        <w:numPr>
          <w:ilvl w:val="0"/>
          <w:numId w:val="529"/>
        </w:numPr>
        <w:ind w:left="720" w:hanging="192"/>
        <w:jc w:val="left"/>
        <w:rPr>
          <w:rFonts w:eastAsia="Arial" w:cs="Arial"/>
          <w:sz w:val="20"/>
          <w:szCs w:val="20"/>
        </w:rPr>
      </w:pPr>
      <w:r>
        <w:rPr>
          <w:rFonts w:eastAsia="Arial" w:cs="Arial"/>
          <w:sz w:val="20"/>
          <w:szCs w:val="20"/>
        </w:rPr>
        <w:t>how easily risks and assumptions can be explained;</w:t>
      </w:r>
    </w:p>
    <w:p>
      <w:pPr>
        <w:numPr>
          <w:ilvl w:val="0"/>
          <w:numId w:val="529"/>
        </w:numPr>
        <w:ind w:left="720" w:hanging="192"/>
        <w:jc w:val="left"/>
        <w:rPr>
          <w:rFonts w:eastAsia="Arial" w:cs="Arial"/>
          <w:sz w:val="20"/>
          <w:szCs w:val="20"/>
        </w:rPr>
      </w:pPr>
      <w:r>
        <w:rPr>
          <w:rFonts w:eastAsia="Arial" w:cs="Arial"/>
          <w:sz w:val="20"/>
          <w:szCs w:val="20"/>
        </w:rPr>
        <w:t>whether the recipients are in one or more of the above categories; and</w:t>
      </w:r>
    </w:p>
    <w:p>
      <w:pPr>
        <w:numPr>
          <w:ilvl w:val="0"/>
          <w:numId w:val="529"/>
        </w:numPr>
        <w:spacing w:after="200"/>
        <w:ind w:left="720" w:hanging="192"/>
        <w:jc w:val="left"/>
        <w:rPr>
          <w:rFonts w:eastAsia="Arial" w:cs="Arial"/>
          <w:sz w:val="20"/>
          <w:szCs w:val="20"/>
        </w:rPr>
      </w:pPr>
      <w:r>
        <w:rPr>
          <w:rFonts w:eastAsia="Arial" w:cs="Arial"/>
          <w:sz w:val="20"/>
          <w:szCs w:val="20"/>
        </w:rPr>
        <w:t>whether the recipients are natural persons or sophisticated financial institutions.</w:t>
      </w:r>
    </w:p>
    <w:p>
      <w:pPr>
        <w:pStyle w:val="normal0"/>
        <w:spacing w:before="200" w:after="200"/>
        <w:rPr>
          <w:rFonts w:eastAsia="Arial" w:cs="Arial"/>
          <w:sz w:val="20"/>
          <w:szCs w:val="20"/>
        </w:rPr>
      </w:pPr>
      <w:r>
        <w:rPr>
          <w:rFonts w:eastAsia="Arial" w:cs="Arial"/>
          <w:b/>
          <w:bCs/>
          <w:sz w:val="20"/>
          <w:szCs w:val="20"/>
        </w:rPr>
        <w:t>Hypothetical Performance Calculation</w:t>
      </w:r>
    </w:p>
    <w:p>
      <w:pPr>
        <w:pStyle w:val="normal0"/>
        <w:spacing w:before="200" w:after="200"/>
        <w:rPr>
          <w:rFonts w:eastAsia="Arial" w:cs="Arial"/>
          <w:sz w:val="20"/>
          <w:szCs w:val="20"/>
        </w:rPr>
      </w:pPr>
      <w:r>
        <w:rPr>
          <w:rFonts w:eastAsia="Arial" w:cs="Arial"/>
          <w:sz w:val="20"/>
          <w:szCs w:val="20"/>
        </w:rPr>
        <w:t>KCD will calculate hypothetical performance in a consistent manner. The following methods of calculating hypothetical performance are permitted:</w:t>
      </w:r>
    </w:p>
    <w:p>
      <w:pPr>
        <w:numPr>
          <w:ilvl w:val="0"/>
          <w:numId w:val="530"/>
        </w:numPr>
        <w:spacing w:before="200"/>
        <w:ind w:left="720" w:hanging="192"/>
        <w:jc w:val="left"/>
        <w:rPr>
          <w:rFonts w:eastAsia="Arial" w:cs="Arial"/>
          <w:sz w:val="20"/>
          <w:szCs w:val="20"/>
        </w:rPr>
      </w:pPr>
      <w:r>
        <w:rPr>
          <w:rFonts w:eastAsia="Arial" w:cs="Arial"/>
          <w:sz w:val="20"/>
          <w:szCs w:val="20"/>
        </w:rPr>
        <w:t>spread method; and</w:t>
      </w:r>
    </w:p>
    <w:p>
      <w:pPr>
        <w:numPr>
          <w:ilvl w:val="0"/>
          <w:numId w:val="530"/>
        </w:numPr>
        <w:spacing w:after="200"/>
        <w:ind w:left="720" w:hanging="192"/>
        <w:jc w:val="left"/>
        <w:rPr>
          <w:rFonts w:eastAsia="Arial" w:cs="Arial"/>
          <w:sz w:val="20"/>
          <w:szCs w:val="20"/>
        </w:rPr>
      </w:pPr>
      <w:r>
        <w:rPr>
          <w:rFonts w:eastAsia="Arial" w:cs="Arial"/>
          <w:sz w:val="20"/>
          <w:szCs w:val="20"/>
        </w:rPr>
        <w:t>ratio method.</w:t>
      </w:r>
    </w:p>
    <w:p>
      <w:pPr>
        <w:pStyle w:val="normal0"/>
        <w:spacing w:before="200" w:after="200"/>
        <w:rPr>
          <w:rFonts w:eastAsia="Arial" w:cs="Arial"/>
          <w:sz w:val="20"/>
          <w:szCs w:val="20"/>
        </w:rPr>
      </w:pPr>
      <w:r>
        <w:rPr>
          <w:rFonts w:eastAsia="Arial" w:cs="Arial"/>
          <w:b/>
          <w:bCs/>
          <w:sz w:val="20"/>
          <w:szCs w:val="20"/>
        </w:rPr>
        <w:t>Records</w:t>
      </w:r>
    </w:p>
    <w:p>
      <w:pPr>
        <w:pStyle w:val="normal0"/>
        <w:spacing w:before="200" w:after="200"/>
        <w:rPr>
          <w:rFonts w:eastAsia="Arial" w:cs="Arial"/>
          <w:sz w:val="20"/>
          <w:szCs w:val="20"/>
        </w:rPr>
      </w:pPr>
      <w:r>
        <w:rPr>
          <w:rFonts w:eastAsia="Arial" w:cs="Arial"/>
          <w:sz w:val="20"/>
          <w:szCs w:val="20"/>
        </w:rPr>
        <w:t xml:space="preserve">KCD shall maintain a record of: </w:t>
      </w:r>
    </w:p>
    <w:p>
      <w:pPr>
        <w:numPr>
          <w:ilvl w:val="0"/>
          <w:numId w:val="531"/>
        </w:numPr>
        <w:spacing w:before="200"/>
        <w:ind w:left="720" w:hanging="192"/>
        <w:jc w:val="left"/>
        <w:rPr>
          <w:rFonts w:eastAsia="Arial" w:cs="Arial"/>
          <w:sz w:val="20"/>
          <w:szCs w:val="20"/>
        </w:rPr>
      </w:pPr>
      <w:r>
        <w:rPr>
          <w:rFonts w:eastAsia="Arial" w:cs="Arial"/>
          <w:sz w:val="20"/>
          <w:szCs w:val="20"/>
        </w:rPr>
        <w:t>who the intended audience each time it disseminates hypothetical performance information;</w:t>
      </w:r>
    </w:p>
    <w:p>
      <w:pPr>
        <w:numPr>
          <w:ilvl w:val="0"/>
          <w:numId w:val="531"/>
        </w:numPr>
        <w:ind w:left="720" w:hanging="192"/>
        <w:jc w:val="left"/>
        <w:rPr>
          <w:rFonts w:eastAsia="Arial" w:cs="Arial"/>
          <w:sz w:val="20"/>
          <w:szCs w:val="20"/>
        </w:rPr>
      </w:pPr>
      <w:r>
        <w:rPr>
          <w:rFonts w:eastAsia="Arial" w:cs="Arial"/>
          <w:sz w:val="20"/>
          <w:szCs w:val="20"/>
        </w:rPr>
        <w:t>method used to calculate hypothetical performance; and</w:t>
      </w:r>
    </w:p>
    <w:p>
      <w:pPr>
        <w:numPr>
          <w:ilvl w:val="0"/>
          <w:numId w:val="531"/>
        </w:numPr>
        <w:spacing w:after="200"/>
        <w:ind w:left="720" w:hanging="192"/>
        <w:jc w:val="left"/>
        <w:rPr>
          <w:rFonts w:eastAsia="Arial" w:cs="Arial"/>
          <w:sz w:val="20"/>
          <w:szCs w:val="20"/>
        </w:rPr>
      </w:pPr>
      <w:r>
        <w:rPr>
          <w:rFonts w:eastAsia="Arial" w:cs="Arial"/>
          <w:sz w:val="20"/>
          <w:szCs w:val="20"/>
        </w:rPr>
        <w:t>calculations of hypothetical performance.</w:t>
      </w:r>
    </w:p>
    <w:p>
      <w:bookmarkEnd w:id="601"/>
      <w:bookmarkStart w:id="602" w:name="Sec_Chp_061016102254625_265012"/>
    </w:p>
    <w:p>
      <w:pPr>
        <w:pStyle w:val="Heading4"/>
      </w:pPr>
      <w:r>
        <w:t>9.4.3.2 Performance Characteristics Advertisements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KCD may advertise or otherwise disseminate information that has been called "performance characteristics" by the SEC and others. Performance characteristics examples include yield, coupon rate, contribution to return, volatility, sector or geographic returns, attribution analyses, the Sharpe ratio and the Sortino ratio. The SEC has taken the position that performance characteristics are "performance" under Rule 206(4)-1, the performance rule. However, the SEC has recognized that calculating these characteristics, net of fees and expenses may be impossible or lead to misleading or confusing results. Therefore, the SEC permits the presentation of performance characteristics without complying to Rule 206(4)-1 including its net of fees conditions provided certain conditions are met.</w:t>
      </w:r>
    </w:p>
    <w:p>
      <w:pPr>
        <w:pStyle w:val="normal0"/>
        <w:spacing w:before="200" w:after="200"/>
        <w:rPr>
          <w:rFonts w:eastAsia="Arial" w:cs="Arial"/>
          <w:sz w:val="20"/>
          <w:szCs w:val="20"/>
        </w:rPr>
      </w:pPr>
      <w:r>
        <w:rPr>
          <w:rFonts w:eastAsia="Arial" w:cs="Arial"/>
          <w:sz w:val="20"/>
          <w:szCs w:val="20"/>
        </w:rPr>
        <w:t>When advertising or otherwise presenting performance characteristics without netting fees, KCD shall:</w:t>
      </w:r>
    </w:p>
    <w:p>
      <w:pPr>
        <w:numPr>
          <w:ilvl w:val="0"/>
          <w:numId w:val="532"/>
        </w:numPr>
        <w:spacing w:before="200"/>
        <w:ind w:left="720" w:hanging="267"/>
        <w:jc w:val="left"/>
        <w:rPr>
          <w:rFonts w:eastAsia="Arial" w:cs="Arial"/>
          <w:sz w:val="20"/>
          <w:szCs w:val="20"/>
        </w:rPr>
      </w:pPr>
      <w:r>
        <w:rPr>
          <w:rFonts w:eastAsia="Arial" w:cs="Arial"/>
          <w:sz w:val="20"/>
          <w:szCs w:val="20"/>
        </w:rPr>
        <w:t>State that the gross characteristic is being calculated without the deduction of fees and expenses;</w:t>
      </w:r>
    </w:p>
    <w:p>
      <w:pPr>
        <w:numPr>
          <w:ilvl w:val="0"/>
          <w:numId w:val="532"/>
        </w:numPr>
        <w:ind w:left="720" w:hanging="267"/>
        <w:jc w:val="left"/>
        <w:rPr>
          <w:rFonts w:eastAsia="Arial" w:cs="Arial"/>
          <w:sz w:val="20"/>
          <w:szCs w:val="20"/>
        </w:rPr>
      </w:pPr>
      <w:r>
        <w:rPr>
          <w:rFonts w:eastAsia="Arial" w:cs="Arial"/>
          <w:sz w:val="20"/>
          <w:szCs w:val="20"/>
        </w:rPr>
        <w:t>Accompany the characteristic presentation with the total portfolio's gross and net performance consistent with the requirements of Rule 206(4)-1;</w:t>
      </w:r>
    </w:p>
    <w:p>
      <w:pPr>
        <w:numPr>
          <w:ilvl w:val="0"/>
          <w:numId w:val="532"/>
        </w:numPr>
        <w:ind w:left="720" w:hanging="267"/>
        <w:jc w:val="left"/>
        <w:rPr>
          <w:rFonts w:eastAsia="Arial" w:cs="Arial"/>
          <w:sz w:val="20"/>
          <w:szCs w:val="20"/>
        </w:rPr>
      </w:pPr>
      <w:r>
        <w:rPr>
          <w:rFonts w:eastAsia="Arial" w:cs="Arial"/>
          <w:sz w:val="20"/>
          <w:szCs w:val="20"/>
        </w:rPr>
        <w:t>Present the total portfolio's gross and net performance with at least equal prominence to, and in a manner designed to facilitate comparison with, the gross characteristic;</w:t>
      </w:r>
    </w:p>
    <w:p>
      <w:pPr>
        <w:numPr>
          <w:ilvl w:val="0"/>
          <w:numId w:val="532"/>
        </w:numPr>
        <w:ind w:left="720" w:hanging="267"/>
        <w:jc w:val="left"/>
        <w:rPr>
          <w:rFonts w:eastAsia="Arial" w:cs="Arial"/>
          <w:sz w:val="20"/>
          <w:szCs w:val="20"/>
        </w:rPr>
      </w:pPr>
      <w:r>
        <w:rPr>
          <w:rFonts w:eastAsia="Arial" w:cs="Arial"/>
          <w:sz w:val="20"/>
          <w:szCs w:val="20"/>
        </w:rPr>
        <w:t>Ensure that the gross and net performance of the total portfolio is calculated over a period that includes the entire period over which the characteristic is calculated; and</w:t>
      </w:r>
    </w:p>
    <w:p>
      <w:pPr>
        <w:numPr>
          <w:ilvl w:val="0"/>
          <w:numId w:val="532"/>
        </w:numPr>
        <w:spacing w:after="200"/>
        <w:ind w:left="720" w:hanging="267"/>
        <w:jc w:val="left"/>
        <w:rPr>
          <w:rFonts w:eastAsia="Arial" w:cs="Arial"/>
          <w:sz w:val="20"/>
          <w:szCs w:val="20"/>
        </w:rPr>
      </w:pPr>
      <w:r>
        <w:rPr>
          <w:rFonts w:eastAsia="Arial" w:cs="Arial"/>
          <w:sz w:val="20"/>
          <w:szCs w:val="20"/>
        </w:rPr>
        <w:t>Disclose the period that the portfolio characteristic covers.</w:t>
      </w:r>
    </w:p>
    <w:p>
      <w:bookmarkEnd w:id="602"/>
      <w:bookmarkStart w:id="603" w:name="Sec_Chp_061016102254625_061016102254875"/>
    </w:p>
    <w:p>
      <w:pPr>
        <w:pStyle w:val="Heading4"/>
      </w:pPr>
      <w:r>
        <w:t>9.4.3.3 One-on-One Presentations</w:t>
      </w:r>
    </w:p>
    <w:p/>
    <w:p>
      <w:pPr>
        <w:rPr>
          <w:rFonts w:eastAsia="Arial" w:cs="Arial"/>
          <w:sz w:val="16"/>
          <w:szCs w:val="16"/>
        </w:rPr>
      </w:pPr>
      <w:r>
        <w:rPr>
          <w:rFonts w:eastAsia="Arial" w:cs="Arial"/>
          <w:sz w:val="16"/>
          <w:szCs w:val="16"/>
        </w:rPr>
        <w:t>[Investment Advisers Act of 1940 Rule 206(4)-1]</w:t>
      </w:r>
    </w:p>
    <w:p/>
    <w:p>
      <w:pPr>
        <w:spacing w:after="200"/>
        <w:rPr>
          <w:rFonts w:eastAsia="Arial" w:cs="Arial"/>
          <w:sz w:val="20"/>
          <w:szCs w:val="20"/>
        </w:rPr>
      </w:pPr>
      <w:r>
        <w:rPr>
          <w:rFonts w:eastAsia="Arial" w:cs="Arial"/>
          <w:sz w:val="20"/>
          <w:szCs w:val="20"/>
        </w:rPr>
        <w:t>KCD may engage in routine investor communications and have personal conversations with prospective investors, without subjecting those communications to the advertisement requirements in these compliance procedures and Rule 206(4)-1.</w:t>
      </w:r>
    </w:p>
    <w:p>
      <w:pPr>
        <w:spacing w:before="200" w:after="200"/>
        <w:rPr>
          <w:rFonts w:eastAsia="Arial" w:cs="Arial"/>
          <w:sz w:val="20"/>
          <w:szCs w:val="20"/>
        </w:rPr>
      </w:pPr>
      <w:r>
        <w:rPr>
          <w:rFonts w:eastAsia="Arial" w:cs="Arial"/>
          <w:b/>
          <w:bCs/>
          <w:sz w:val="20"/>
          <w:szCs w:val="20"/>
        </w:rPr>
        <w:t>One-On-One Presentations and Advertisement</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One-on-one communications tailored to a single client or investor are excluded from the requirements of Rule 206(4)-1, the advertising rule, unless the communications include hypothetical performance.</w:t>
            </w:r>
          </w:p>
        </w:tc>
      </w:tr>
    </w:tbl>
    <w:p>
      <w:pPr>
        <w:rPr>
          <w:rFonts w:eastAsia="Arial" w:cs="Arial"/>
          <w:sz w:val="20"/>
          <w:szCs w:val="20"/>
        </w:rPr>
      </w:pPr>
    </w:p>
    <w:p>
      <w:pPr>
        <w:spacing w:before="200" w:after="200"/>
        <w:rPr>
          <w:rFonts w:eastAsia="Arial" w:cs="Arial"/>
          <w:sz w:val="20"/>
          <w:szCs w:val="20"/>
        </w:rPr>
      </w:pPr>
      <w:r>
        <w:rPr>
          <w:rFonts w:eastAsia="Arial" w:cs="Arial"/>
          <w:sz w:val="20"/>
          <w:szCs w:val="20"/>
        </w:rPr>
        <w:t>KCD will not deem a one-on-one presentation to be an "advertisement" for purposes of these compliance procedures and Rule 206(4)-1 unless such one-on-one presentation is:</w:t>
      </w:r>
    </w:p>
    <w:p>
      <w:pPr>
        <w:numPr>
          <w:ilvl w:val="0"/>
          <w:numId w:val="533"/>
        </w:numPr>
        <w:spacing w:before="200"/>
        <w:ind w:left="720" w:hanging="192"/>
        <w:jc w:val="left"/>
        <w:rPr>
          <w:rFonts w:eastAsia="Arial" w:cs="Arial"/>
          <w:sz w:val="20"/>
          <w:szCs w:val="20"/>
        </w:rPr>
      </w:pPr>
      <w:r>
        <w:rPr>
          <w:rFonts w:eastAsia="Arial" w:cs="Arial"/>
          <w:sz w:val="20"/>
          <w:szCs w:val="20"/>
        </w:rPr>
        <w:t>a compensated testimonial or endorsements; or</w:t>
      </w:r>
    </w:p>
    <w:p>
      <w:pPr>
        <w:numPr>
          <w:ilvl w:val="0"/>
          <w:numId w:val="533"/>
        </w:numPr>
        <w:spacing w:after="200"/>
        <w:ind w:left="720" w:hanging="192"/>
        <w:jc w:val="left"/>
        <w:rPr>
          <w:rFonts w:eastAsia="Arial" w:cs="Arial"/>
          <w:sz w:val="20"/>
          <w:szCs w:val="20"/>
        </w:rPr>
      </w:pPr>
      <w:r>
        <w:rPr>
          <w:rFonts w:eastAsia="Arial" w:cs="Arial"/>
          <w:sz w:val="20"/>
          <w:szCs w:val="20"/>
        </w:rPr>
        <w:t>a communication that includes hypothetical performance information.</w:t>
      </w:r>
    </w:p>
    <w:p>
      <w:pPr>
        <w:spacing w:before="200" w:after="200"/>
        <w:rPr>
          <w:rFonts w:eastAsia="Arial" w:cs="Arial"/>
          <w:sz w:val="20"/>
          <w:szCs w:val="20"/>
        </w:rPr>
      </w:pPr>
      <w:r>
        <w:rPr>
          <w:rFonts w:eastAsia="Arial" w:cs="Arial"/>
          <w:sz w:val="20"/>
          <w:szCs w:val="20"/>
        </w:rPr>
        <w:t>For purposes of this exclusion, the term "person" is to mean one or more investors that share the same household. For example, a communication to a married couple that shares the same household would qualify for the one-on-one exclusion.</w:t>
      </w:r>
    </w:p>
    <w:p>
      <w:pPr>
        <w:spacing w:before="200" w:after="200"/>
        <w:rPr>
          <w:rFonts w:eastAsia="Arial" w:cs="Arial"/>
          <w:sz w:val="20"/>
          <w:szCs w:val="20"/>
        </w:rPr>
      </w:pPr>
      <w:r>
        <w:rPr>
          <w:rFonts w:eastAsia="Arial" w:cs="Arial"/>
          <w:sz w:val="20"/>
          <w:szCs w:val="20"/>
        </w:rPr>
        <w:t>The [Chief Compliance Officer] shall make sure that a communication nominally directed to a single person is actually a communication to more than one person. For example, a communication to clients that contains duplicated inserts as part of that communication may not qualify as a one-on-one-communication. In these circumstances, the duplicated information is an advertisement because it is sent to more than one person and would not qualify for the exclusion.</w:t>
      </w:r>
    </w:p>
    <w:p>
      <w:pPr>
        <w:spacing w:before="200" w:after="200"/>
        <w:rPr>
          <w:rFonts w:eastAsia="Arial" w:cs="Arial"/>
          <w:sz w:val="20"/>
          <w:szCs w:val="20"/>
        </w:rPr>
      </w:pPr>
      <w:r>
        <w:rPr>
          <w:rFonts w:eastAsia="Arial" w:cs="Arial"/>
          <w:b/>
          <w:bCs/>
          <w:sz w:val="20"/>
          <w:szCs w:val="20"/>
        </w:rPr>
        <w:t>Communication in One-On-One Situations</w:t>
      </w:r>
    </w:p>
    <w:p>
      <w:pPr>
        <w:pStyle w:val="normal0"/>
        <w:spacing w:before="200" w:after="200"/>
        <w:rPr>
          <w:rFonts w:eastAsia="Arial" w:cs="Arial"/>
          <w:sz w:val="20"/>
          <w:szCs w:val="20"/>
        </w:rPr>
      </w:pPr>
      <w:r>
        <w:rPr>
          <w:rFonts w:eastAsia="Arial" w:cs="Arial"/>
          <w:sz w:val="20"/>
          <w:szCs w:val="20"/>
        </w:rPr>
        <w:t xml:space="preserve">When an Adviser Representative of KCD presents KCD's performance results to clients in one-on-one meetings, he or she will make the following disclosures: </w:t>
      </w:r>
    </w:p>
    <w:p>
      <w:pPr>
        <w:numPr>
          <w:ilvl w:val="0"/>
          <w:numId w:val="534"/>
        </w:numPr>
        <w:spacing w:before="200"/>
        <w:ind w:left="720" w:hanging="267"/>
        <w:jc w:val="left"/>
        <w:rPr>
          <w:rFonts w:eastAsia="Arial" w:cs="Arial"/>
          <w:sz w:val="20"/>
          <w:szCs w:val="20"/>
        </w:rPr>
      </w:pPr>
      <w:r>
        <w:rPr>
          <w:rFonts w:eastAsia="Arial" w:cs="Arial"/>
          <w:sz w:val="20"/>
          <w:szCs w:val="20"/>
        </w:rPr>
        <w:t>The performance fees (if presented in a gross manner) do not reflect the deduction of advisory fees;</w:t>
      </w:r>
    </w:p>
    <w:p>
      <w:pPr>
        <w:numPr>
          <w:ilvl w:val="0"/>
          <w:numId w:val="534"/>
        </w:numPr>
        <w:ind w:left="720" w:hanging="267"/>
        <w:jc w:val="left"/>
        <w:rPr>
          <w:rFonts w:eastAsia="Arial" w:cs="Arial"/>
          <w:sz w:val="20"/>
          <w:szCs w:val="20"/>
        </w:rPr>
      </w:pPr>
      <w:r>
        <w:rPr>
          <w:rFonts w:eastAsia="Arial" w:cs="Arial"/>
          <w:sz w:val="20"/>
          <w:szCs w:val="20"/>
        </w:rPr>
        <w:t>The client's returns will be reduced by the advisory fee and any other expenses the client may incur in the management of the account;</w:t>
      </w:r>
    </w:p>
    <w:p>
      <w:pPr>
        <w:numPr>
          <w:ilvl w:val="0"/>
          <w:numId w:val="534"/>
        </w:numPr>
        <w:ind w:left="720" w:hanging="267"/>
        <w:jc w:val="left"/>
        <w:rPr>
          <w:rFonts w:eastAsia="Arial" w:cs="Arial"/>
          <w:sz w:val="20"/>
          <w:szCs w:val="20"/>
        </w:rPr>
      </w:pPr>
      <w:r>
        <w:rPr>
          <w:rFonts w:eastAsia="Arial" w:cs="Arial"/>
          <w:sz w:val="20"/>
          <w:szCs w:val="20"/>
        </w:rPr>
        <w:t xml:space="preserve">KCD's advisory fees are disclosed in KCD's Brochure (Part 2A); and </w:t>
      </w:r>
    </w:p>
    <w:p>
      <w:pPr>
        <w:numPr>
          <w:ilvl w:val="0"/>
          <w:numId w:val="534"/>
        </w:numPr>
        <w:spacing w:after="200"/>
        <w:ind w:left="720" w:hanging="267"/>
        <w:jc w:val="left"/>
        <w:rPr>
          <w:rFonts w:eastAsia="Arial" w:cs="Arial"/>
          <w:sz w:val="20"/>
          <w:szCs w:val="20"/>
        </w:rPr>
      </w:pPr>
      <w:r>
        <w:rPr>
          <w:rFonts w:eastAsia="Arial" w:cs="Arial"/>
          <w:sz w:val="20"/>
          <w:szCs w:val="20"/>
        </w:rPr>
        <w:t>A chart, table, narrative or other information showing the effect of its advisory fee, compounded over time, on the total value of a client's portfolio.</w:t>
      </w:r>
    </w:p>
    <w:p>
      <w:pPr>
        <w:pStyle w:val="normal0"/>
        <w:spacing w:before="200" w:after="200"/>
        <w:rPr>
          <w:rFonts w:eastAsia="Arial" w:cs="Arial"/>
          <w:sz w:val="20"/>
          <w:szCs w:val="20"/>
        </w:rPr>
      </w:pPr>
      <w:r>
        <w:rPr>
          <w:rFonts w:eastAsia="Arial" w:cs="Arial"/>
          <w:sz w:val="20"/>
          <w:szCs w:val="20"/>
        </w:rPr>
        <w:t>A brochure used in one-on-one marketing pieces must contain a legend similar to the following:</w:t>
      </w:r>
    </w:p>
    <w:p>
      <w:pPr>
        <w:pStyle w:val="normal0"/>
        <w:spacing w:before="200" w:after="200"/>
        <w:rPr>
          <w:rFonts w:eastAsia="Arial" w:cs="Arial"/>
          <w:sz w:val="20"/>
          <w:szCs w:val="20"/>
        </w:rPr>
      </w:pPr>
      <w:r>
        <w:rPr>
          <w:rFonts w:eastAsia="Arial" w:cs="Arial"/>
          <w:i/>
          <w:iCs/>
          <w:sz w:val="20"/>
          <w:szCs w:val="20"/>
        </w:rPr>
        <w:t>"The performance presented by KCD is before deducting investment advisory fees but is net of transaction costs. Client returns will be reduced by advisory fees and other expenses. The client is referred to KCD's Brochure for a full disclosure of the fee schedule. As fees are deducted quarterly, the compounding effect will be to increase the impact of the fee by an amount directly related to the gross account performance. For example, on an account with a 0.5% fee, and gross performance of 20% over one year, the compounding effect of the fee will result in performance of approximately 19.4%. A $10,000 initial investment would grow to approximately $14,256 gross of fees, versus $14,000 net of fees, over a two year period."</w:t>
      </w:r>
    </w:p>
    <w:p>
      <w:pPr>
        <w:spacing w:before="200" w:after="200"/>
        <w:rPr>
          <w:rFonts w:eastAsia="Arial" w:cs="Arial"/>
          <w:sz w:val="20"/>
          <w:szCs w:val="20"/>
        </w:rPr>
      </w:pPr>
      <w:r>
        <w:rPr>
          <w:rFonts w:eastAsia="Arial" w:cs="Arial"/>
          <w:b/>
          <w:bCs/>
          <w:sz w:val="20"/>
          <w:szCs w:val="20"/>
        </w:rPr>
        <w:t>Hypothetical Performance</w:t>
      </w:r>
    </w:p>
    <w:p>
      <w:pPr>
        <w:spacing w:before="200" w:after="200"/>
        <w:rPr>
          <w:rFonts w:eastAsia="Arial" w:cs="Arial"/>
          <w:sz w:val="20"/>
          <w:szCs w:val="20"/>
        </w:rPr>
      </w:pPr>
      <w:r>
        <w:rPr>
          <w:rFonts w:eastAsia="Arial" w:cs="Arial"/>
          <w:sz w:val="20"/>
          <w:szCs w:val="20"/>
        </w:rPr>
        <w:t>An Adviser Representative of KCD will not include hypothetical performance information in the one-on-one communication unless in response to an unsolicited investor request or to an investor of a private fund advised by KCD.</w:t>
      </w:r>
    </w:p>
    <w:p>
      <w:bookmarkEnd w:id="603"/>
      <w:bookmarkStart w:id="604" w:name="Sec_Chp_061016102254625_061016102254890"/>
    </w:p>
    <w:p>
      <w:pPr>
        <w:pStyle w:val="Heading4"/>
      </w:pPr>
      <w:r>
        <w:t xml:space="preserve">9.4.3.4 References to Current and Specific Past Recommendations </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From time to time, KCD will have made or is currently making an excellent specific investment recommendation and naturally will want to advertise that fact. For example, an investment adviser would like to advertise the fact that it recommended the purchase of Microsoft shares in 1988. KCD shall follow the procedures set forth in this section that are designed to ensure the presentation of current and past recommendations are made in a fair and balanced manner.</w:t>
      </w:r>
    </w:p>
    <w:p>
      <w:pPr>
        <w:spacing w:before="200" w:after="200"/>
        <w:rPr>
          <w:rFonts w:eastAsia="Arial" w:cs="Arial"/>
          <w:sz w:val="20"/>
          <w:szCs w:val="20"/>
        </w:rPr>
      </w:pPr>
      <w:r>
        <w:rPr>
          <w:rFonts w:eastAsia="Arial" w:cs="Arial"/>
          <w:sz w:val="20"/>
          <w:szCs w:val="20"/>
        </w:rPr>
        <w:t>Rule 206(4)-1, the new SEC advertisement rule, does not contain any provisions directly regulating the advertising of current or past recommendations. The SEC in the release adopting that Rule indicated that the methods described in past staff no-action letters on presenting past specific recommendations could be a way for an adviser to meet the fair and balanced standard, but not the only way. Therefore, it is appropriate for these procedures which govern the inclusion of current and past recommendations to base procedures on conditions to certain SEC no-action letters.</w:t>
      </w:r>
    </w:p>
    <w:p>
      <w:bookmarkEnd w:id="604"/>
      <w:bookmarkStart w:id="605" w:name="Sec_Chp_061016102254625_0610161022548909"/>
    </w:p>
    <w:p>
      <w:pPr>
        <w:pStyle w:val="Heading5"/>
      </w:pPr>
      <w:r>
        <w:t>9.4.3.4.1 Inclusion of Current and Past Recommendations in Advertisements</w:t>
      </w:r>
    </w:p>
    <w:p/>
    <w:p>
      <w:pPr>
        <w:rPr>
          <w:rFonts w:eastAsia="Arial" w:cs="Arial"/>
          <w:sz w:val="16"/>
          <w:szCs w:val="16"/>
        </w:rPr>
      </w:pPr>
      <w:r>
        <w:rPr>
          <w:rFonts w:eastAsia="Arial" w:cs="Arial"/>
          <w:sz w:val="16"/>
          <w:szCs w:val="16"/>
        </w:rPr>
        <w:t>[Investment Advisers Act of 1940 Rule 206(4)-1(a)(5)]</w:t>
      </w:r>
    </w:p>
    <w:p/>
    <w:p>
      <w:pPr>
        <w:pStyle w:val="normal0"/>
        <w:spacing w:after="200"/>
        <w:rPr>
          <w:rFonts w:eastAsia="Arial" w:cs="Arial"/>
          <w:sz w:val="20"/>
          <w:szCs w:val="20"/>
        </w:rPr>
      </w:pPr>
      <w:r>
        <w:rPr>
          <w:rFonts w:eastAsia="Arial" w:cs="Arial"/>
          <w:sz w:val="20"/>
          <w:szCs w:val="20"/>
        </w:rPr>
        <w:t>KCD will advertise current or past specific recommendations only if such recommendations are presented in a way that does not violate any of the general conditions of Rule 206(4)-1 and the advertisement contains the following information:</w:t>
      </w:r>
    </w:p>
    <w:p>
      <w:pPr>
        <w:numPr>
          <w:ilvl w:val="0"/>
          <w:numId w:val="535"/>
        </w:numPr>
        <w:spacing w:before="200"/>
        <w:ind w:left="720" w:hanging="267"/>
        <w:jc w:val="left"/>
        <w:rPr>
          <w:rFonts w:eastAsia="Arial" w:cs="Arial"/>
          <w:sz w:val="20"/>
          <w:szCs w:val="20"/>
        </w:rPr>
      </w:pPr>
      <w:r>
        <w:rPr>
          <w:rFonts w:eastAsia="Arial" w:cs="Arial"/>
          <w:sz w:val="20"/>
          <w:szCs w:val="20"/>
        </w:rPr>
        <w:t>All recommendations (or offer to supply such information upon request) made by the adviser within the preceding year;</w:t>
      </w:r>
    </w:p>
    <w:p>
      <w:pPr>
        <w:numPr>
          <w:ilvl w:val="0"/>
          <w:numId w:val="535"/>
        </w:numPr>
        <w:ind w:left="720" w:hanging="267"/>
        <w:jc w:val="left"/>
        <w:rPr>
          <w:rFonts w:eastAsia="Arial" w:cs="Arial"/>
          <w:sz w:val="20"/>
          <w:szCs w:val="20"/>
        </w:rPr>
      </w:pPr>
      <w:r>
        <w:rPr>
          <w:rFonts w:eastAsia="Arial" w:cs="Arial"/>
          <w:sz w:val="20"/>
          <w:szCs w:val="20"/>
        </w:rPr>
        <w:t>The name of each security recommended;</w:t>
      </w:r>
    </w:p>
    <w:p>
      <w:pPr>
        <w:numPr>
          <w:ilvl w:val="0"/>
          <w:numId w:val="535"/>
        </w:numPr>
        <w:ind w:left="720" w:hanging="267"/>
        <w:jc w:val="left"/>
        <w:rPr>
          <w:rFonts w:eastAsia="Arial" w:cs="Arial"/>
          <w:sz w:val="20"/>
          <w:szCs w:val="20"/>
        </w:rPr>
      </w:pPr>
      <w:r>
        <w:rPr>
          <w:rFonts w:eastAsia="Arial" w:cs="Arial"/>
          <w:sz w:val="20"/>
          <w:szCs w:val="20"/>
        </w:rPr>
        <w:t>The date and type (buy/sell) of recommendation;</w:t>
      </w:r>
    </w:p>
    <w:p>
      <w:pPr>
        <w:numPr>
          <w:ilvl w:val="0"/>
          <w:numId w:val="535"/>
        </w:numPr>
        <w:ind w:left="720" w:hanging="267"/>
        <w:jc w:val="left"/>
        <w:rPr>
          <w:rFonts w:eastAsia="Arial" w:cs="Arial"/>
          <w:sz w:val="20"/>
          <w:szCs w:val="20"/>
        </w:rPr>
      </w:pPr>
      <w:r>
        <w:rPr>
          <w:rFonts w:eastAsia="Arial" w:cs="Arial"/>
          <w:sz w:val="20"/>
          <w:szCs w:val="20"/>
        </w:rPr>
        <w:t>The market price of the security at the time of the recommendation;</w:t>
      </w:r>
    </w:p>
    <w:p>
      <w:pPr>
        <w:numPr>
          <w:ilvl w:val="0"/>
          <w:numId w:val="535"/>
        </w:numPr>
        <w:ind w:left="720" w:hanging="267"/>
        <w:jc w:val="left"/>
        <w:rPr>
          <w:rFonts w:eastAsia="Arial" w:cs="Arial"/>
          <w:sz w:val="20"/>
          <w:szCs w:val="20"/>
        </w:rPr>
      </w:pPr>
      <w:r>
        <w:rPr>
          <w:rFonts w:eastAsia="Arial" w:cs="Arial"/>
          <w:sz w:val="20"/>
          <w:szCs w:val="20"/>
        </w:rPr>
        <w:t>The price when the recommendation was acted on;</w:t>
      </w:r>
    </w:p>
    <w:p>
      <w:pPr>
        <w:numPr>
          <w:ilvl w:val="0"/>
          <w:numId w:val="535"/>
        </w:numPr>
        <w:ind w:left="720" w:hanging="267"/>
        <w:jc w:val="left"/>
        <w:rPr>
          <w:rFonts w:eastAsia="Arial" w:cs="Arial"/>
          <w:sz w:val="20"/>
          <w:szCs w:val="20"/>
        </w:rPr>
      </w:pPr>
      <w:r>
        <w:rPr>
          <w:rFonts w:eastAsia="Arial" w:cs="Arial"/>
          <w:sz w:val="20"/>
          <w:szCs w:val="20"/>
        </w:rPr>
        <w:t>The market price as of the most recent date; and</w:t>
      </w:r>
    </w:p>
    <w:p>
      <w:pPr>
        <w:numPr>
          <w:ilvl w:val="0"/>
          <w:numId w:val="535"/>
        </w:numPr>
        <w:spacing w:after="200"/>
        <w:ind w:left="720" w:hanging="267"/>
        <w:jc w:val="left"/>
        <w:rPr>
          <w:rFonts w:eastAsia="Arial" w:cs="Arial"/>
          <w:sz w:val="20"/>
          <w:szCs w:val="20"/>
        </w:rPr>
      </w:pPr>
      <w:r>
        <w:rPr>
          <w:rFonts w:eastAsia="Arial" w:cs="Arial"/>
          <w:sz w:val="20"/>
          <w:szCs w:val="20"/>
        </w:rPr>
        <w:t>A legend that states: "It should not be assumed that recommendations made in the future will be profitable or will equal the performance of the securities in the list."</w:t>
      </w:r>
    </w:p>
    <w:p>
      <w:pPr>
        <w:pStyle w:val="normal0"/>
        <w:spacing w:before="200" w:after="200"/>
        <w:rPr>
          <w:rFonts w:eastAsia="Arial" w:cs="Arial"/>
          <w:sz w:val="20"/>
          <w:szCs w:val="20"/>
        </w:rPr>
      </w:pPr>
      <w:r>
        <w:rPr>
          <w:rFonts w:eastAsia="Arial" w:cs="Arial"/>
          <w:sz w:val="20"/>
          <w:szCs w:val="20"/>
        </w:rPr>
        <w:t>With respect to condition (1), KCD will not advertise current or past specific recommendations even if KCD offers to supply a list of all recommendations. It will only disseminate such an advertisement if the piece contains a list of all of KCD's current or past specific recommendations over the applicable period.</w:t>
      </w:r>
    </w:p>
    <w:p>
      <w:pPr>
        <w:pStyle w:val="normal0"/>
        <w:spacing w:before="200" w:after="200"/>
        <w:rPr>
          <w:rFonts w:eastAsia="Arial" w:cs="Arial"/>
          <w:sz w:val="20"/>
          <w:szCs w:val="20"/>
        </w:rPr>
      </w:pPr>
      <w:r>
        <w:rPr>
          <w:rFonts w:eastAsia="Arial" w:cs="Arial"/>
          <w:sz w:val="20"/>
          <w:szCs w:val="20"/>
        </w:rPr>
        <w:t>KCD will not disseminate an advertisement containing only a list of types of recommendations (</w:t>
      </w:r>
      <w:r>
        <w:rPr>
          <w:rFonts w:eastAsia="Arial" w:cs="Arial"/>
          <w:i/>
          <w:iCs/>
          <w:sz w:val="20"/>
          <w:szCs w:val="20"/>
        </w:rPr>
        <w:t>e.g.,</w:t>
      </w:r>
      <w:r>
        <w:rPr>
          <w:rFonts w:eastAsia="Arial" w:cs="Arial"/>
          <w:sz w:val="20"/>
          <w:szCs w:val="20"/>
        </w:rPr>
        <w:t xml:space="preserve"> only equity recommendations when the piece addresses how KCD manages equity investments). Instead, KCD will present the recommendations of all its accounts (</w:t>
      </w:r>
      <w:r>
        <w:rPr>
          <w:rFonts w:eastAsia="Arial" w:cs="Arial"/>
          <w:i/>
          <w:iCs/>
          <w:sz w:val="20"/>
          <w:szCs w:val="20"/>
        </w:rPr>
        <w:t>e.g.,</w:t>
      </w:r>
      <w:r>
        <w:rPr>
          <w:rFonts w:eastAsia="Arial" w:cs="Arial"/>
          <w:sz w:val="20"/>
          <w:szCs w:val="20"/>
        </w:rPr>
        <w:t xml:space="preserve"> equity, fixed-income and balance) even if the piece focuses only on one type of account.</w:t>
      </w:r>
    </w:p>
    <w:p>
      <w:bookmarkEnd w:id="605"/>
      <w:bookmarkStart w:id="606" w:name="Sec_Chp_061016102254625_061016102254796"/>
    </w:p>
    <w:p>
      <w:pPr>
        <w:pStyle w:val="Heading3"/>
      </w:pPr>
      <w:bookmarkStart w:id="607" w:name="_Toc256000170"/>
      <w:r>
        <w:t>9.4.4 Types of Marketing Activities</w:t>
      </w:r>
      <w:bookmarkEnd w:id="607"/>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engaging in any type of marketing activity, KCD must determine whether such activity is permissible under Rule 206(4)-1 and, if so, whether there are legal restrictions on such activities. All marketing activities are subject to the procedures and restrictions described herein (</w:t>
      </w:r>
      <w:r>
        <w:rPr>
          <w:rFonts w:eastAsia="Arial" w:cs="Arial"/>
          <w:i/>
          <w:iCs/>
          <w:sz w:val="20"/>
          <w:szCs w:val="20"/>
        </w:rPr>
        <w:t>i.e.,</w:t>
      </w:r>
      <w:r>
        <w:rPr>
          <w:rFonts w:eastAsia="Arial" w:cs="Arial"/>
          <w:sz w:val="20"/>
          <w:szCs w:val="20"/>
        </w:rPr>
        <w:t xml:space="preserve"> they may not contain material misrepresentations or be misleading). Each Firm employee is responsible for ensuring that only approved marketing materials are used and that approved marketing materials are not modified without written approval by the CCO.</w:t>
      </w:r>
    </w:p>
    <w:p>
      <w:pPr>
        <w:pStyle w:val="normal0"/>
        <w:spacing w:before="200" w:after="200"/>
        <w:rPr>
          <w:rFonts w:eastAsia="Arial" w:cs="Arial"/>
          <w:sz w:val="20"/>
          <w:szCs w:val="20"/>
        </w:rPr>
      </w:pPr>
      <w:r>
        <w:rPr>
          <w:rFonts w:eastAsia="Arial" w:cs="Arial"/>
          <w:sz w:val="20"/>
          <w:szCs w:val="20"/>
        </w:rPr>
        <w:t>Set forth below are specific marketing activities and the restrictions placed upon those activities.</w:t>
      </w:r>
    </w:p>
    <w:p>
      <w:bookmarkEnd w:id="606"/>
      <w:bookmarkStart w:id="608" w:name="Sec_Chp_061016102254625_061016102254812"/>
    </w:p>
    <w:p>
      <w:pPr>
        <w:pStyle w:val="Heading4"/>
      </w:pPr>
      <w:r>
        <w:t>9.4.4.1 Article Reprints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may desire to distribute copies of articles about itself (from newspapers, magazines, etc.) to clients, including articles that rank KCD based on performance and other criteria. The SEC has in the past permitted an investment adviser to distribute article reprints under certain conditions. </w:t>
      </w:r>
      <w:r>
        <w:rPr>
          <w:rFonts w:eastAsia="Arial" w:cs="Arial"/>
          <w:i/>
          <w:iCs/>
          <w:sz w:val="20"/>
          <w:szCs w:val="20"/>
        </w:rPr>
        <w:t>See Stalker Advisory Services, SEC No-Action Letter (pub. avail. Jan. 18, 1994).</w:t>
      </w:r>
    </w:p>
    <w:p>
      <w:pPr>
        <w:spacing w:before="200" w:after="200"/>
        <w:rPr>
          <w:rFonts w:eastAsia="Arial" w:cs="Arial"/>
          <w:sz w:val="20"/>
          <w:szCs w:val="20"/>
        </w:rPr>
      </w:pPr>
      <w:r>
        <w:rPr>
          <w:rFonts w:eastAsia="Arial" w:cs="Arial"/>
          <w:sz w:val="20"/>
          <w:szCs w:val="20"/>
        </w:rPr>
        <w:t>The SEC adopted comprehensive amendments to Rule 206(4)-1, the advertising rule, in 2020 that suggested that an adviser may disseminate article reprints provided such dissemination satisfies the general conditions of that Rule. The adopting release of Rule 206(4)-1 notes that the SEC in some instances relied on prior no-action letters when formulating its rules. At least one article reprint no-action letter was mentioned in the release adopting Rule 206(4)-1 and the SEC suggested that the use of article reprints is permissible provided that the content of the article and the manner in which it is used does not violate any of the general conditions of that Rule.</w:t>
      </w:r>
    </w:p>
    <w:p>
      <w:pPr>
        <w:pStyle w:val="normal0"/>
        <w:spacing w:before="200" w:after="200"/>
        <w:rPr>
          <w:rFonts w:eastAsia="Arial" w:cs="Arial"/>
          <w:sz w:val="20"/>
          <w:szCs w:val="20"/>
        </w:rPr>
      </w:pPr>
      <w:r>
        <w:rPr>
          <w:rFonts w:eastAsia="Arial" w:cs="Arial"/>
          <w:sz w:val="20"/>
          <w:szCs w:val="20"/>
        </w:rPr>
        <w:t>An Adviser Representative of KCD may disseminate an article only if:</w:t>
      </w:r>
    </w:p>
    <w:p>
      <w:pPr>
        <w:numPr>
          <w:ilvl w:val="0"/>
          <w:numId w:val="536"/>
        </w:numPr>
        <w:spacing w:before="200"/>
        <w:ind w:left="720" w:hanging="267"/>
        <w:jc w:val="left"/>
        <w:rPr>
          <w:rFonts w:eastAsia="Arial" w:cs="Arial"/>
          <w:sz w:val="20"/>
          <w:szCs w:val="20"/>
        </w:rPr>
      </w:pPr>
      <w:r>
        <w:rPr>
          <w:rFonts w:eastAsia="Arial" w:cs="Arial"/>
          <w:sz w:val="20"/>
          <w:szCs w:val="20"/>
        </w:rPr>
        <w:t xml:space="preserve">the dissemination of the article was approved by the [Chief Compliance Officer] and the Advertising Legal Counsel, who shall review it to ensure that it is accurate and not misleading by considering such factors as: </w:t>
      </w:r>
    </w:p>
    <w:p>
      <w:pPr>
        <w:numPr>
          <w:ilvl w:val="1"/>
          <w:numId w:val="536"/>
        </w:numPr>
        <w:ind w:left="1440" w:hanging="220"/>
        <w:jc w:val="left"/>
        <w:rPr>
          <w:rFonts w:eastAsia="Arial" w:cs="Arial"/>
          <w:sz w:val="20"/>
          <w:szCs w:val="20"/>
        </w:rPr>
      </w:pPr>
      <w:r>
        <w:rPr>
          <w:rFonts w:eastAsia="Arial" w:cs="Arial"/>
          <w:sz w:val="20"/>
          <w:szCs w:val="20"/>
        </w:rPr>
        <w:t xml:space="preserve">how long ago the article was printed and whether it continues to be relevant; </w:t>
      </w:r>
    </w:p>
    <w:p>
      <w:pPr>
        <w:numPr>
          <w:ilvl w:val="1"/>
          <w:numId w:val="536"/>
        </w:numPr>
        <w:ind w:left="1440" w:hanging="220"/>
        <w:jc w:val="left"/>
        <w:rPr>
          <w:rFonts w:eastAsia="Arial" w:cs="Arial"/>
          <w:sz w:val="20"/>
          <w:szCs w:val="20"/>
        </w:rPr>
      </w:pPr>
      <w:r>
        <w:rPr>
          <w:rFonts w:eastAsia="Arial" w:cs="Arial"/>
          <w:sz w:val="20"/>
          <w:szCs w:val="20"/>
        </w:rPr>
        <w:t xml:space="preserve">is the article materially accurate; </w:t>
      </w:r>
    </w:p>
    <w:p>
      <w:pPr>
        <w:numPr>
          <w:ilvl w:val="1"/>
          <w:numId w:val="536"/>
        </w:numPr>
        <w:ind w:left="1440" w:hanging="220"/>
        <w:jc w:val="left"/>
        <w:rPr>
          <w:rFonts w:eastAsia="Arial" w:cs="Arial"/>
          <w:sz w:val="20"/>
          <w:szCs w:val="20"/>
        </w:rPr>
      </w:pPr>
      <w:r>
        <w:rPr>
          <w:rFonts w:eastAsia="Arial" w:cs="Arial"/>
          <w:sz w:val="20"/>
          <w:szCs w:val="20"/>
        </w:rPr>
        <w:t xml:space="preserve">is the content relevant to today's markets; </w:t>
      </w:r>
    </w:p>
    <w:p>
      <w:pPr>
        <w:numPr>
          <w:ilvl w:val="1"/>
          <w:numId w:val="536"/>
        </w:numPr>
        <w:ind w:left="1440" w:hanging="220"/>
        <w:jc w:val="left"/>
        <w:rPr>
          <w:rFonts w:eastAsia="Arial" w:cs="Arial"/>
          <w:sz w:val="20"/>
          <w:szCs w:val="20"/>
        </w:rPr>
      </w:pPr>
      <w:r>
        <w:rPr>
          <w:rFonts w:eastAsia="Arial" w:cs="Arial"/>
          <w:sz w:val="20"/>
          <w:szCs w:val="20"/>
        </w:rPr>
        <w:t xml:space="preserve">does KCD still provide the investment management services mentioned in the article, including the particular investment styles; and </w:t>
      </w:r>
    </w:p>
    <w:p>
      <w:pPr>
        <w:numPr>
          <w:ilvl w:val="1"/>
          <w:numId w:val="536"/>
        </w:numPr>
        <w:ind w:left="1440" w:hanging="220"/>
        <w:jc w:val="left"/>
        <w:rPr>
          <w:rFonts w:eastAsia="Arial" w:cs="Arial"/>
          <w:sz w:val="20"/>
          <w:szCs w:val="20"/>
        </w:rPr>
      </w:pPr>
      <w:r>
        <w:rPr>
          <w:rFonts w:eastAsia="Arial" w:cs="Arial"/>
          <w:sz w:val="20"/>
          <w:szCs w:val="20"/>
        </w:rPr>
        <w:t xml:space="preserve">do KCD clients continue to own the securities mentioned in the article, assuming individual securities are mentioned; </w:t>
      </w:r>
    </w:p>
    <w:p>
      <w:pPr>
        <w:numPr>
          <w:ilvl w:val="0"/>
          <w:numId w:val="536"/>
        </w:numPr>
        <w:ind w:left="720" w:hanging="267"/>
        <w:jc w:val="left"/>
        <w:rPr>
          <w:rFonts w:eastAsia="Arial" w:cs="Arial"/>
          <w:sz w:val="20"/>
          <w:szCs w:val="20"/>
        </w:rPr>
      </w:pPr>
      <w:r>
        <w:rPr>
          <w:rFonts w:eastAsia="Arial" w:cs="Arial"/>
          <w:sz w:val="20"/>
          <w:szCs w:val="20"/>
        </w:rPr>
        <w:t>the content of the article and the manner in which it will be disseminated does not violate any of the general conditions of Rule 206(4)-1;</w:t>
      </w:r>
    </w:p>
    <w:p>
      <w:pPr>
        <w:numPr>
          <w:ilvl w:val="0"/>
          <w:numId w:val="536"/>
        </w:numPr>
        <w:ind w:left="720" w:hanging="267"/>
        <w:jc w:val="left"/>
        <w:rPr>
          <w:rFonts w:eastAsia="Arial" w:cs="Arial"/>
          <w:sz w:val="20"/>
          <w:szCs w:val="20"/>
        </w:rPr>
      </w:pPr>
      <w:r>
        <w:rPr>
          <w:rFonts w:eastAsia="Arial" w:cs="Arial"/>
          <w:sz w:val="20"/>
          <w:szCs w:val="20"/>
        </w:rPr>
        <w:t>the article was written by an unbiased third party;</w:t>
      </w:r>
    </w:p>
    <w:p>
      <w:pPr>
        <w:numPr>
          <w:ilvl w:val="0"/>
          <w:numId w:val="536"/>
        </w:numPr>
        <w:ind w:left="720" w:hanging="267"/>
        <w:jc w:val="left"/>
        <w:rPr>
          <w:rFonts w:eastAsia="Arial" w:cs="Arial"/>
          <w:sz w:val="20"/>
          <w:szCs w:val="20"/>
        </w:rPr>
      </w:pPr>
      <w:r>
        <w:rPr>
          <w:rFonts w:eastAsia="Arial" w:cs="Arial"/>
          <w:sz w:val="20"/>
          <w:szCs w:val="20"/>
        </w:rPr>
        <w:t>KCD has obtained written permission from the publisher of the article to reprint it, and, if required, has paid for the reprints and/or right to reprint;</w:t>
      </w:r>
    </w:p>
    <w:p>
      <w:pPr>
        <w:numPr>
          <w:ilvl w:val="0"/>
          <w:numId w:val="536"/>
        </w:numPr>
        <w:ind w:left="720" w:hanging="267"/>
        <w:jc w:val="left"/>
        <w:rPr>
          <w:rFonts w:eastAsia="Arial" w:cs="Arial"/>
          <w:sz w:val="20"/>
          <w:szCs w:val="20"/>
        </w:rPr>
      </w:pPr>
      <w:r>
        <w:rPr>
          <w:rFonts w:eastAsia="Arial" w:cs="Arial"/>
          <w:sz w:val="20"/>
          <w:szCs w:val="20"/>
        </w:rPr>
        <w:t>the article does not contain a client's endorsement or describe a client's experience with the adviser; and</w:t>
      </w:r>
    </w:p>
    <w:p>
      <w:pPr>
        <w:numPr>
          <w:ilvl w:val="0"/>
          <w:numId w:val="536"/>
        </w:numPr>
        <w:spacing w:after="200"/>
        <w:ind w:left="720" w:hanging="267"/>
        <w:jc w:val="left"/>
        <w:rPr>
          <w:rFonts w:eastAsia="Arial" w:cs="Arial"/>
          <w:sz w:val="20"/>
          <w:szCs w:val="20"/>
        </w:rPr>
      </w:pPr>
      <w:r>
        <w:rPr>
          <w:rFonts w:eastAsia="Arial" w:cs="Arial"/>
          <w:sz w:val="20"/>
          <w:szCs w:val="20"/>
        </w:rPr>
        <w:t>KCD deems the article reprint that is disseminated to be an advertisement subject to KCD's recordkeeping procedures and maintains: (i) a copy of the reprint; and (ii) list of recipients of the reprint.</w:t>
      </w:r>
    </w:p>
    <w:p>
      <w:bookmarkEnd w:id="608"/>
      <w:bookmarkStart w:id="609" w:name="Sec_Chp_061016102254625_061016102254828"/>
    </w:p>
    <w:p>
      <w:pPr>
        <w:pStyle w:val="Heading4"/>
      </w:pPr>
      <w:r>
        <w:t xml:space="preserve">9.4.4.2 Client Lists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From time to time, KCD may desire to disseminate its entire or partial list of clients for marketing or other reasons. The SEC permits the dissemination of client lists provided certain conditions are met. </w:t>
      </w:r>
      <w:r>
        <w:rPr>
          <w:rFonts w:eastAsia="Arial" w:cs="Arial"/>
          <w:i/>
          <w:iCs/>
          <w:sz w:val="20"/>
          <w:szCs w:val="20"/>
        </w:rPr>
        <w:t>See Denver Investment Advisors, Inc., SEC No-Action Letter (pub. avail. July 30, 1993).</w:t>
      </w:r>
    </w:p>
    <w:p>
      <w:pPr>
        <w:spacing w:before="200" w:after="200"/>
        <w:rPr>
          <w:rFonts w:eastAsia="Arial" w:cs="Arial"/>
          <w:sz w:val="20"/>
          <w:szCs w:val="20"/>
        </w:rPr>
      </w:pPr>
      <w:r>
        <w:rPr>
          <w:rFonts w:eastAsia="Arial" w:cs="Arial"/>
          <w:sz w:val="20"/>
          <w:szCs w:val="20"/>
        </w:rPr>
        <w:t>The SEC adopted comprehensive amendments to Rule 206(4)-1, the advertising rule, in 2020 that suggested that an adviser may disseminate client lists provided such dissemination satisfies the general conditions of that Rule. The adopting release of Rule 206(4)-1 notes that the SEC in some instances relied on prior no-action letters when formulating its rules. While the release adopting Rule 206(4)-1 did not mention any client list no-action letters, the SEC did state that the dissemination of a client list would not be deemed a testimonial for purposes of the Rule.</w:t>
      </w:r>
    </w:p>
    <w:p>
      <w:pPr>
        <w:pStyle w:val="normal0"/>
        <w:spacing w:before="200" w:after="200"/>
        <w:rPr>
          <w:rFonts w:eastAsia="Arial" w:cs="Arial"/>
          <w:sz w:val="20"/>
          <w:szCs w:val="20"/>
        </w:rPr>
      </w:pPr>
      <w:r>
        <w:rPr>
          <w:rFonts w:eastAsia="Arial" w:cs="Arial"/>
          <w:sz w:val="20"/>
          <w:szCs w:val="20"/>
        </w:rPr>
        <w:t>An Adviser Representative may disseminate client lists only if:</w:t>
      </w:r>
    </w:p>
    <w:p>
      <w:pPr>
        <w:numPr>
          <w:ilvl w:val="0"/>
          <w:numId w:val="537"/>
        </w:numPr>
        <w:spacing w:before="200"/>
        <w:ind w:left="720" w:hanging="267"/>
        <w:jc w:val="left"/>
        <w:rPr>
          <w:rFonts w:eastAsia="Arial" w:cs="Arial"/>
          <w:sz w:val="20"/>
          <w:szCs w:val="20"/>
        </w:rPr>
      </w:pPr>
      <w:r>
        <w:rPr>
          <w:rFonts w:eastAsia="Arial" w:cs="Arial"/>
          <w:sz w:val="20"/>
          <w:szCs w:val="20"/>
        </w:rPr>
        <w:t>the dissemination of the client list was approved by the [Chief Compliance Officer] and Advertising Legal Counsel;</w:t>
      </w:r>
    </w:p>
    <w:p>
      <w:pPr>
        <w:numPr>
          <w:ilvl w:val="0"/>
          <w:numId w:val="537"/>
        </w:numPr>
        <w:ind w:left="720" w:hanging="267"/>
        <w:jc w:val="left"/>
        <w:rPr>
          <w:rFonts w:eastAsia="Arial" w:cs="Arial"/>
          <w:sz w:val="20"/>
          <w:szCs w:val="20"/>
        </w:rPr>
      </w:pPr>
      <w:r>
        <w:rPr>
          <w:rFonts w:eastAsia="Arial" w:cs="Arial"/>
          <w:sz w:val="20"/>
          <w:szCs w:val="20"/>
        </w:rPr>
        <w:t>the client list and the manner in which it will be disseminated do not violate any of the general conditions of Rule 206(4)-1;</w:t>
      </w:r>
    </w:p>
    <w:p>
      <w:pPr>
        <w:numPr>
          <w:ilvl w:val="0"/>
          <w:numId w:val="537"/>
        </w:numPr>
        <w:ind w:left="720" w:hanging="267"/>
        <w:jc w:val="left"/>
        <w:rPr>
          <w:rFonts w:eastAsia="Arial" w:cs="Arial"/>
          <w:sz w:val="20"/>
          <w:szCs w:val="20"/>
        </w:rPr>
      </w:pPr>
      <w:r>
        <w:rPr>
          <w:rFonts w:eastAsia="Arial" w:cs="Arial"/>
          <w:sz w:val="20"/>
          <w:szCs w:val="20"/>
        </w:rPr>
        <w:t xml:space="preserve">the inclusion of a particular client on the list is not based on the performance of such client's account; </w:t>
      </w:r>
    </w:p>
    <w:p>
      <w:pPr>
        <w:numPr>
          <w:ilvl w:val="0"/>
          <w:numId w:val="537"/>
        </w:numPr>
        <w:ind w:left="720" w:hanging="267"/>
        <w:jc w:val="left"/>
        <w:rPr>
          <w:rFonts w:eastAsia="Arial" w:cs="Arial"/>
          <w:sz w:val="20"/>
          <w:szCs w:val="20"/>
        </w:rPr>
      </w:pPr>
      <w:r>
        <w:rPr>
          <w:rFonts w:eastAsia="Arial" w:cs="Arial"/>
          <w:sz w:val="20"/>
          <w:szCs w:val="20"/>
        </w:rPr>
        <w:t>a statement explaining the objective criteria used to determine which clients would be included on the list appears on the list; and</w:t>
      </w:r>
    </w:p>
    <w:p>
      <w:pPr>
        <w:numPr>
          <w:ilvl w:val="0"/>
          <w:numId w:val="537"/>
        </w:numPr>
        <w:spacing w:after="200"/>
        <w:ind w:left="720" w:hanging="267"/>
        <w:jc w:val="left"/>
        <w:rPr>
          <w:rFonts w:eastAsia="Arial" w:cs="Arial"/>
          <w:sz w:val="20"/>
          <w:szCs w:val="20"/>
        </w:rPr>
      </w:pPr>
      <w:r>
        <w:rPr>
          <w:rFonts w:eastAsia="Arial" w:cs="Arial"/>
          <w:sz w:val="20"/>
          <w:szCs w:val="20"/>
        </w:rPr>
        <w:t>the following disclaimer appears on the list: "It is not known whether the listed clients approve of the adviser."</w:t>
      </w:r>
    </w:p>
    <w:p>
      <w:bookmarkEnd w:id="609"/>
      <w:bookmarkStart w:id="610" w:name="Sec_Chp_061016102254625_061016102255015"/>
    </w:p>
    <w:p>
      <w:pPr>
        <w:pStyle w:val="Heading4"/>
      </w:pPr>
      <w:r>
        <w:t>9.4.4.3 Third-Party Ratings</w:t>
      </w:r>
    </w:p>
    <w:p/>
    <w:p>
      <w:pPr>
        <w:rPr>
          <w:rFonts w:eastAsia="Arial" w:cs="Arial"/>
          <w:sz w:val="16"/>
          <w:szCs w:val="16"/>
        </w:rPr>
      </w:pPr>
      <w:r>
        <w:rPr>
          <w:rFonts w:eastAsia="Arial" w:cs="Arial"/>
          <w:sz w:val="16"/>
          <w:szCs w:val="16"/>
        </w:rPr>
        <w:t>[Investment Advisers Act of 1940 Rule 206(4)-1]</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u w:val="single" w:color="000000"/>
              </w:rPr>
              <w:t>Third-Party Rating</w:t>
            </w:r>
            <w:r>
              <w:rPr>
                <w:rFonts w:eastAsia="Arial" w:cs="Arial"/>
                <w:b w:val="0"/>
                <w:bCs w:val="0"/>
                <w:i w:val="0"/>
                <w:iCs w:val="0"/>
                <w:smallCaps w:val="0"/>
                <w:color w:val="000000"/>
                <w:sz w:val="20"/>
              </w:rPr>
              <w:t xml:space="preserve">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defines "third-party rating" to be a rating or ranking of an investment adviser provided by a person who is not a related person (as defined in the Form ADV - Glossary of Terms), and such person provides such ratings or rankings in the ordinary course of its business. A "related person" is any advisory affiliate and any person that is under common control with an investment adviser. KCD's advisory affiliates include: (1) all of KCD's officers, partners, or directors (or any person performing similar functions); (2) all persons directly or indirectly controlling or controlled by KCD; and (3) all of KCD's current employees (other than employees performing only clerical, administrative, support or similar functions).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Such third-party ratings might be on KCD's website (including a d/b/a website), as well as social media profiles or accounts, marketing brochures or pitchbooks, press releases, newsletters, and blogs, among others.</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b/>
          <w:bCs/>
          <w:sz w:val="20"/>
          <w:szCs w:val="20"/>
        </w:rPr>
        <w:t>Third-Party Rating Review</w:t>
      </w:r>
    </w:p>
    <w:p>
      <w:pPr>
        <w:pStyle w:val="normal0"/>
        <w:spacing w:before="200" w:after="200"/>
        <w:rPr>
          <w:rFonts w:eastAsia="Arial" w:cs="Arial"/>
          <w:sz w:val="20"/>
          <w:szCs w:val="20"/>
        </w:rPr>
      </w:pPr>
      <w:r>
        <w:rPr>
          <w:rFonts w:eastAsia="Arial" w:cs="Arial"/>
          <w:sz w:val="20"/>
          <w:szCs w:val="20"/>
        </w:rPr>
        <w:t>KCD will not include a third-party rating or ranking in an advertisement unless:</w:t>
      </w:r>
    </w:p>
    <w:p>
      <w:pPr>
        <w:numPr>
          <w:ilvl w:val="0"/>
          <w:numId w:val="538"/>
        </w:numPr>
        <w:spacing w:before="200"/>
        <w:ind w:left="720" w:hanging="192"/>
        <w:jc w:val="left"/>
        <w:rPr>
          <w:rFonts w:eastAsia="Arial" w:cs="Arial"/>
          <w:sz w:val="20"/>
          <w:szCs w:val="20"/>
        </w:rPr>
      </w:pPr>
      <w:r>
        <w:rPr>
          <w:rFonts w:eastAsia="Arial" w:cs="Arial"/>
          <w:sz w:val="20"/>
          <w:szCs w:val="20"/>
        </w:rPr>
        <w:t xml:space="preserve">The </w:t>
      </w:r>
      <w:r>
        <w:rPr>
          <w:rFonts w:eastAsia="Arial" w:cs="Arial"/>
          <w:sz w:val="20"/>
          <w:szCs w:val="20"/>
        </w:rPr>
        <w:t>Chief Compliance Officer</w:t>
      </w:r>
      <w:r>
        <w:rPr>
          <w:rFonts w:eastAsia="Arial" w:cs="Arial"/>
          <w:sz w:val="20"/>
          <w:szCs w:val="20"/>
        </w:rPr>
        <w:t>:</w:t>
      </w:r>
    </w:p>
    <w:p>
      <w:pPr>
        <w:numPr>
          <w:ilvl w:val="1"/>
          <w:numId w:val="538"/>
        </w:numPr>
        <w:ind w:left="1440" w:hanging="220"/>
        <w:jc w:val="left"/>
        <w:rPr>
          <w:rFonts w:eastAsia="Arial" w:cs="Arial"/>
          <w:sz w:val="20"/>
          <w:szCs w:val="20"/>
        </w:rPr>
      </w:pPr>
      <w:r>
        <w:rPr>
          <w:rFonts w:eastAsia="Arial" w:cs="Arial"/>
          <w:sz w:val="20"/>
          <w:szCs w:val="20"/>
        </w:rPr>
        <w:t>Has performed adequate due diligence on the questionnaire or survey used in preparation of the third-party rating or ranking and the person or company that has prepared the rating;</w:t>
      </w:r>
    </w:p>
    <w:p>
      <w:pPr>
        <w:numPr>
          <w:ilvl w:val="1"/>
          <w:numId w:val="538"/>
        </w:numPr>
        <w:ind w:left="1440" w:hanging="220"/>
        <w:jc w:val="left"/>
        <w:rPr>
          <w:rFonts w:eastAsia="Arial" w:cs="Arial"/>
          <w:sz w:val="20"/>
          <w:szCs w:val="20"/>
        </w:rPr>
      </w:pPr>
      <w:r>
        <w:rPr>
          <w:rFonts w:eastAsia="Arial" w:cs="Arial"/>
          <w:sz w:val="20"/>
          <w:szCs w:val="20"/>
        </w:rPr>
        <w:t>Concludes that the company or person has the requisite experience to develop and promote ratings or rankings based on relevant criteria;</w:t>
      </w:r>
    </w:p>
    <w:p>
      <w:pPr>
        <w:numPr>
          <w:ilvl w:val="1"/>
          <w:numId w:val="538"/>
        </w:numPr>
        <w:ind w:left="1440" w:hanging="220"/>
        <w:jc w:val="left"/>
        <w:rPr>
          <w:rFonts w:eastAsia="Arial" w:cs="Arial"/>
          <w:sz w:val="20"/>
          <w:szCs w:val="20"/>
        </w:rPr>
      </w:pPr>
      <w:r>
        <w:rPr>
          <w:rFonts w:eastAsia="Arial" w:cs="Arial"/>
          <w:sz w:val="20"/>
          <w:szCs w:val="20"/>
        </w:rPr>
        <w:t>Has a reasonable basis for believing that the questionnaire or survey is structured to make it equally easy for a participant to provide favorable and unfavorable responses, and is not designed or prepared to produce any predetermined result; and</w:t>
      </w:r>
    </w:p>
    <w:p>
      <w:pPr>
        <w:numPr>
          <w:ilvl w:val="1"/>
          <w:numId w:val="538"/>
        </w:numPr>
        <w:ind w:left="1440" w:hanging="220"/>
        <w:jc w:val="left"/>
        <w:rPr>
          <w:rFonts w:eastAsia="Arial" w:cs="Arial"/>
          <w:sz w:val="20"/>
          <w:szCs w:val="20"/>
        </w:rPr>
      </w:pPr>
      <w:r>
        <w:rPr>
          <w:rFonts w:eastAsia="Arial" w:cs="Arial"/>
          <w:sz w:val="20"/>
          <w:szCs w:val="20"/>
        </w:rPr>
        <w:t>Has concluded that the relevant aspects of KCD's business has not materially changed since the rating or ranking.</w:t>
      </w:r>
    </w:p>
    <w:p>
      <w:pPr>
        <w:numPr>
          <w:ilvl w:val="0"/>
          <w:numId w:val="538"/>
        </w:numPr>
        <w:ind w:left="720" w:hanging="192"/>
        <w:jc w:val="left"/>
        <w:rPr>
          <w:rFonts w:eastAsia="Arial" w:cs="Arial"/>
          <w:sz w:val="20"/>
          <w:szCs w:val="20"/>
        </w:rPr>
      </w:pPr>
      <w:r>
        <w:rPr>
          <w:rFonts w:eastAsia="Arial" w:cs="Arial"/>
          <w:sz w:val="20"/>
          <w:szCs w:val="20"/>
        </w:rPr>
        <w:t>KCD clearly and prominently discloses:</w:t>
      </w:r>
    </w:p>
    <w:p>
      <w:pPr>
        <w:numPr>
          <w:ilvl w:val="1"/>
          <w:numId w:val="538"/>
        </w:numPr>
        <w:ind w:left="1440" w:hanging="220"/>
        <w:jc w:val="left"/>
        <w:rPr>
          <w:rFonts w:eastAsia="Arial" w:cs="Arial"/>
          <w:sz w:val="20"/>
          <w:szCs w:val="20"/>
        </w:rPr>
      </w:pPr>
      <w:r>
        <w:rPr>
          <w:rFonts w:eastAsia="Arial" w:cs="Arial"/>
          <w:sz w:val="20"/>
          <w:szCs w:val="20"/>
        </w:rPr>
        <w:t>The date on which the rating or ranking was given and the period of time upon which the rating was based (</w:t>
      </w:r>
      <w:r>
        <w:rPr>
          <w:rFonts w:eastAsia="Arial" w:cs="Arial"/>
          <w:i/>
          <w:iCs/>
          <w:sz w:val="20"/>
          <w:szCs w:val="20"/>
        </w:rPr>
        <w:t>e.g.,</w:t>
      </w:r>
      <w:r>
        <w:rPr>
          <w:rFonts w:eastAsia="Arial" w:cs="Arial"/>
          <w:sz w:val="20"/>
          <w:szCs w:val="20"/>
        </w:rPr>
        <w:t xml:space="preserve"> referencing a range of years in which KCD was the recipient of the third-party rating);</w:t>
      </w:r>
    </w:p>
    <w:p>
      <w:pPr>
        <w:numPr>
          <w:ilvl w:val="1"/>
          <w:numId w:val="538"/>
        </w:numPr>
        <w:ind w:left="1440" w:hanging="220"/>
        <w:jc w:val="left"/>
        <w:rPr>
          <w:rFonts w:eastAsia="Arial" w:cs="Arial"/>
          <w:sz w:val="20"/>
          <w:szCs w:val="20"/>
        </w:rPr>
      </w:pPr>
      <w:r>
        <w:rPr>
          <w:rFonts w:eastAsia="Arial" w:cs="Arial"/>
          <w:sz w:val="20"/>
          <w:szCs w:val="20"/>
        </w:rPr>
        <w:t>The criteria upon which the rating and ranking was based (including considering providing a link to more detailed information about the criteria);</w:t>
      </w:r>
    </w:p>
    <w:p>
      <w:pPr>
        <w:numPr>
          <w:ilvl w:val="1"/>
          <w:numId w:val="538"/>
        </w:numPr>
        <w:ind w:left="1440" w:hanging="220"/>
        <w:jc w:val="left"/>
        <w:rPr>
          <w:rFonts w:eastAsia="Arial" w:cs="Arial"/>
          <w:sz w:val="20"/>
          <w:szCs w:val="20"/>
        </w:rPr>
      </w:pPr>
      <w:r>
        <w:rPr>
          <w:rFonts w:eastAsia="Arial" w:cs="Arial"/>
          <w:sz w:val="20"/>
          <w:szCs w:val="20"/>
        </w:rPr>
        <w:t>The identity of the third party that created and tabulated the rating or ranking and;</w:t>
      </w:r>
    </w:p>
    <w:p>
      <w:pPr>
        <w:numPr>
          <w:ilvl w:val="1"/>
          <w:numId w:val="538"/>
        </w:numPr>
        <w:spacing w:after="200"/>
        <w:ind w:left="1440" w:hanging="220"/>
        <w:jc w:val="left"/>
        <w:rPr>
          <w:rFonts w:eastAsia="Arial" w:cs="Arial"/>
          <w:sz w:val="20"/>
          <w:szCs w:val="20"/>
        </w:rPr>
      </w:pPr>
      <w:r>
        <w:rPr>
          <w:rFonts w:eastAsia="Arial" w:cs="Arial"/>
          <w:sz w:val="20"/>
          <w:szCs w:val="20"/>
        </w:rPr>
        <w:t>If applicable, that compensation has been provided directly or indirectly by KCD in connection with obtaining or using the third-party rating or ranking.</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Certain disclosure methods are not deemed to be clear and prominent including:</w:t>
            </w:r>
          </w:p>
          <w:p>
            <w:pPr>
              <w:numPr>
                <w:ilvl w:val="0"/>
                <w:numId w:val="539"/>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Hyperlinked disclosure;</w:t>
            </w:r>
          </w:p>
          <w:p>
            <w:pPr>
              <w:numPr>
                <w:ilvl w:val="0"/>
                <w:numId w:val="53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Small font relative to the endorsement or testimonial font; and</w:t>
            </w:r>
          </w:p>
          <w:p>
            <w:pPr>
              <w:numPr>
                <w:ilvl w:val="0"/>
                <w:numId w:val="53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Light font relative to the endorsement or testimonial font.</w:t>
            </w:r>
          </w:p>
        </w:tc>
      </w:tr>
    </w:tbl>
    <w:p>
      <w:pPr>
        <w:pStyle w:val="normal0"/>
        <w:spacing w:before="200" w:after="200"/>
        <w:rPr>
          <w:rFonts w:eastAsia="Arial" w:cs="Arial"/>
          <w:sz w:val="20"/>
          <w:szCs w:val="20"/>
        </w:rPr>
      </w:pPr>
      <w:r>
        <w:rPr>
          <w:rFonts w:eastAsia="Arial" w:cs="Arial"/>
          <w:sz w:val="20"/>
          <w:szCs w:val="20"/>
        </w:rPr>
        <w:t>With respect to such disclosure, KCD will:</w:t>
      </w:r>
    </w:p>
    <w:p>
      <w:pPr>
        <w:numPr>
          <w:ilvl w:val="0"/>
          <w:numId w:val="540"/>
        </w:numPr>
        <w:spacing w:before="200"/>
        <w:ind w:left="720" w:hanging="192"/>
        <w:jc w:val="left"/>
        <w:rPr>
          <w:rFonts w:eastAsia="Arial" w:cs="Arial"/>
          <w:sz w:val="20"/>
          <w:szCs w:val="20"/>
        </w:rPr>
      </w:pPr>
      <w:r>
        <w:rPr>
          <w:rFonts w:eastAsia="Arial" w:cs="Arial"/>
          <w:sz w:val="20"/>
          <w:szCs w:val="20"/>
        </w:rPr>
        <w:t>Avoid using phrases such as "award winning," "industry leader," and "fantastic performance;"</w:t>
      </w:r>
    </w:p>
    <w:p>
      <w:pPr>
        <w:numPr>
          <w:ilvl w:val="0"/>
          <w:numId w:val="540"/>
        </w:numPr>
        <w:ind w:left="720" w:hanging="192"/>
        <w:jc w:val="left"/>
        <w:rPr>
          <w:rFonts w:eastAsia="Arial" w:cs="Arial"/>
          <w:sz w:val="20"/>
          <w:szCs w:val="20"/>
        </w:rPr>
      </w:pPr>
      <w:r>
        <w:rPr>
          <w:rFonts w:eastAsia="Arial" w:cs="Arial"/>
          <w:sz w:val="20"/>
          <w:szCs w:val="20"/>
        </w:rPr>
        <w:t>If it places a third-party rating logo in its advertisement, clearly and prominently identify the third party that created and tabulated the ratings (</w:t>
      </w:r>
      <w:r>
        <w:rPr>
          <w:rFonts w:eastAsia="Arial" w:cs="Arial"/>
          <w:i/>
          <w:iCs/>
          <w:sz w:val="20"/>
          <w:szCs w:val="20"/>
        </w:rPr>
        <w:t>i.e.,</w:t>
      </w:r>
      <w:r>
        <w:rPr>
          <w:rFonts w:eastAsia="Arial" w:cs="Arial"/>
          <w:sz w:val="20"/>
          <w:szCs w:val="20"/>
        </w:rPr>
        <w:t xml:space="preserve"> the logo will clearly identify the third party); and</w:t>
      </w:r>
    </w:p>
    <w:p>
      <w:pPr>
        <w:numPr>
          <w:ilvl w:val="0"/>
          <w:numId w:val="540"/>
        </w:numPr>
        <w:spacing w:after="200"/>
        <w:ind w:left="720" w:hanging="192"/>
        <w:jc w:val="left"/>
        <w:rPr>
          <w:rFonts w:eastAsia="Arial" w:cs="Arial"/>
          <w:sz w:val="20"/>
          <w:szCs w:val="20"/>
        </w:rPr>
      </w:pPr>
      <w:r>
        <w:rPr>
          <w:rFonts w:eastAsia="Arial" w:cs="Arial"/>
          <w:sz w:val="20"/>
          <w:szCs w:val="20"/>
        </w:rPr>
        <w:t>If applicable, disclose Firm payments were made for: (1) the use of the third-party rating providers' logos or reprints of the ratings; (2) KCD's priority placement in the third-party providers' advertisements or for upgraded or enhanced exposure; and (3) referrals to KCD, such as providing links to award recipients on the third-party rating providers' websites that displayed the award recipients (</w:t>
      </w:r>
      <w:r>
        <w:rPr>
          <w:rFonts w:eastAsia="Arial" w:cs="Arial"/>
          <w:i/>
          <w:iCs/>
          <w:sz w:val="20"/>
          <w:szCs w:val="20"/>
        </w:rPr>
        <w:t>i.e.</w:t>
      </w:r>
      <w:r>
        <w:rPr>
          <w:rFonts w:eastAsia="Arial" w:cs="Arial"/>
          <w:sz w:val="20"/>
          <w:szCs w:val="20"/>
        </w:rPr>
        <w:t>, third-party rating providers received payments for referrals through the linked webpage).</w:t>
      </w:r>
    </w:p>
    <w:p>
      <w:pPr>
        <w:pStyle w:val="normal0"/>
        <w:spacing w:before="200" w:after="200"/>
        <w:rPr>
          <w:rFonts w:eastAsia="Arial" w:cs="Arial"/>
          <w:sz w:val="20"/>
          <w:szCs w:val="20"/>
        </w:rPr>
      </w:pPr>
      <w:r>
        <w:rPr>
          <w:rFonts w:eastAsia="Arial" w:cs="Arial"/>
          <w:b/>
          <w:bCs/>
          <w:sz w:val="20"/>
          <w:szCs w:val="20"/>
        </w:rPr>
        <w:t>Due Diligence</w:t>
      </w:r>
    </w:p>
    <w:p>
      <w:pPr>
        <w:pStyle w:val="normal0"/>
        <w:spacing w:before="200" w:after="200"/>
        <w:rPr>
          <w:rFonts w:eastAsia="Arial" w:cs="Arial"/>
          <w:sz w:val="20"/>
          <w:szCs w:val="20"/>
        </w:rPr>
      </w:pPr>
      <w:r>
        <w:rPr>
          <w:rFonts w:eastAsia="Arial" w:cs="Arial"/>
          <w:sz w:val="20"/>
          <w:szCs w:val="20"/>
        </w:rPr>
        <w:t xml:space="preserve">To satisfy the due diligence requirement above, the </w:t>
      </w:r>
      <w:r>
        <w:rPr>
          <w:rFonts w:eastAsia="Arial" w:cs="Arial"/>
          <w:sz w:val="20"/>
          <w:szCs w:val="20"/>
        </w:rPr>
        <w:t>Chief Compliance Officer</w:t>
      </w:r>
      <w:r>
        <w:rPr>
          <w:rFonts w:eastAsia="Arial" w:cs="Arial"/>
          <w:sz w:val="20"/>
          <w:szCs w:val="20"/>
        </w:rPr>
        <w:t xml:space="preserve"> may:</w:t>
      </w:r>
    </w:p>
    <w:p>
      <w:pPr>
        <w:numPr>
          <w:ilvl w:val="0"/>
          <w:numId w:val="541"/>
        </w:numPr>
        <w:spacing w:before="200"/>
        <w:ind w:left="720" w:hanging="192"/>
        <w:jc w:val="left"/>
        <w:rPr>
          <w:rFonts w:eastAsia="Arial" w:cs="Arial"/>
          <w:sz w:val="20"/>
          <w:szCs w:val="20"/>
        </w:rPr>
      </w:pPr>
      <w:r>
        <w:rPr>
          <w:rFonts w:eastAsia="Arial" w:cs="Arial"/>
          <w:sz w:val="20"/>
          <w:szCs w:val="20"/>
        </w:rPr>
        <w:t>Seek representations from the third-party rating agency regarding general aspects of how the survey or questionnaire is designed, structured, and administered; or</w:t>
      </w:r>
    </w:p>
    <w:p>
      <w:pPr>
        <w:numPr>
          <w:ilvl w:val="0"/>
          <w:numId w:val="541"/>
        </w:numPr>
        <w:ind w:left="720" w:hanging="192"/>
        <w:jc w:val="left"/>
        <w:rPr>
          <w:rFonts w:eastAsia="Arial" w:cs="Arial"/>
          <w:sz w:val="20"/>
          <w:szCs w:val="20"/>
        </w:rPr>
      </w:pPr>
      <w:r>
        <w:rPr>
          <w:rFonts w:eastAsia="Arial" w:cs="Arial"/>
          <w:sz w:val="20"/>
          <w:szCs w:val="20"/>
        </w:rPr>
        <w:t>Review and rely on the third-party rating provider's public disclosure of similar information about its survey or questionnaire methodology; and</w:t>
      </w:r>
    </w:p>
    <w:p>
      <w:pPr>
        <w:numPr>
          <w:ilvl w:val="0"/>
          <w:numId w:val="541"/>
        </w:numPr>
        <w:spacing w:after="200"/>
        <w:ind w:left="720" w:hanging="192"/>
        <w:jc w:val="left"/>
        <w:rPr>
          <w:rFonts w:eastAsia="Arial" w:cs="Arial"/>
          <w:sz w:val="20"/>
          <w:szCs w:val="20"/>
        </w:rPr>
      </w:pPr>
      <w:r>
        <w:rPr>
          <w:rFonts w:eastAsia="Arial" w:cs="Arial"/>
          <w:sz w:val="20"/>
          <w:szCs w:val="20"/>
        </w:rPr>
        <w:t>Obtain any questionnaires or surveys used in the preparation of the rating.</w:t>
      </w:r>
    </w:p>
    <w:p>
      <w:pPr>
        <w:pStyle w:val="normal0"/>
        <w:spacing w:before="200" w:after="200"/>
        <w:rPr>
          <w:rFonts w:eastAsia="Arial" w:cs="Arial"/>
          <w:sz w:val="20"/>
          <w:szCs w:val="20"/>
        </w:rPr>
      </w:pPr>
      <w:r>
        <w:rPr>
          <w:rFonts w:eastAsia="Arial" w:cs="Arial"/>
          <w:i/>
          <w:iCs/>
          <w:sz w:val="20"/>
          <w:szCs w:val="20"/>
        </w:rPr>
        <w:t xml:space="preserve">To satisfy this due diligence requirement, the </w:t>
      </w:r>
      <w:r>
        <w:rPr>
          <w:rFonts w:eastAsia="Arial" w:cs="Arial"/>
          <w:i/>
          <w:iCs/>
          <w:sz w:val="20"/>
          <w:szCs w:val="20"/>
        </w:rPr>
        <w:t>Chief Compliance Officer</w:t>
      </w:r>
      <w:r>
        <w:rPr>
          <w:rFonts w:eastAsia="Arial" w:cs="Arial"/>
          <w:i/>
          <w:iCs/>
          <w:sz w:val="20"/>
          <w:szCs w:val="20"/>
        </w:rPr>
        <w:t xml:space="preserve"> need not obtain proprietary data of third-party rating agencies.</w:t>
      </w:r>
    </w:p>
    <w:p>
      <w:pPr>
        <w:pStyle w:val="normal0"/>
        <w:spacing w:before="200" w:after="200"/>
        <w:rPr>
          <w:rFonts w:eastAsia="Arial" w:cs="Arial"/>
          <w:sz w:val="20"/>
          <w:szCs w:val="20"/>
        </w:rPr>
      </w:pPr>
      <w:r>
        <w:rPr>
          <w:rFonts w:eastAsia="Arial" w:cs="Arial"/>
          <w:b/>
          <w:bCs/>
          <w:sz w:val="20"/>
          <w:szCs w:val="20"/>
        </w:rPr>
        <w:t>Use of Third-Party Ratings in a Misleading Manner</w:t>
      </w:r>
    </w:p>
    <w:p>
      <w:pPr>
        <w:pStyle w:val="normal0"/>
        <w:spacing w:before="200" w:after="200"/>
        <w:rPr>
          <w:rFonts w:eastAsia="Arial" w:cs="Arial"/>
          <w:sz w:val="20"/>
          <w:szCs w:val="20"/>
        </w:rPr>
      </w:pPr>
      <w:r>
        <w:rPr>
          <w:rFonts w:eastAsia="Arial" w:cs="Arial"/>
          <w:sz w:val="20"/>
          <w:szCs w:val="20"/>
        </w:rPr>
        <w:t>KCD shall not use a third-party rating if such use would be misleading. Examples of such misleading use are:</w:t>
      </w:r>
    </w:p>
    <w:p>
      <w:pPr>
        <w:numPr>
          <w:ilvl w:val="0"/>
          <w:numId w:val="542"/>
        </w:numPr>
        <w:spacing w:before="200"/>
        <w:ind w:left="720" w:hanging="192"/>
        <w:jc w:val="left"/>
        <w:rPr>
          <w:rFonts w:eastAsia="Arial" w:cs="Arial"/>
          <w:sz w:val="20"/>
          <w:szCs w:val="20"/>
        </w:rPr>
      </w:pPr>
      <w:r>
        <w:rPr>
          <w:rFonts w:eastAsia="Arial" w:cs="Arial"/>
          <w:sz w:val="20"/>
          <w:szCs w:val="20"/>
        </w:rPr>
        <w:t>KCD's advertisement references a recent rating and discloses the date, but the rating is based upon an aspect of the adviser's business that has since materially changed, the advertisement would be misleading; and</w:t>
      </w:r>
    </w:p>
    <w:p>
      <w:pPr>
        <w:numPr>
          <w:ilvl w:val="0"/>
          <w:numId w:val="542"/>
        </w:numPr>
        <w:spacing w:after="200"/>
        <w:ind w:left="720" w:hanging="192"/>
        <w:jc w:val="left"/>
        <w:rPr>
          <w:rFonts w:eastAsia="Arial" w:cs="Arial"/>
          <w:sz w:val="20"/>
          <w:szCs w:val="20"/>
        </w:rPr>
      </w:pPr>
      <w:r>
        <w:rPr>
          <w:rFonts w:eastAsia="Arial" w:cs="Arial"/>
          <w:sz w:val="20"/>
          <w:szCs w:val="20"/>
        </w:rPr>
        <w:t>KCD's advertisement would be misleading if it indicates that the adviser is rated highly without disclosing that the rating is based solely on a criterion, such as assets under management, that may not relate to the quality of the investment advice.</w:t>
      </w:r>
    </w:p>
    <w:p>
      <w:bookmarkEnd w:id="610"/>
      <w:bookmarkStart w:id="611" w:name="Sec_Chp_061016102254625_061016133128"/>
    </w:p>
    <w:p>
      <w:pPr>
        <w:pStyle w:val="Heading5"/>
      </w:pPr>
      <w:r>
        <w:t>9.4.4.3.1 Placement Agent/Finder Exemption</w:t>
      </w:r>
    </w:p>
    <w:p/>
    <w:p>
      <w:pPr>
        <w:rPr>
          <w:rFonts w:eastAsia="Arial" w:cs="Arial"/>
          <w:sz w:val="16"/>
          <w:szCs w:val="16"/>
        </w:rPr>
      </w:pPr>
      <w:r>
        <w:rPr>
          <w:rFonts w:eastAsia="Arial" w:cs="Arial"/>
          <w:sz w:val="16"/>
          <w:szCs w:val="16"/>
        </w:rPr>
        <w:t>[SEC Securities Exchange Act of 1934 Section 15(a)]</w:t>
      </w:r>
    </w:p>
    <w:p/>
    <w:p>
      <w:pPr>
        <w:pStyle w:val="normal0"/>
        <w:spacing w:after="200"/>
        <w:rPr>
          <w:rFonts w:eastAsia="Arial" w:cs="Arial"/>
          <w:sz w:val="20"/>
          <w:szCs w:val="20"/>
        </w:rPr>
      </w:pPr>
      <w:r>
        <w:rPr>
          <w:rFonts w:eastAsia="Arial" w:cs="Arial"/>
          <w:sz w:val="20"/>
          <w:szCs w:val="20"/>
        </w:rPr>
        <w:t>Section 15(a) of the Securities Exchange Act of 1934 requires certain persons or entities that effect securities transactions to register with the SEC as a broker-dealer. Because placement agents may be deemed to effect securities transactions when they locate potential investors for any hedge funds managed by KCD, they may meet the definition of "broker." The SEC through no-action letters has taken the position that placement agents will not have to register as a broker-dealer if they limit their activities.</w:t>
      </w:r>
    </w:p>
    <w:p>
      <w:pPr>
        <w:pStyle w:val="normal0"/>
        <w:spacing w:before="200" w:after="200"/>
        <w:rPr>
          <w:rFonts w:eastAsia="Arial" w:cs="Arial"/>
          <w:sz w:val="20"/>
          <w:szCs w:val="20"/>
        </w:rPr>
      </w:pPr>
      <w:r>
        <w:rPr>
          <w:rFonts w:eastAsia="Arial" w:cs="Arial"/>
          <w:sz w:val="20"/>
          <w:szCs w:val="20"/>
        </w:rPr>
        <w:t>If KCD manages hedge funds, it will enter into an arrangement with a placement agent only if the following conditions are met:</w:t>
      </w:r>
    </w:p>
    <w:p>
      <w:pPr>
        <w:numPr>
          <w:ilvl w:val="0"/>
          <w:numId w:val="543"/>
        </w:numPr>
        <w:spacing w:before="200"/>
        <w:ind w:left="720" w:hanging="192"/>
        <w:jc w:val="left"/>
        <w:rPr>
          <w:rFonts w:eastAsia="Arial" w:cs="Arial"/>
          <w:sz w:val="20"/>
          <w:szCs w:val="20"/>
        </w:rPr>
      </w:pPr>
      <w:r>
        <w:rPr>
          <w:rFonts w:eastAsia="Arial" w:cs="Arial"/>
          <w:sz w:val="20"/>
          <w:szCs w:val="20"/>
        </w:rPr>
        <w:t>The placement agent does not receive transaction-related compensation (</w:t>
      </w:r>
      <w:r>
        <w:rPr>
          <w:rFonts w:eastAsia="Arial" w:cs="Arial"/>
          <w:i/>
          <w:iCs/>
          <w:sz w:val="20"/>
          <w:szCs w:val="20"/>
        </w:rPr>
        <w:t>i.e.,</w:t>
      </w:r>
      <w:r>
        <w:rPr>
          <w:rFonts w:eastAsia="Arial" w:cs="Arial"/>
          <w:sz w:val="20"/>
          <w:szCs w:val="20"/>
        </w:rPr>
        <w:t xml:space="preserve"> the placement agent agrees to receive a flat fee and pay the fee regardless of the success of a referral); </w:t>
      </w:r>
    </w:p>
    <w:p>
      <w:pPr>
        <w:numPr>
          <w:ilvl w:val="0"/>
          <w:numId w:val="543"/>
        </w:numPr>
        <w:ind w:left="720" w:hanging="192"/>
        <w:jc w:val="left"/>
        <w:rPr>
          <w:rFonts w:eastAsia="Arial" w:cs="Arial"/>
          <w:sz w:val="20"/>
          <w:szCs w:val="20"/>
        </w:rPr>
      </w:pPr>
      <w:r>
        <w:rPr>
          <w:rFonts w:eastAsia="Arial" w:cs="Arial"/>
          <w:sz w:val="20"/>
          <w:szCs w:val="20"/>
        </w:rPr>
        <w:t>The placement agent agrees to not hold himself or herself out as offering brokerage services; and</w:t>
      </w:r>
    </w:p>
    <w:p>
      <w:pPr>
        <w:numPr>
          <w:ilvl w:val="0"/>
          <w:numId w:val="543"/>
        </w:numPr>
        <w:spacing w:after="200"/>
        <w:ind w:left="720" w:hanging="192"/>
        <w:jc w:val="left"/>
        <w:rPr>
          <w:rFonts w:eastAsia="Arial" w:cs="Arial"/>
          <w:sz w:val="20"/>
          <w:szCs w:val="20"/>
        </w:rPr>
      </w:pPr>
      <w:r>
        <w:rPr>
          <w:rFonts w:eastAsia="Arial" w:cs="Arial"/>
          <w:sz w:val="20"/>
          <w:szCs w:val="20"/>
        </w:rPr>
        <w:t>The placement agent agrees to limit his or her activity to making the initial referral and will not participate in any subsequent activities involved in the sale of the hedge fund interests.</w:t>
      </w:r>
    </w:p>
    <w:p>
      <w:bookmarkEnd w:id="611"/>
      <w:bookmarkStart w:id="612" w:name="Sec_Chp_061016102254625_061016133129"/>
    </w:p>
    <w:p>
      <w:pPr>
        <w:pStyle w:val="Heading5"/>
      </w:pPr>
      <w:r>
        <w:t>9.4.4.3.2 Form of Solicitation Compensation Arrangements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not structure any solicitation arrangement with a third-party solicitor that compensates such third-party for referrals based on the transactions by clients who are referred. Prior to KCD compensating any third-party solicitor with an amount that is based upon a percentage of AUM, revenues or similar kind of compensation, KCD will consult with outside counsel regarding whether such an arrangement is permissible under the securities laws.</w:t>
      </w:r>
    </w:p>
    <w:p>
      <w:bookmarkEnd w:id="612"/>
      <w:bookmarkStart w:id="613" w:name="Sec_Chp_061016102254625_061016102255187"/>
    </w:p>
    <w:p>
      <w:pPr>
        <w:pStyle w:val="Heading4"/>
      </w:pPr>
      <w:r>
        <w:t>9.4.4.4 Seminars and Speeches</w:t>
      </w:r>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A seminar or a speech could be construed as a form of an advertisement if it informs the public about the availability of investment products and services.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SEC has taken the position that a previously prepared live, oral communication in a non-broadcast setting, such as a luncheon seminar designed to attract new clients is an advertisement. </w:t>
            </w:r>
          </w:p>
        </w:tc>
      </w:tr>
    </w:tbl>
    <w:p>
      <w:pPr>
        <w:rPr>
          <w:rFonts w:eastAsia="Arial" w:cs="Arial"/>
          <w:sz w:val="20"/>
          <w:szCs w:val="20"/>
        </w:rPr>
      </w:pPr>
    </w:p>
    <w:p>
      <w:pPr>
        <w:spacing w:before="200" w:after="200"/>
        <w:rPr>
          <w:rFonts w:eastAsia="Arial" w:cs="Arial"/>
          <w:sz w:val="20"/>
          <w:szCs w:val="20"/>
        </w:rPr>
      </w:pPr>
      <w:r>
        <w:rPr>
          <w:rFonts w:eastAsia="Arial" w:cs="Arial"/>
          <w:sz w:val="20"/>
          <w:szCs w:val="20"/>
        </w:rPr>
        <w:t>Adviser Representatives may only participate in investment-related seminars or give investment-related speeches if:</w:t>
      </w:r>
    </w:p>
    <w:p>
      <w:pPr>
        <w:numPr>
          <w:ilvl w:val="0"/>
          <w:numId w:val="544"/>
        </w:numPr>
        <w:spacing w:before="200"/>
        <w:ind w:left="720" w:hanging="192"/>
        <w:jc w:val="left"/>
        <w:rPr>
          <w:rFonts w:eastAsia="Arial" w:cs="Arial"/>
          <w:sz w:val="20"/>
          <w:szCs w:val="20"/>
        </w:rPr>
      </w:pPr>
      <w:r>
        <w:rPr>
          <w:rFonts w:eastAsia="Arial" w:cs="Arial"/>
          <w:sz w:val="20"/>
          <w:szCs w:val="20"/>
        </w:rPr>
        <w:t>All oral and written material presented at a seminar or given in a speech is accurate and not misleading;</w:t>
      </w:r>
    </w:p>
    <w:p>
      <w:pPr>
        <w:numPr>
          <w:ilvl w:val="0"/>
          <w:numId w:val="544"/>
        </w:numPr>
        <w:ind w:left="720" w:hanging="192"/>
        <w:jc w:val="left"/>
        <w:rPr>
          <w:rFonts w:eastAsia="Arial" w:cs="Arial"/>
          <w:sz w:val="20"/>
          <w:szCs w:val="20"/>
        </w:rPr>
      </w:pPr>
      <w:r>
        <w:rPr>
          <w:rFonts w:eastAsia="Arial" w:cs="Arial"/>
          <w:sz w:val="20"/>
          <w:szCs w:val="20"/>
        </w:rPr>
        <w:t>No claims or statements that cannot be substantiated are made;</w:t>
      </w:r>
    </w:p>
    <w:p>
      <w:pPr>
        <w:numPr>
          <w:ilvl w:val="0"/>
          <w:numId w:val="544"/>
        </w:numPr>
        <w:ind w:left="720" w:hanging="192"/>
        <w:jc w:val="left"/>
        <w:rPr>
          <w:rFonts w:eastAsia="Arial" w:cs="Arial"/>
          <w:sz w:val="20"/>
          <w:szCs w:val="20"/>
        </w:rPr>
      </w:pPr>
      <w:r>
        <w:rPr>
          <w:rFonts w:eastAsia="Arial" w:cs="Arial"/>
          <w:sz w:val="20"/>
          <w:szCs w:val="20"/>
        </w:rPr>
        <w:t xml:space="preserve">The [Chief Compliance Officer] pre-clears each proposed seminar and scripted speech; </w:t>
      </w:r>
    </w:p>
    <w:p>
      <w:pPr>
        <w:numPr>
          <w:ilvl w:val="0"/>
          <w:numId w:val="544"/>
        </w:numPr>
        <w:ind w:left="720" w:hanging="192"/>
        <w:jc w:val="left"/>
        <w:rPr>
          <w:rFonts w:eastAsia="Arial" w:cs="Arial"/>
          <w:sz w:val="20"/>
          <w:szCs w:val="20"/>
        </w:rPr>
      </w:pPr>
      <w:r>
        <w:rPr>
          <w:rFonts w:eastAsia="Arial" w:cs="Arial"/>
          <w:sz w:val="20"/>
          <w:szCs w:val="20"/>
        </w:rPr>
        <w:t xml:space="preserve">All materials proposed to be disseminated at the seminar or speech are submitted to the [Chief Compliance Officer] at least four weeks prior to the date of the seminar or speech to allow adequate time for the review of the materials and to correct any disclosure or other issues; </w:t>
      </w:r>
    </w:p>
    <w:p>
      <w:pPr>
        <w:numPr>
          <w:ilvl w:val="0"/>
          <w:numId w:val="544"/>
        </w:numPr>
        <w:ind w:left="720" w:hanging="192"/>
        <w:jc w:val="left"/>
        <w:rPr>
          <w:rFonts w:eastAsia="Arial" w:cs="Arial"/>
          <w:sz w:val="20"/>
          <w:szCs w:val="20"/>
        </w:rPr>
      </w:pPr>
      <w:r>
        <w:rPr>
          <w:rFonts w:eastAsia="Arial" w:cs="Arial"/>
          <w:sz w:val="20"/>
          <w:szCs w:val="20"/>
        </w:rPr>
        <w:t>The [Chief Compliance Officer] pre-clears materials to be disseminated or presented at the seminar, unless the materials have been designated by the [Chief Compliance Officer] as "Standardized Materials," which means they have been previously approved by the [Chief Compliance Officer] and are still current;</w:t>
      </w:r>
    </w:p>
    <w:p>
      <w:pPr>
        <w:numPr>
          <w:ilvl w:val="0"/>
          <w:numId w:val="544"/>
        </w:numPr>
        <w:ind w:left="720" w:hanging="192"/>
        <w:jc w:val="left"/>
        <w:rPr>
          <w:rFonts w:eastAsia="Arial" w:cs="Arial"/>
          <w:sz w:val="20"/>
          <w:szCs w:val="20"/>
        </w:rPr>
      </w:pPr>
      <w:r>
        <w:rPr>
          <w:rFonts w:eastAsia="Arial" w:cs="Arial"/>
          <w:sz w:val="20"/>
          <w:szCs w:val="20"/>
        </w:rPr>
        <w:t>The [Chief Compliance Officer] and the Advertising Legal Counsel review, pre-approve and maintain copies of invitations to the seminar and scripted speech;</w:t>
      </w:r>
    </w:p>
    <w:p>
      <w:pPr>
        <w:numPr>
          <w:ilvl w:val="0"/>
          <w:numId w:val="544"/>
        </w:numPr>
        <w:ind w:left="720" w:hanging="192"/>
        <w:jc w:val="left"/>
        <w:rPr>
          <w:rFonts w:eastAsia="Arial" w:cs="Arial"/>
          <w:sz w:val="20"/>
          <w:szCs w:val="20"/>
        </w:rPr>
      </w:pPr>
      <w:r>
        <w:rPr>
          <w:rFonts w:eastAsia="Arial" w:cs="Arial"/>
          <w:sz w:val="20"/>
          <w:szCs w:val="20"/>
        </w:rPr>
        <w:t xml:space="preserve">The [Chief Compliance Officer] and the Advertising Legal Counsel review, pre-approve and maintain copies of any written materials, slides, and other presentation materials to be supplied at the seminar or speech; and </w:t>
      </w:r>
    </w:p>
    <w:p>
      <w:pPr>
        <w:numPr>
          <w:ilvl w:val="0"/>
          <w:numId w:val="544"/>
        </w:numPr>
        <w:spacing w:after="200"/>
        <w:ind w:left="720" w:hanging="192"/>
        <w:jc w:val="left"/>
        <w:rPr>
          <w:rFonts w:eastAsia="Arial" w:cs="Arial"/>
          <w:sz w:val="20"/>
          <w:szCs w:val="20"/>
        </w:rPr>
      </w:pPr>
      <w:r>
        <w:rPr>
          <w:rFonts w:eastAsia="Arial" w:cs="Arial"/>
          <w:sz w:val="20"/>
          <w:szCs w:val="20"/>
        </w:rPr>
        <w:t xml:space="preserve">The Adviser Representative making the presentation at a seminar or giving the speech identifies himself or herself to the participants as a representative of KCD. </w:t>
      </w:r>
    </w:p>
    <w:p>
      <w:bookmarkEnd w:id="613"/>
      <w:bookmarkStart w:id="614" w:name="Sec_Chp_061016102254625_0610161022551871"/>
    </w:p>
    <w:p>
      <w:pPr>
        <w:pStyle w:val="Heading4"/>
      </w:pPr>
      <w:r>
        <w:t>9.4.4.5 Senior Citizens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Regulators such as the SEC continue to focus on how financial products and services, including investment advisory services, are sold to senior citizens. Two key areas subject to scrutiny are how financial firms communicate with senior citizens and the suitability of financial products and services recommended to senior citizens. Regulators have sanctioned firms that fail to ensure that senior citizens are thoroughly informed of both the advantages and disadvantages associated with various investment products and recommendations. The SEC has commissioned the RAND Corporation to conduct a study that includes an evaluation of "the current legal and regulatory environment for the provision of financial products, accounts, programs and services to senior investors by broker-dealers and investment advisers."</w:t>
      </w:r>
    </w:p>
    <w:p>
      <w:pPr>
        <w:pStyle w:val="normal0"/>
        <w:spacing w:before="200" w:after="200"/>
        <w:rPr>
          <w:rFonts w:eastAsia="Arial" w:cs="Arial"/>
          <w:sz w:val="20"/>
          <w:szCs w:val="20"/>
        </w:rPr>
      </w:pPr>
      <w:r>
        <w:rPr>
          <w:rFonts w:eastAsia="Arial" w:cs="Arial"/>
          <w:sz w:val="20"/>
          <w:szCs w:val="20"/>
        </w:rPr>
        <w:t>Prior to marketing financial services to senior citizens, KCD shall:</w:t>
      </w:r>
    </w:p>
    <w:p>
      <w:pPr>
        <w:numPr>
          <w:ilvl w:val="0"/>
          <w:numId w:val="545"/>
        </w:numPr>
        <w:spacing w:before="200"/>
        <w:ind w:left="720" w:hanging="192"/>
        <w:jc w:val="left"/>
        <w:rPr>
          <w:rFonts w:eastAsia="Arial" w:cs="Arial"/>
          <w:sz w:val="20"/>
          <w:szCs w:val="20"/>
        </w:rPr>
      </w:pPr>
      <w:r>
        <w:rPr>
          <w:rFonts w:eastAsia="Arial" w:cs="Arial"/>
          <w:sz w:val="20"/>
          <w:szCs w:val="20"/>
        </w:rPr>
        <w:t>Consider the font size, color and other visual factors in materials distributed to senior citizens;</w:t>
      </w:r>
    </w:p>
    <w:p>
      <w:pPr>
        <w:numPr>
          <w:ilvl w:val="0"/>
          <w:numId w:val="545"/>
        </w:numPr>
        <w:ind w:left="720" w:hanging="192"/>
        <w:jc w:val="left"/>
        <w:rPr>
          <w:rFonts w:eastAsia="Arial" w:cs="Arial"/>
          <w:sz w:val="20"/>
          <w:szCs w:val="20"/>
        </w:rPr>
      </w:pPr>
      <w:r>
        <w:rPr>
          <w:rFonts w:eastAsia="Arial" w:cs="Arial"/>
          <w:sz w:val="20"/>
          <w:szCs w:val="20"/>
        </w:rPr>
        <w:t>Not permit its representatives to make sales calls on clients in nursing homes, assisted living facilities or similar special care or elder living settings without the express written approval of the Operations Manager/Firm Principal;</w:t>
      </w:r>
    </w:p>
    <w:p>
      <w:pPr>
        <w:numPr>
          <w:ilvl w:val="0"/>
          <w:numId w:val="545"/>
        </w:numPr>
        <w:ind w:left="720" w:hanging="192"/>
        <w:jc w:val="left"/>
        <w:rPr>
          <w:rFonts w:eastAsia="Arial" w:cs="Arial"/>
          <w:sz w:val="20"/>
          <w:szCs w:val="20"/>
        </w:rPr>
      </w:pPr>
      <w:r>
        <w:rPr>
          <w:rFonts w:eastAsia="Arial" w:cs="Arial"/>
          <w:sz w:val="20"/>
          <w:szCs w:val="20"/>
        </w:rPr>
        <w:t>Maintain a list of securities and financial products that are deemed inappropriate to recommend to senior citizens;</w:t>
      </w:r>
    </w:p>
    <w:p>
      <w:pPr>
        <w:numPr>
          <w:ilvl w:val="0"/>
          <w:numId w:val="545"/>
        </w:numPr>
        <w:ind w:left="720" w:hanging="192"/>
        <w:jc w:val="left"/>
        <w:rPr>
          <w:rFonts w:eastAsia="Arial" w:cs="Arial"/>
          <w:sz w:val="20"/>
          <w:szCs w:val="20"/>
        </w:rPr>
      </w:pPr>
      <w:r>
        <w:rPr>
          <w:rFonts w:eastAsia="Arial" w:cs="Arial"/>
          <w:sz w:val="20"/>
          <w:szCs w:val="20"/>
        </w:rPr>
        <w:t>When appropriate and feasible, consult with or seek the involvement of the family such as beneficiaries and children of a senior citizen client;</w:t>
      </w:r>
    </w:p>
    <w:p>
      <w:pPr>
        <w:numPr>
          <w:ilvl w:val="0"/>
          <w:numId w:val="545"/>
        </w:numPr>
        <w:ind w:left="720" w:hanging="192"/>
        <w:jc w:val="left"/>
        <w:rPr>
          <w:rFonts w:eastAsia="Arial" w:cs="Arial"/>
          <w:sz w:val="20"/>
          <w:szCs w:val="20"/>
        </w:rPr>
      </w:pPr>
      <w:r>
        <w:rPr>
          <w:rFonts w:eastAsia="Arial" w:cs="Arial"/>
          <w:sz w:val="20"/>
          <w:szCs w:val="20"/>
        </w:rPr>
        <w:t xml:space="preserve">Look for signals suggesting changes in comprehension, dementia and other factors indicating a decrease in mental faculties; </w:t>
      </w:r>
    </w:p>
    <w:p>
      <w:pPr>
        <w:numPr>
          <w:ilvl w:val="0"/>
          <w:numId w:val="545"/>
        </w:numPr>
        <w:ind w:left="720" w:hanging="192"/>
        <w:jc w:val="left"/>
        <w:rPr>
          <w:rFonts w:eastAsia="Arial" w:cs="Arial"/>
          <w:sz w:val="20"/>
          <w:szCs w:val="20"/>
        </w:rPr>
      </w:pPr>
      <w:r>
        <w:rPr>
          <w:rFonts w:eastAsia="Arial" w:cs="Arial"/>
          <w:sz w:val="20"/>
          <w:szCs w:val="20"/>
        </w:rPr>
        <w:t>Monitor issues impacting senior citizens through publications by AARP and similar organizations; and</w:t>
      </w:r>
    </w:p>
    <w:p>
      <w:pPr>
        <w:numPr>
          <w:ilvl w:val="0"/>
          <w:numId w:val="545"/>
        </w:numPr>
        <w:spacing w:after="200"/>
        <w:ind w:left="720" w:hanging="192"/>
        <w:jc w:val="left"/>
        <w:rPr>
          <w:rFonts w:eastAsia="Arial" w:cs="Arial"/>
          <w:sz w:val="20"/>
          <w:szCs w:val="20"/>
        </w:rPr>
      </w:pPr>
      <w:r>
        <w:rPr>
          <w:rFonts w:eastAsia="Arial" w:cs="Arial"/>
          <w:sz w:val="20"/>
          <w:szCs w:val="20"/>
        </w:rPr>
        <w:t>Consider educating senior citizen clients about particular types of fraud and schemes where senior citizens are disproportionately the victims.</w:t>
      </w:r>
    </w:p>
    <w:p>
      <w:bookmarkEnd w:id="614"/>
      <w:bookmarkStart w:id="615" w:name="Sec_Chp_061016102254625_0610161022552509"/>
    </w:p>
    <w:p>
      <w:pPr>
        <w:pStyle w:val="Heading4"/>
      </w:pPr>
      <w:r>
        <w:t>9.4.4.6 Unsolicited Requests for Information</w:t>
      </w:r>
    </w:p>
    <w:p/>
    <w:p>
      <w:pPr>
        <w:rPr>
          <w:rFonts w:eastAsia="Arial" w:cs="Arial"/>
          <w:sz w:val="16"/>
          <w:szCs w:val="16"/>
        </w:rPr>
      </w:pPr>
      <w:r>
        <w:rPr>
          <w:rFonts w:eastAsia="Arial" w:cs="Arial"/>
          <w:sz w:val="16"/>
          <w:szCs w:val="16"/>
        </w:rPr>
        <w:t>[Investment Advisers Act of 1940 Rule 206(4)-1]</w:t>
      </w:r>
    </w:p>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"one-on-one" exclusion from the definition in Rule 206(4)-1 under the Advisers Act deems an adviser's responses to unsolicited requests from clients or investors to not be an "advertisement."</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will not deem a written communication to a client, prospective client or consultant to be an advertisement subject to the restrictions set forth herein if such written communication merely responds to an unsolicited request by a client, prospective client or consultant for specific information.</w:t>
      </w:r>
    </w:p>
    <w:p>
      <w:pPr>
        <w:spacing w:before="200" w:after="200"/>
        <w:rPr>
          <w:rFonts w:eastAsia="Arial" w:cs="Arial"/>
          <w:sz w:val="20"/>
          <w:szCs w:val="20"/>
        </w:rPr>
      </w:pPr>
      <w:r>
        <w:rPr>
          <w:rFonts w:eastAsia="Arial" w:cs="Arial"/>
          <w:sz w:val="20"/>
          <w:szCs w:val="20"/>
        </w:rPr>
        <w:t xml:space="preserve">Please note that hypothetical performance information disseminated to a client or investor who seeks such information because he or she is responding to a communication disseminated by an adviser offering its investment advisory services would not meet the "one-on-one" exclusion from the definition in Rule 206(4)-1 under the Advisers Act. </w:t>
      </w:r>
    </w:p>
    <w:p>
      <w:bookmarkEnd w:id="615"/>
      <w:bookmarkStart w:id="616" w:name="Sec_Chp_061016102254625_061016102255250"/>
    </w:p>
    <w:p>
      <w:pPr>
        <w:pStyle w:val="Heading4"/>
      </w:pPr>
      <w:r>
        <w:t>9.4.4.7 Use of Initials "RIA" and SEC Approval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not use the initials "RIA" or "R.I.A.," which stands for "registered investment adviser" following its name on any printed materials. </w:t>
      </w:r>
    </w:p>
    <w:p>
      <w:pPr>
        <w:spacing w:before="200" w:after="200"/>
        <w:rPr>
          <w:rFonts w:eastAsia="Arial" w:cs="Arial"/>
          <w:sz w:val="20"/>
          <w:szCs w:val="20"/>
        </w:rPr>
      </w:pPr>
      <w:r>
        <w:rPr>
          <w:rFonts w:eastAsia="Arial" w:cs="Arial"/>
          <w:sz w:val="20"/>
          <w:szCs w:val="20"/>
        </w:rPr>
        <w:t>KCD may not represent or imply that the SEC has sponsored, approved or recommended KCD, or that the SEC has passed upon its abilities or qualifications. However, KCD or a person representing KCD may state that KCD is registered with the SEC as an investment adviser if the statement is true and if the effect of its registration is not misrepresented.</w:t>
      </w:r>
    </w:p>
    <w:p>
      <w:bookmarkEnd w:id="616"/>
      <w:bookmarkStart w:id="617" w:name="Sec_Chp_061016102254625_061016102255265"/>
    </w:p>
    <w:p>
      <w:pPr>
        <w:pStyle w:val="Heading4"/>
      </w:pPr>
      <w:r>
        <w:t>9.4.4.8 Web Site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An investment adviser's web site can be an excellent marketing tool that describes the investment adviser and its services. Beyond such basic information, investment advisers often design the site to offer information, tools, and other services to a client as a way of encouraging existing and potential clients to visit the web site. Web sites can offer numerous features including links to financial sites, graphics, and financial clients. Sophisticated sites allow clients to access account information. </w:t>
      </w:r>
    </w:p>
    <w:p>
      <w:pPr>
        <w:pStyle w:val="normal0"/>
        <w:spacing w:before="200" w:after="200"/>
        <w:rPr>
          <w:rFonts w:eastAsia="Arial" w:cs="Arial"/>
          <w:sz w:val="20"/>
          <w:szCs w:val="20"/>
        </w:rPr>
      </w:pPr>
      <w:r>
        <w:rPr>
          <w:rFonts w:eastAsia="Arial" w:cs="Arial"/>
          <w:sz w:val="20"/>
          <w:szCs w:val="20"/>
        </w:rPr>
        <w:t>The SEC generally treats an investment adviser's web site as an advertisement. Consequently, it is KCD's policy to control the content and its presentation on the web site through the following procedures:</w:t>
      </w:r>
    </w:p>
    <w:p>
      <w:pPr>
        <w:numPr>
          <w:ilvl w:val="0"/>
          <w:numId w:val="546"/>
        </w:numPr>
        <w:spacing w:before="200"/>
        <w:ind w:left="720" w:hanging="192"/>
        <w:jc w:val="left"/>
        <w:rPr>
          <w:rFonts w:eastAsia="Arial" w:cs="Arial"/>
          <w:sz w:val="20"/>
          <w:szCs w:val="20"/>
        </w:rPr>
      </w:pPr>
      <w:r>
        <w:rPr>
          <w:rFonts w:eastAsia="Arial" w:cs="Arial"/>
          <w:sz w:val="20"/>
          <w:szCs w:val="20"/>
        </w:rPr>
        <w:t>No employee of KCD may change, modify, add or delete content on the web site, including the addition or deletion of links, without the express approval of the Operations Manager/Firm Principal and the Advertising Legal Counsel.</w:t>
      </w:r>
    </w:p>
    <w:p>
      <w:pPr>
        <w:numPr>
          <w:ilvl w:val="0"/>
          <w:numId w:val="546"/>
        </w:numPr>
        <w:ind w:left="720" w:hanging="192"/>
        <w:jc w:val="left"/>
        <w:rPr>
          <w:rFonts w:eastAsia="Arial" w:cs="Arial"/>
          <w:sz w:val="20"/>
          <w:szCs w:val="20"/>
        </w:rPr>
      </w:pPr>
      <w:r>
        <w:rPr>
          <w:rFonts w:eastAsia="Arial" w:cs="Arial"/>
          <w:sz w:val="20"/>
          <w:szCs w:val="20"/>
        </w:rPr>
        <w:t>All information placed on the web site may only be for informational purposes. No information that constitutes an offer to sell or buy a security or a form of investment advice may be placed on the web site. The web site will contain a disclaimer making this representation.</w:t>
      </w:r>
    </w:p>
    <w:p>
      <w:pPr>
        <w:numPr>
          <w:ilvl w:val="0"/>
          <w:numId w:val="546"/>
        </w:numPr>
        <w:ind w:left="720" w:hanging="192"/>
        <w:jc w:val="left"/>
        <w:rPr>
          <w:rFonts w:eastAsia="Arial" w:cs="Arial"/>
          <w:sz w:val="20"/>
          <w:szCs w:val="20"/>
        </w:rPr>
      </w:pPr>
      <w:r>
        <w:rPr>
          <w:rFonts w:eastAsia="Arial" w:cs="Arial"/>
          <w:sz w:val="20"/>
          <w:szCs w:val="20"/>
        </w:rPr>
        <w:t>All content placed on the site shall be truthful and not misleading.</w:t>
      </w:r>
    </w:p>
    <w:p>
      <w:pPr>
        <w:numPr>
          <w:ilvl w:val="0"/>
          <w:numId w:val="546"/>
        </w:numPr>
        <w:spacing w:after="200"/>
        <w:ind w:left="720" w:hanging="192"/>
        <w:jc w:val="left"/>
        <w:rPr>
          <w:rFonts w:eastAsia="Arial" w:cs="Arial"/>
          <w:sz w:val="20"/>
          <w:szCs w:val="20"/>
        </w:rPr>
      </w:pPr>
      <w:r>
        <w:rPr>
          <w:rFonts w:eastAsia="Arial" w:cs="Arial"/>
          <w:sz w:val="20"/>
          <w:szCs w:val="20"/>
        </w:rPr>
        <w:t>The web site shall contain a section referenced on the home page that contains the web site's terms and conditions of use by viewers.</w:t>
      </w:r>
    </w:p>
    <w:p>
      <w:pPr>
        <w:pStyle w:val="normal0"/>
        <w:spacing w:before="200" w:after="200"/>
        <w:rPr>
          <w:rFonts w:eastAsia="Arial" w:cs="Arial"/>
          <w:sz w:val="20"/>
          <w:szCs w:val="20"/>
        </w:rPr>
      </w:pPr>
      <w:r>
        <w:rPr>
          <w:rFonts w:eastAsia="Arial" w:cs="Arial"/>
          <w:sz w:val="20"/>
          <w:szCs w:val="20"/>
        </w:rPr>
        <w:t xml:space="preserve">The use of hyperlinks in KCD's web site to third-party information has the potential of creating liability to KCD for the hyperlinked information. </w:t>
      </w:r>
      <w:r>
        <w:rPr>
          <w:rFonts w:eastAsia="Arial" w:cs="Arial"/>
          <w:i/>
          <w:iCs/>
          <w:sz w:val="20"/>
          <w:szCs w:val="20"/>
        </w:rPr>
        <w:t>See Commission Guidance on the Use of Company Web Sites, Securities Act Release No. 58288 (Aug. 1, 2008).</w:t>
      </w:r>
      <w:r>
        <w:rPr>
          <w:rFonts w:eastAsia="Arial" w:cs="Arial"/>
          <w:sz w:val="20"/>
          <w:szCs w:val="20"/>
        </w:rPr>
        <w:t xml:space="preserve"> To address this concern, KCD, prior to hyperlinking to information on any third-party web site, will consider the following factors:</w:t>
      </w:r>
    </w:p>
    <w:p>
      <w:pPr>
        <w:numPr>
          <w:ilvl w:val="0"/>
          <w:numId w:val="547"/>
        </w:numPr>
        <w:spacing w:before="200"/>
        <w:ind w:left="720" w:hanging="192"/>
        <w:jc w:val="left"/>
        <w:rPr>
          <w:rFonts w:eastAsia="Arial" w:cs="Arial"/>
          <w:sz w:val="20"/>
          <w:szCs w:val="20"/>
        </w:rPr>
      </w:pPr>
      <w:r>
        <w:rPr>
          <w:rFonts w:eastAsia="Arial" w:cs="Arial"/>
          <w:i/>
          <w:iCs/>
          <w:sz w:val="20"/>
          <w:szCs w:val="20"/>
        </w:rPr>
        <w:t>Context of the hyperlink.</w:t>
      </w:r>
      <w:r>
        <w:rPr>
          <w:rFonts w:eastAsia="Arial" w:cs="Arial"/>
          <w:sz w:val="20"/>
          <w:szCs w:val="20"/>
        </w:rPr>
        <w:t xml:space="preserve"> What KCD says about the hyperlink or what is implied by the context in which KCD places the hyperlink;</w:t>
      </w:r>
    </w:p>
    <w:p>
      <w:pPr>
        <w:numPr>
          <w:ilvl w:val="0"/>
          <w:numId w:val="547"/>
        </w:numPr>
        <w:ind w:left="720" w:hanging="192"/>
        <w:jc w:val="left"/>
        <w:rPr>
          <w:rFonts w:eastAsia="Arial" w:cs="Arial"/>
          <w:sz w:val="20"/>
          <w:szCs w:val="20"/>
        </w:rPr>
      </w:pPr>
      <w:r>
        <w:rPr>
          <w:rFonts w:eastAsia="Arial" w:cs="Arial"/>
          <w:i/>
          <w:iCs/>
          <w:sz w:val="20"/>
          <w:szCs w:val="20"/>
        </w:rPr>
        <w:t>Risk of confusing clients or prospective clients.</w:t>
      </w:r>
      <w:r>
        <w:rPr>
          <w:rFonts w:eastAsia="Arial" w:cs="Arial"/>
          <w:sz w:val="20"/>
          <w:szCs w:val="20"/>
        </w:rPr>
        <w:t xml:space="preserve"> The presence or absence of precautions against client or prospective client confusion about the source of the information; and</w:t>
      </w:r>
    </w:p>
    <w:p>
      <w:pPr>
        <w:numPr>
          <w:ilvl w:val="0"/>
          <w:numId w:val="547"/>
        </w:numPr>
        <w:spacing w:after="200"/>
        <w:ind w:left="720" w:hanging="192"/>
        <w:jc w:val="left"/>
        <w:rPr>
          <w:rFonts w:eastAsia="Arial" w:cs="Arial"/>
          <w:sz w:val="20"/>
          <w:szCs w:val="20"/>
        </w:rPr>
      </w:pPr>
      <w:r>
        <w:rPr>
          <w:rFonts w:eastAsia="Arial" w:cs="Arial"/>
          <w:i/>
          <w:iCs/>
          <w:sz w:val="20"/>
          <w:szCs w:val="20"/>
        </w:rPr>
        <w:t>Presentation of the hyperlinked information.</w:t>
      </w:r>
      <w:r>
        <w:rPr>
          <w:rFonts w:eastAsia="Arial" w:cs="Arial"/>
          <w:sz w:val="20"/>
          <w:szCs w:val="20"/>
        </w:rPr>
        <w:t xml:space="preserve"> How the hyperlink is presented graphically on the web site, including the layout of the screen concerning the hyperlink.</w:t>
      </w:r>
    </w:p>
    <w:p>
      <w:pPr>
        <w:pStyle w:val="normal0"/>
        <w:spacing w:before="200" w:after="200"/>
        <w:rPr>
          <w:rFonts w:eastAsia="Arial" w:cs="Arial"/>
          <w:sz w:val="20"/>
          <w:szCs w:val="20"/>
        </w:rPr>
      </w:pPr>
      <w:r>
        <w:rPr>
          <w:rFonts w:eastAsia="Arial" w:cs="Arial"/>
          <w:sz w:val="20"/>
          <w:szCs w:val="20"/>
        </w:rPr>
        <w:t>After considering these factors, KCD will only post the hyperlink if, in its reasonable view, it concludes that the context of the hyperlink and the hyperlinked information does not create a reasonable inference that KCD has approved or endorsed the hyperlinked information.</w:t>
      </w:r>
    </w:p>
    <w:p>
      <w:bookmarkEnd w:id="617"/>
      <w:bookmarkStart w:id="618" w:name="Sec_Chp_061016102254625_93419"/>
    </w:p>
    <w:p>
      <w:pPr>
        <w:pStyle w:val="Heading4"/>
      </w:pPr>
      <w:r>
        <w:t>9.4.4.9 Social Media Marketing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KCD's use of social media for marketing is governed by these procedures.</w:t>
      </w:r>
    </w:p>
    <w:p>
      <w:pPr>
        <w:pStyle w:val="normal0"/>
        <w:spacing w:before="200" w:after="200"/>
        <w:rPr>
          <w:rFonts w:eastAsia="Arial" w:cs="Arial"/>
          <w:sz w:val="20"/>
          <w:szCs w:val="20"/>
        </w:rPr>
      </w:pPr>
      <w:r>
        <w:rPr>
          <w:rFonts w:eastAsia="Arial" w:cs="Arial"/>
          <w:b/>
          <w:bCs/>
          <w:sz w:val="20"/>
          <w:szCs w:val="20"/>
        </w:rPr>
        <w:t>Definition</w:t>
      </w:r>
    </w:p>
    <w:p>
      <w:pPr>
        <w:pStyle w:val="normal0"/>
        <w:spacing w:before="200" w:after="200"/>
        <w:rPr>
          <w:rFonts w:eastAsia="Arial" w:cs="Arial"/>
          <w:sz w:val="20"/>
          <w:szCs w:val="20"/>
        </w:rPr>
      </w:pPr>
      <w:r>
        <w:rPr>
          <w:rFonts w:eastAsia="Arial" w:cs="Arial"/>
          <w:sz w:val="20"/>
          <w:szCs w:val="20"/>
        </w:rPr>
        <w:t xml:space="preserve">With respect to any and each proposed use of social media, KCD shall determine whether the particular social media medium is an advertisement. See the section </w:t>
      </w:r>
      <w:r>
        <w:rPr>
          <w:rFonts w:eastAsia="Arial" w:cs="Arial"/>
          <w:i/>
          <w:iCs/>
          <w:sz w:val="20"/>
          <w:szCs w:val="20"/>
        </w:rPr>
        <w:t>Advertisement Determination</w:t>
      </w:r>
      <w:r>
        <w:rPr>
          <w:rFonts w:eastAsia="Arial" w:cs="Arial"/>
          <w:sz w:val="20"/>
          <w:szCs w:val="20"/>
        </w:rPr>
        <w:t xml:space="preserve"> in this chapter. If so, it will make sure that the use of social media to communicate to potential or existing clients follows these procedures.</w:t>
      </w:r>
    </w:p>
    <w:p>
      <w:pPr>
        <w:pStyle w:val="normal0"/>
        <w:spacing w:before="200" w:after="200"/>
        <w:rPr>
          <w:rFonts w:eastAsia="Arial" w:cs="Arial"/>
          <w:sz w:val="20"/>
          <w:szCs w:val="20"/>
        </w:rPr>
      </w:pPr>
      <w:r>
        <w:rPr>
          <w:rFonts w:eastAsia="Arial" w:cs="Arial"/>
          <w:b/>
          <w:bCs/>
          <w:sz w:val="20"/>
          <w:szCs w:val="20"/>
        </w:rPr>
        <w:t>Firm Social Media Use for Marketing Purposes</w:t>
      </w:r>
    </w:p>
    <w:p>
      <w:pPr>
        <w:pStyle w:val="normal0"/>
        <w:spacing w:before="200" w:after="200"/>
        <w:rPr>
          <w:rFonts w:eastAsia="Arial" w:cs="Arial"/>
          <w:sz w:val="20"/>
          <w:szCs w:val="20"/>
        </w:rPr>
      </w:pPr>
      <w:r>
        <w:rPr>
          <w:rFonts w:eastAsia="Arial" w:cs="Arial"/>
          <w:sz w:val="20"/>
          <w:szCs w:val="20"/>
        </w:rPr>
        <w:t>Any use of social media by KCD:</w:t>
      </w:r>
    </w:p>
    <w:p>
      <w:pPr>
        <w:numPr>
          <w:ilvl w:val="0"/>
          <w:numId w:val="548"/>
        </w:numPr>
        <w:spacing w:before="200"/>
        <w:ind w:left="720" w:hanging="192"/>
        <w:jc w:val="left"/>
        <w:rPr>
          <w:rFonts w:eastAsia="Arial" w:cs="Arial"/>
          <w:sz w:val="20"/>
          <w:szCs w:val="20"/>
        </w:rPr>
      </w:pPr>
      <w:r>
        <w:rPr>
          <w:rFonts w:eastAsia="Arial" w:cs="Arial"/>
          <w:sz w:val="20"/>
          <w:szCs w:val="20"/>
        </w:rPr>
        <w:t>must be accurate and not fraudulent, deceptive, manipulative, or misleading;</w:t>
      </w:r>
    </w:p>
    <w:p>
      <w:pPr>
        <w:numPr>
          <w:ilvl w:val="0"/>
          <w:numId w:val="548"/>
        </w:numPr>
        <w:ind w:left="720" w:hanging="192"/>
        <w:jc w:val="left"/>
        <w:rPr>
          <w:rFonts w:eastAsia="Arial" w:cs="Arial"/>
          <w:sz w:val="20"/>
          <w:szCs w:val="20"/>
        </w:rPr>
      </w:pPr>
      <w:r>
        <w:rPr>
          <w:rFonts w:eastAsia="Arial" w:cs="Arial"/>
          <w:sz w:val="20"/>
          <w:szCs w:val="20"/>
        </w:rPr>
        <w:t>must not omit to state material information;</w:t>
      </w:r>
    </w:p>
    <w:p>
      <w:pPr>
        <w:numPr>
          <w:ilvl w:val="0"/>
          <w:numId w:val="548"/>
        </w:numPr>
        <w:ind w:left="720" w:hanging="192"/>
        <w:jc w:val="left"/>
        <w:rPr>
          <w:rFonts w:eastAsia="Arial" w:cs="Arial"/>
          <w:sz w:val="20"/>
          <w:szCs w:val="20"/>
        </w:rPr>
      </w:pPr>
      <w:r>
        <w:rPr>
          <w:rFonts w:eastAsia="Arial" w:cs="Arial"/>
          <w:sz w:val="20"/>
          <w:szCs w:val="20"/>
        </w:rPr>
        <w:t xml:space="preserve">must comply with all internal guidelines and applicable rules associated with advertising set forth in this </w:t>
      </w:r>
      <w:r>
        <w:rPr>
          <w:rFonts w:eastAsia="Arial" w:cs="Arial"/>
          <w:i/>
          <w:iCs/>
          <w:sz w:val="20"/>
          <w:szCs w:val="20"/>
        </w:rPr>
        <w:t>MARKETING</w:t>
      </w:r>
      <w:r>
        <w:rPr>
          <w:rFonts w:eastAsia="Arial" w:cs="Arial"/>
          <w:sz w:val="20"/>
          <w:szCs w:val="20"/>
        </w:rPr>
        <w:t xml:space="preserve"> chapter; and</w:t>
      </w:r>
    </w:p>
    <w:p>
      <w:pPr>
        <w:numPr>
          <w:ilvl w:val="0"/>
          <w:numId w:val="548"/>
        </w:numPr>
        <w:spacing w:after="200"/>
        <w:ind w:left="720" w:hanging="192"/>
        <w:jc w:val="left"/>
        <w:rPr>
          <w:rFonts w:eastAsia="Arial" w:cs="Arial"/>
          <w:sz w:val="20"/>
          <w:szCs w:val="20"/>
        </w:rPr>
      </w:pPr>
      <w:r>
        <w:rPr>
          <w:rFonts w:eastAsia="Arial" w:cs="Arial"/>
          <w:sz w:val="20"/>
          <w:szCs w:val="20"/>
        </w:rPr>
        <w:t>must be reviewed prior to use by the CCO or his/her designee.</w:t>
      </w:r>
    </w:p>
    <w:p>
      <w:pPr>
        <w:pStyle w:val="normal0"/>
        <w:spacing w:before="200" w:after="200"/>
        <w:rPr>
          <w:rFonts w:eastAsia="Arial" w:cs="Arial"/>
          <w:sz w:val="20"/>
          <w:szCs w:val="20"/>
        </w:rPr>
      </w:pPr>
      <w:r>
        <w:rPr>
          <w:rFonts w:eastAsia="Arial" w:cs="Arial"/>
          <w:b/>
          <w:bCs/>
          <w:sz w:val="20"/>
          <w:szCs w:val="20"/>
        </w:rPr>
        <w:t>Employee Social Media Use for Marketing Purposes</w:t>
      </w:r>
    </w:p>
    <w:p>
      <w:pPr>
        <w:pStyle w:val="normal0"/>
        <w:spacing w:before="200" w:after="200"/>
        <w:rPr>
          <w:rFonts w:eastAsia="Arial" w:cs="Arial"/>
          <w:sz w:val="20"/>
          <w:szCs w:val="20"/>
        </w:rPr>
      </w:pPr>
      <w:r>
        <w:rPr>
          <w:rFonts w:eastAsia="Arial" w:cs="Arial"/>
          <w:sz w:val="20"/>
          <w:szCs w:val="20"/>
        </w:rPr>
        <w:t xml:space="preserve">Firm employees will not use social media for business purposes unless authorized to do so by the Chief Compliance Officer of KCD. No personal social media account or web page may be maintained by an individual employee for any business use. KCD does not permit any activity by its employees that would amount to adopting third-party content or endorsing it. See the chapter </w:t>
      </w:r>
      <w:r>
        <w:rPr>
          <w:rFonts w:eastAsia="Arial" w:cs="Arial"/>
          <w:i/>
          <w:iCs/>
          <w:sz w:val="20"/>
          <w:szCs w:val="20"/>
        </w:rPr>
        <w:t>EMPLOYEES</w:t>
      </w:r>
      <w:r>
        <w:rPr>
          <w:rFonts w:eastAsia="Arial" w:cs="Arial"/>
          <w:sz w:val="20"/>
          <w:szCs w:val="20"/>
        </w:rPr>
        <w:t xml:space="preserve"> in this Manual.</w:t>
      </w:r>
    </w:p>
    <w:p>
      <w:pPr>
        <w:pStyle w:val="normal0"/>
        <w:spacing w:before="200" w:after="200"/>
        <w:rPr>
          <w:rFonts w:eastAsia="Arial" w:cs="Arial"/>
          <w:sz w:val="20"/>
          <w:szCs w:val="20"/>
        </w:rPr>
      </w:pPr>
      <w:r>
        <w:rPr>
          <w:rFonts w:eastAsia="Arial" w:cs="Arial"/>
          <w:b/>
          <w:bCs/>
          <w:sz w:val="20"/>
          <w:szCs w:val="20"/>
        </w:rPr>
        <w:t>Content</w:t>
      </w:r>
    </w:p>
    <w:p>
      <w:pPr>
        <w:pStyle w:val="normal0"/>
        <w:spacing w:before="200" w:after="200"/>
        <w:rPr>
          <w:rFonts w:eastAsia="Arial" w:cs="Arial"/>
          <w:sz w:val="20"/>
          <w:szCs w:val="20"/>
        </w:rPr>
      </w:pPr>
      <w:r>
        <w:rPr>
          <w:rFonts w:eastAsia="Arial" w:cs="Arial"/>
          <w:sz w:val="20"/>
          <w:szCs w:val="20"/>
        </w:rPr>
        <w:t>The CCO is responsible for implementing and monitoring this policy and for reviewing and approving all content and other materials to be utilized in social media to ensure the materials are consistent with KCD's internal guidelines and applicable regulatory requirements.</w:t>
      </w:r>
    </w:p>
    <w:p>
      <w:pPr>
        <w:pStyle w:val="normal0"/>
        <w:spacing w:before="200" w:after="200"/>
        <w:rPr>
          <w:rFonts w:eastAsia="Arial" w:cs="Arial"/>
          <w:sz w:val="20"/>
          <w:szCs w:val="20"/>
        </w:rPr>
      </w:pPr>
      <w:r>
        <w:rPr>
          <w:rFonts w:eastAsia="Arial" w:cs="Arial"/>
          <w:sz w:val="20"/>
          <w:szCs w:val="20"/>
        </w:rPr>
        <w:t xml:space="preserve">See the section </w:t>
      </w:r>
      <w:r>
        <w:rPr>
          <w:rFonts w:eastAsia="Arial" w:cs="Arial"/>
          <w:i/>
          <w:iCs/>
          <w:sz w:val="20"/>
          <w:szCs w:val="20"/>
        </w:rPr>
        <w:t>Advertisements and Marketing Pieces Routing Procedures</w:t>
      </w:r>
      <w:r>
        <w:rPr>
          <w:rFonts w:eastAsia="Arial" w:cs="Arial"/>
          <w:sz w:val="20"/>
          <w:szCs w:val="20"/>
        </w:rPr>
        <w:t xml:space="preserve"> in this chapter.</w:t>
      </w:r>
    </w:p>
    <w:p>
      <w:pPr>
        <w:pStyle w:val="normal0"/>
        <w:spacing w:before="200" w:after="200"/>
        <w:rPr>
          <w:rFonts w:eastAsia="Arial" w:cs="Arial"/>
          <w:sz w:val="20"/>
          <w:szCs w:val="20"/>
        </w:rPr>
      </w:pPr>
      <w:r>
        <w:rPr>
          <w:rFonts w:eastAsia="Arial" w:cs="Arial"/>
          <w:b/>
          <w:bCs/>
          <w:sz w:val="20"/>
          <w:szCs w:val="20"/>
        </w:rPr>
        <w:t>Monitoring Interactive Content</w:t>
      </w:r>
    </w:p>
    <w:p>
      <w:pPr>
        <w:pStyle w:val="normal0"/>
        <w:spacing w:before="200" w:after="200"/>
        <w:rPr>
          <w:rFonts w:eastAsia="Arial" w:cs="Arial"/>
          <w:sz w:val="20"/>
          <w:szCs w:val="20"/>
        </w:rPr>
      </w:pPr>
      <w:r>
        <w:rPr>
          <w:rFonts w:eastAsia="Arial" w:cs="Arial"/>
          <w:sz w:val="20"/>
          <w:szCs w:val="20"/>
        </w:rPr>
        <w:t>The CCO or his/her designee shall take the following steps to monitor social media practices by KCD:</w:t>
      </w:r>
    </w:p>
    <w:p>
      <w:pPr>
        <w:numPr>
          <w:ilvl w:val="0"/>
          <w:numId w:val="549"/>
        </w:numPr>
        <w:spacing w:before="200"/>
        <w:ind w:left="720" w:hanging="192"/>
        <w:jc w:val="left"/>
        <w:rPr>
          <w:rFonts w:eastAsia="Arial" w:cs="Arial"/>
          <w:sz w:val="20"/>
          <w:szCs w:val="20"/>
        </w:rPr>
      </w:pPr>
      <w:r>
        <w:rPr>
          <w:rFonts w:eastAsia="Arial" w:cs="Arial"/>
          <w:sz w:val="20"/>
          <w:szCs w:val="20"/>
        </w:rPr>
        <w:t>The CCO will institute a program of ongoing monitoring of KCD's social media postings, including any third-party responses to KCD's postings, by reviewing interactive content on applicable sites, apps and platforms at least weekly.</w:t>
      </w:r>
    </w:p>
    <w:p>
      <w:pPr>
        <w:numPr>
          <w:ilvl w:val="0"/>
          <w:numId w:val="549"/>
        </w:numPr>
        <w:ind w:left="720" w:hanging="192"/>
        <w:jc w:val="left"/>
        <w:rPr>
          <w:rFonts w:eastAsia="Arial" w:cs="Arial"/>
          <w:sz w:val="20"/>
          <w:szCs w:val="20"/>
        </w:rPr>
      </w:pPr>
      <w:r>
        <w:rPr>
          <w:rFonts w:eastAsia="Arial" w:cs="Arial"/>
          <w:sz w:val="20"/>
          <w:szCs w:val="20"/>
        </w:rPr>
        <w:t>The CCO will institute a program of periodic monitoring of employee social media sites for compliance with this policy.</w:t>
      </w:r>
    </w:p>
    <w:p>
      <w:pPr>
        <w:numPr>
          <w:ilvl w:val="0"/>
          <w:numId w:val="549"/>
        </w:numPr>
        <w:ind w:left="720" w:hanging="192"/>
        <w:jc w:val="left"/>
        <w:rPr>
          <w:rFonts w:eastAsia="Arial" w:cs="Arial"/>
          <w:sz w:val="20"/>
          <w:szCs w:val="20"/>
        </w:rPr>
      </w:pPr>
      <w:r>
        <w:rPr>
          <w:rFonts w:eastAsia="Arial" w:cs="Arial"/>
          <w:sz w:val="20"/>
          <w:szCs w:val="20"/>
        </w:rPr>
        <w:t>KCD may utilize the services of a third-party to monitor its social media postings and any third-party responses thereto. If KCD utilizes the services of a third party for monitoring purposes, KCD shall obtain a periodic certification attesting that KCD has conducted ongoing monitoring of KCD's use of social media and any third-party content posted in response thereto, for compliance with this policy and any findings of non-compliance.</w:t>
      </w:r>
    </w:p>
    <w:p>
      <w:pPr>
        <w:numPr>
          <w:ilvl w:val="0"/>
          <w:numId w:val="549"/>
        </w:numPr>
        <w:spacing w:after="200"/>
        <w:ind w:left="720" w:hanging="192"/>
        <w:jc w:val="left"/>
        <w:rPr>
          <w:rFonts w:eastAsia="Arial" w:cs="Arial"/>
          <w:sz w:val="20"/>
          <w:szCs w:val="20"/>
        </w:rPr>
      </w:pPr>
      <w:r>
        <w:rPr>
          <w:rFonts w:eastAsia="Arial" w:cs="Arial"/>
          <w:sz w:val="20"/>
          <w:szCs w:val="20"/>
        </w:rPr>
        <w:t>KCD shall obtain periodic certifications from all employees attesting that they did not post any information that is related to KCD or KCD's business to any website or in any interactive media without prior consent of the CCO.</w:t>
      </w:r>
    </w:p>
    <w:p>
      <w:pPr>
        <w:pStyle w:val="normal0"/>
        <w:spacing w:before="200" w:after="200"/>
        <w:rPr>
          <w:rFonts w:eastAsia="Arial" w:cs="Arial"/>
          <w:sz w:val="20"/>
          <w:szCs w:val="20"/>
        </w:rPr>
      </w:pPr>
      <w:r>
        <w:rPr>
          <w:rFonts w:eastAsia="Arial" w:cs="Arial"/>
          <w:b/>
          <w:bCs/>
          <w:sz w:val="20"/>
          <w:szCs w:val="20"/>
        </w:rPr>
        <w:t>Entanglement</w:t>
      </w:r>
    </w:p>
    <w:p>
      <w:pPr>
        <w:pStyle w:val="normal0"/>
        <w:spacing w:before="200" w:after="200"/>
        <w:rPr>
          <w:rFonts w:eastAsia="Arial" w:cs="Arial"/>
          <w:sz w:val="20"/>
          <w:szCs w:val="20"/>
        </w:rPr>
      </w:pPr>
      <w:r>
        <w:rPr>
          <w:rFonts w:eastAsia="Arial" w:cs="Arial"/>
          <w:sz w:val="20"/>
          <w:szCs w:val="20"/>
        </w:rPr>
        <w:t xml:space="preserve">In response to any third-party postings (including "Likes") related to KCD's social media content, the CCO shall review the third-party postings to determine whether, in the opinion of the CCO, such third-party postings might be considered a testimonial of or otherwise related to KCD's social media content. </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Whether or not KCD will be entangled with a third-party posting that mentions KCD will depend in part on whether KCD controls the content of such posting. With respect to a given third-party posting, control by KCD of such posting depends on the facts and circumstances. This determination in part depends on whether KCD provides content to the third party for posting or is aware of such third-party posting and has the right or ability to alter or delete Firm-related content.</w:t>
            </w:r>
          </w:p>
        </w:tc>
      </w:tr>
    </w:tbl>
    <w:p>
      <w:pPr>
        <w:pStyle w:val="normal0"/>
        <w:spacing w:before="200" w:after="200"/>
        <w:rPr>
          <w:rFonts w:eastAsia="Arial" w:cs="Arial"/>
          <w:sz w:val="20"/>
          <w:szCs w:val="20"/>
        </w:rPr>
      </w:pPr>
      <w:r>
        <w:rPr>
          <w:rFonts w:eastAsia="Arial" w:cs="Arial"/>
          <w:sz w:val="20"/>
          <w:szCs w:val="20"/>
        </w:rPr>
        <w:t>The following are activities that may result in unwanted entanglement for KCD:</w:t>
      </w:r>
    </w:p>
    <w:p>
      <w:pPr>
        <w:numPr>
          <w:ilvl w:val="0"/>
          <w:numId w:val="550"/>
        </w:numPr>
        <w:spacing w:before="200"/>
        <w:ind w:left="720" w:hanging="192"/>
        <w:jc w:val="left"/>
        <w:rPr>
          <w:rFonts w:eastAsia="Arial" w:cs="Arial"/>
          <w:sz w:val="20"/>
          <w:szCs w:val="20"/>
        </w:rPr>
      </w:pPr>
      <w:r>
        <w:rPr>
          <w:rFonts w:eastAsia="Arial" w:cs="Arial"/>
          <w:sz w:val="20"/>
          <w:szCs w:val="20"/>
        </w:rPr>
        <w:t>assisting in the preparation of content for any third party;</w:t>
      </w:r>
    </w:p>
    <w:p>
      <w:pPr>
        <w:numPr>
          <w:ilvl w:val="0"/>
          <w:numId w:val="550"/>
        </w:numPr>
        <w:ind w:left="720" w:hanging="192"/>
        <w:jc w:val="left"/>
        <w:rPr>
          <w:rFonts w:eastAsia="Arial" w:cs="Arial"/>
          <w:sz w:val="20"/>
          <w:szCs w:val="20"/>
        </w:rPr>
      </w:pPr>
      <w:r>
        <w:rPr>
          <w:rFonts w:eastAsia="Arial" w:cs="Arial"/>
          <w:sz w:val="20"/>
          <w:szCs w:val="20"/>
        </w:rPr>
        <w:t>requesting a third party to post content;</w:t>
      </w:r>
    </w:p>
    <w:p>
      <w:pPr>
        <w:numPr>
          <w:ilvl w:val="0"/>
          <w:numId w:val="550"/>
        </w:numPr>
        <w:ind w:left="720" w:hanging="192"/>
        <w:jc w:val="left"/>
        <w:rPr>
          <w:rFonts w:eastAsia="Arial" w:cs="Arial"/>
          <w:sz w:val="20"/>
          <w:szCs w:val="20"/>
        </w:rPr>
      </w:pPr>
      <w:r>
        <w:rPr>
          <w:rFonts w:eastAsia="Arial" w:cs="Arial"/>
          <w:sz w:val="20"/>
          <w:szCs w:val="20"/>
        </w:rPr>
        <w:t>paying for the production or posting of content;</w:t>
      </w:r>
    </w:p>
    <w:p>
      <w:pPr>
        <w:numPr>
          <w:ilvl w:val="0"/>
          <w:numId w:val="550"/>
        </w:numPr>
        <w:ind w:left="720" w:hanging="192"/>
        <w:jc w:val="left"/>
        <w:rPr>
          <w:rFonts w:eastAsia="Arial" w:cs="Arial"/>
          <w:sz w:val="20"/>
          <w:szCs w:val="20"/>
        </w:rPr>
      </w:pPr>
      <w:r>
        <w:rPr>
          <w:rFonts w:eastAsia="Arial" w:cs="Arial"/>
          <w:sz w:val="20"/>
          <w:szCs w:val="20"/>
        </w:rPr>
        <w:t>endorsing the content through other posts (</w:t>
      </w:r>
      <w:r>
        <w:rPr>
          <w:rFonts w:eastAsia="Arial" w:cs="Arial"/>
          <w:i/>
          <w:iCs/>
          <w:sz w:val="20"/>
          <w:szCs w:val="20"/>
        </w:rPr>
        <w:t>e.g.,</w:t>
      </w:r>
      <w:r>
        <w:rPr>
          <w:rFonts w:eastAsia="Arial" w:cs="Arial"/>
          <w:sz w:val="20"/>
          <w:szCs w:val="20"/>
        </w:rPr>
        <w:t xml:space="preserve"> liking the content);</w:t>
      </w:r>
    </w:p>
    <w:p>
      <w:pPr>
        <w:numPr>
          <w:ilvl w:val="0"/>
          <w:numId w:val="550"/>
        </w:numPr>
        <w:ind w:left="720" w:hanging="192"/>
        <w:jc w:val="left"/>
        <w:rPr>
          <w:rFonts w:eastAsia="Arial" w:cs="Arial"/>
          <w:sz w:val="20"/>
          <w:szCs w:val="20"/>
        </w:rPr>
      </w:pPr>
      <w:r>
        <w:rPr>
          <w:rFonts w:eastAsia="Arial" w:cs="Arial"/>
          <w:sz w:val="20"/>
          <w:szCs w:val="20"/>
        </w:rPr>
        <w:t>endorsing the content of a third party by including it in one of KCD's employee's posts;</w:t>
      </w:r>
    </w:p>
    <w:p>
      <w:pPr>
        <w:numPr>
          <w:ilvl w:val="0"/>
          <w:numId w:val="550"/>
        </w:numPr>
        <w:ind w:left="720" w:hanging="192"/>
        <w:jc w:val="left"/>
        <w:rPr>
          <w:rFonts w:eastAsia="Arial" w:cs="Arial"/>
          <w:sz w:val="20"/>
          <w:szCs w:val="20"/>
        </w:rPr>
      </w:pPr>
      <w:r>
        <w:rPr>
          <w:rFonts w:eastAsia="Arial" w:cs="Arial"/>
          <w:sz w:val="20"/>
          <w:szCs w:val="20"/>
        </w:rPr>
        <w:t>forwarding or re-posting third-party content; and</w:t>
      </w:r>
    </w:p>
    <w:p>
      <w:pPr>
        <w:numPr>
          <w:ilvl w:val="0"/>
          <w:numId w:val="550"/>
        </w:numPr>
        <w:spacing w:after="200"/>
        <w:ind w:left="720" w:hanging="192"/>
        <w:jc w:val="left"/>
        <w:rPr>
          <w:rFonts w:eastAsia="Arial" w:cs="Arial"/>
          <w:sz w:val="20"/>
          <w:szCs w:val="20"/>
        </w:rPr>
      </w:pPr>
      <w:r>
        <w:rPr>
          <w:rFonts w:eastAsia="Arial" w:cs="Arial"/>
          <w:sz w:val="20"/>
          <w:szCs w:val="20"/>
        </w:rPr>
        <w:t>incorporating third-party content into KCD's content.</w:t>
      </w:r>
    </w:p>
    <w:p>
      <w:pPr>
        <w:pStyle w:val="normal0"/>
        <w:spacing w:before="200" w:after="200"/>
        <w:rPr>
          <w:rFonts w:eastAsia="Arial" w:cs="Arial"/>
          <w:sz w:val="20"/>
          <w:szCs w:val="20"/>
        </w:rPr>
      </w:pPr>
      <w:r>
        <w:rPr>
          <w:rFonts w:eastAsia="Arial" w:cs="Arial"/>
          <w:sz w:val="20"/>
          <w:szCs w:val="20"/>
        </w:rPr>
        <w:t>If KCD determines that the third-party posting may contain material about KCD that would result in unwanted entanglement, KCD will review the posting and take the appropriate action including attempting to filter and block unwanted posts such as testimonials, endorsements, and recommendations.</w:t>
      </w:r>
    </w:p>
    <w:p>
      <w:pPr>
        <w:pStyle w:val="normal0"/>
        <w:spacing w:before="200" w:after="200"/>
        <w:rPr>
          <w:rFonts w:eastAsia="Arial" w:cs="Arial"/>
          <w:sz w:val="20"/>
          <w:szCs w:val="20"/>
        </w:rPr>
      </w:pPr>
      <w:r>
        <w:rPr>
          <w:rFonts w:eastAsia="Arial" w:cs="Arial"/>
          <w:b/>
          <w:bCs/>
          <w:sz w:val="20"/>
          <w:szCs w:val="20"/>
        </w:rPr>
        <w:t>Third-Party Ratings</w:t>
      </w:r>
    </w:p>
    <w:p>
      <w:pPr>
        <w:pStyle w:val="normal0"/>
        <w:spacing w:before="200" w:after="200"/>
        <w:rPr>
          <w:rFonts w:eastAsia="Arial" w:cs="Arial"/>
          <w:sz w:val="20"/>
          <w:szCs w:val="20"/>
        </w:rPr>
      </w:pPr>
      <w:r>
        <w:rPr>
          <w:rFonts w:eastAsia="Arial" w:cs="Arial"/>
          <w:sz w:val="20"/>
          <w:szCs w:val="20"/>
        </w:rPr>
        <w:t xml:space="preserve">The use of third-party ratings with respect to social media will be governed by the Third-Party Ratings procedures in this </w:t>
      </w:r>
      <w:r>
        <w:rPr>
          <w:rFonts w:eastAsia="Arial" w:cs="Arial"/>
          <w:i/>
          <w:iCs/>
          <w:sz w:val="20"/>
          <w:szCs w:val="20"/>
        </w:rPr>
        <w:t>MARKETING</w:t>
      </w:r>
      <w:r>
        <w:rPr>
          <w:rFonts w:eastAsia="Arial" w:cs="Arial"/>
          <w:sz w:val="20"/>
          <w:szCs w:val="20"/>
        </w:rPr>
        <w:t xml:space="preserve"> chapter.</w:t>
      </w:r>
    </w:p>
    <w:p>
      <w:pPr>
        <w:pStyle w:val="normal0"/>
        <w:spacing w:before="200" w:after="200"/>
        <w:rPr>
          <w:rFonts w:eastAsia="Arial" w:cs="Arial"/>
          <w:sz w:val="20"/>
          <w:szCs w:val="20"/>
        </w:rPr>
      </w:pPr>
      <w:r>
        <w:rPr>
          <w:rFonts w:eastAsia="Arial" w:cs="Arial"/>
          <w:b/>
          <w:bCs/>
          <w:sz w:val="20"/>
          <w:szCs w:val="20"/>
        </w:rPr>
        <w:t>Testimonials and Endorsements</w:t>
      </w:r>
    </w:p>
    <w:p>
      <w:pPr>
        <w:pStyle w:val="normal0"/>
        <w:spacing w:before="200" w:after="200"/>
        <w:rPr>
          <w:rFonts w:eastAsia="Arial" w:cs="Arial"/>
          <w:sz w:val="20"/>
          <w:szCs w:val="20"/>
        </w:rPr>
      </w:pPr>
      <w:r>
        <w:rPr>
          <w:rFonts w:eastAsia="Arial" w:cs="Arial"/>
          <w:sz w:val="20"/>
          <w:szCs w:val="20"/>
        </w:rPr>
        <w:t xml:space="preserve">The use of testimonials and endorsements with respect to social media will governed by the Testimonials and Endorsements procedures in this </w:t>
      </w:r>
      <w:r>
        <w:rPr>
          <w:rFonts w:eastAsia="Arial" w:cs="Arial"/>
          <w:i/>
          <w:iCs/>
          <w:sz w:val="20"/>
          <w:szCs w:val="20"/>
        </w:rPr>
        <w:t>MARKETING</w:t>
      </w:r>
      <w:r>
        <w:rPr>
          <w:rFonts w:eastAsia="Arial" w:cs="Arial"/>
          <w:sz w:val="20"/>
          <w:szCs w:val="20"/>
        </w:rPr>
        <w:t xml:space="preserve"> chapter.</w:t>
      </w:r>
    </w:p>
    <w:p>
      <w:pPr>
        <w:pStyle w:val="normal0"/>
        <w:spacing w:before="200" w:after="200"/>
        <w:rPr>
          <w:rFonts w:eastAsia="Arial" w:cs="Arial"/>
          <w:sz w:val="20"/>
          <w:szCs w:val="20"/>
        </w:rPr>
      </w:pPr>
      <w:r>
        <w:rPr>
          <w:rFonts w:eastAsia="Arial" w:cs="Arial"/>
          <w:b/>
          <w:bCs/>
          <w:sz w:val="20"/>
          <w:szCs w:val="20"/>
        </w:rPr>
        <w:t>Disclosure</w:t>
      </w:r>
    </w:p>
    <w:p>
      <w:pPr>
        <w:pStyle w:val="normal0"/>
        <w:spacing w:before="200" w:after="200"/>
        <w:rPr>
          <w:rFonts w:eastAsia="Arial" w:cs="Arial"/>
          <w:sz w:val="20"/>
          <w:szCs w:val="20"/>
        </w:rPr>
      </w:pPr>
      <w:r>
        <w:rPr>
          <w:rFonts w:eastAsia="Arial" w:cs="Arial"/>
          <w:sz w:val="20"/>
          <w:szCs w:val="20"/>
        </w:rPr>
        <w:t>If KCD has a page or other content on a particular social media site such as Linked-In or Facebook, it will include the following legend modified to the extent necessary:</w:t>
      </w:r>
    </w:p>
    <w:p>
      <w:pPr>
        <w:pStyle w:val="normal0"/>
        <w:spacing w:before="200" w:after="200"/>
        <w:ind w:left="600" w:right="600"/>
        <w:rPr>
          <w:rFonts w:eastAsia="Arial" w:cs="Arial"/>
          <w:sz w:val="20"/>
          <w:szCs w:val="20"/>
        </w:rPr>
      </w:pPr>
      <w:r>
        <w:rPr>
          <w:rFonts w:eastAsia="Arial" w:cs="Arial"/>
          <w:sz w:val="20"/>
          <w:szCs w:val="20"/>
        </w:rPr>
        <w:t>Clicking the Like button is not a testimonial for or endorsement of KCD or any of its Adviser Representatives. This is the only mechanism we have to circulate our [Linked-In/Facebook] page. "Like" is not meant in the traditional sense. Visitor posts must refrain from recommending investment advisory services or providing testimonials for KCD or its employees, since they are strictly prohibited by securities regulators. Please note that we must delete such posts, since this is a regulatory requirement. If you wish to convey an opinion to us, please send an email to ___________________. In addition, no one commenting on this wall should post specific securities recommendations. Questions about a specific investment or adviser cannot be answered and may be removed from the page.</w:t>
      </w:r>
    </w:p>
    <w:p>
      <w:pPr>
        <w:pStyle w:val="normal0"/>
        <w:spacing w:before="200" w:after="200"/>
        <w:rPr>
          <w:rFonts w:eastAsia="Arial" w:cs="Arial"/>
          <w:sz w:val="20"/>
          <w:szCs w:val="20"/>
        </w:rPr>
      </w:pPr>
      <w:r>
        <w:rPr>
          <w:rFonts w:eastAsia="Arial" w:cs="Arial"/>
          <w:sz w:val="20"/>
          <w:szCs w:val="20"/>
        </w:rPr>
        <w:t xml:space="preserve">KCD on Schedule D of its Form ADV shall only include website addresses that include Firm content and KCD controls such content. </w:t>
      </w:r>
    </w:p>
    <w:p>
      <w:pPr>
        <w:pStyle w:val="normal0"/>
        <w:spacing w:before="200" w:after="200"/>
        <w:rPr>
          <w:rFonts w:eastAsia="Arial" w:cs="Arial"/>
          <w:sz w:val="20"/>
          <w:szCs w:val="20"/>
        </w:rPr>
      </w:pPr>
      <w:r>
        <w:rPr>
          <w:rFonts w:eastAsia="Arial" w:cs="Arial"/>
          <w:b/>
          <w:bCs/>
          <w:sz w:val="20"/>
          <w:szCs w:val="20"/>
        </w:rPr>
        <w:t>Records</w:t>
      </w:r>
    </w:p>
    <w:p>
      <w:pPr>
        <w:pStyle w:val="normal0"/>
        <w:spacing w:before="200" w:after="200"/>
        <w:rPr>
          <w:rFonts w:eastAsia="Arial" w:cs="Arial"/>
          <w:sz w:val="20"/>
          <w:szCs w:val="20"/>
        </w:rPr>
      </w:pPr>
      <w:r>
        <w:rPr>
          <w:rFonts w:eastAsia="Arial" w:cs="Arial"/>
          <w:sz w:val="20"/>
          <w:szCs w:val="20"/>
        </w:rPr>
        <w:t>KCD will:</w:t>
      </w:r>
    </w:p>
    <w:p>
      <w:pPr>
        <w:numPr>
          <w:ilvl w:val="0"/>
          <w:numId w:val="551"/>
        </w:numPr>
        <w:spacing w:before="200"/>
        <w:ind w:left="720" w:hanging="192"/>
        <w:jc w:val="left"/>
        <w:rPr>
          <w:rFonts w:eastAsia="Arial" w:cs="Arial"/>
          <w:sz w:val="20"/>
          <w:szCs w:val="20"/>
        </w:rPr>
      </w:pPr>
      <w:r>
        <w:rPr>
          <w:rFonts w:eastAsia="Arial" w:cs="Arial"/>
          <w:sz w:val="20"/>
          <w:szCs w:val="20"/>
        </w:rPr>
        <w:t>retain social media postings and responses;</w:t>
      </w:r>
    </w:p>
    <w:p>
      <w:pPr>
        <w:numPr>
          <w:ilvl w:val="0"/>
          <w:numId w:val="551"/>
        </w:numPr>
        <w:ind w:left="720" w:hanging="192"/>
        <w:jc w:val="left"/>
        <w:rPr>
          <w:rFonts w:eastAsia="Arial" w:cs="Arial"/>
          <w:sz w:val="20"/>
          <w:szCs w:val="20"/>
        </w:rPr>
      </w:pPr>
      <w:r>
        <w:rPr>
          <w:rFonts w:eastAsia="Arial" w:cs="Arial"/>
          <w:sz w:val="20"/>
          <w:szCs w:val="20"/>
        </w:rPr>
        <w:t>archive social media in a manner that is easy to search and retrieve;</w:t>
      </w:r>
    </w:p>
    <w:p>
      <w:pPr>
        <w:numPr>
          <w:ilvl w:val="0"/>
          <w:numId w:val="551"/>
        </w:numPr>
        <w:ind w:left="720" w:hanging="192"/>
        <w:jc w:val="left"/>
        <w:rPr>
          <w:rFonts w:eastAsia="Arial" w:cs="Arial"/>
          <w:sz w:val="20"/>
          <w:szCs w:val="20"/>
        </w:rPr>
      </w:pPr>
      <w:r>
        <w:rPr>
          <w:rFonts w:eastAsia="Arial" w:cs="Arial"/>
          <w:sz w:val="20"/>
          <w:szCs w:val="20"/>
        </w:rPr>
        <w:t>incorporate its social media use into its cybersecurity program; and</w:t>
      </w:r>
    </w:p>
    <w:p>
      <w:pPr>
        <w:numPr>
          <w:ilvl w:val="0"/>
          <w:numId w:val="551"/>
        </w:numPr>
        <w:spacing w:after="200"/>
        <w:ind w:left="720" w:hanging="192"/>
        <w:jc w:val="left"/>
        <w:rPr>
          <w:rFonts w:eastAsia="Arial" w:cs="Arial"/>
          <w:sz w:val="20"/>
          <w:szCs w:val="20"/>
        </w:rPr>
      </w:pPr>
      <w:r>
        <w:rPr>
          <w:rFonts w:eastAsia="Arial" w:cs="Arial"/>
          <w:sz w:val="20"/>
          <w:szCs w:val="20"/>
        </w:rPr>
        <w:t>attempt to filter and block unwanted posts such as testimonials, endorsements, and recommendations.</w:t>
      </w:r>
    </w:p>
    <w:p>
      <w:bookmarkEnd w:id="618"/>
      <w:bookmarkStart w:id="619" w:name="Sec_Chp_061016102254625_06101610934"/>
    </w:p>
    <w:p>
      <w:pPr>
        <w:pStyle w:val="Heading3"/>
      </w:pPr>
      <w:bookmarkStart w:id="620" w:name="_Toc256000171"/>
      <w:r>
        <w:t>9.4.5 Marketing Piece Consistency</w:t>
      </w:r>
      <w:bookmarkEnd w:id="620"/>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market its advisory services in a variety of ways. The [Chief Compliance Officer] shall take the following steps to ensure that content is consistent across all marketing pieces and communications (directed to more than 5 persons):</w:t>
      </w:r>
    </w:p>
    <w:p>
      <w:pPr>
        <w:numPr>
          <w:ilvl w:val="0"/>
          <w:numId w:val="552"/>
        </w:numPr>
        <w:spacing w:before="200"/>
        <w:ind w:left="720" w:hanging="267"/>
        <w:jc w:val="left"/>
        <w:rPr>
          <w:rFonts w:eastAsia="Arial" w:cs="Arial"/>
          <w:sz w:val="20"/>
          <w:szCs w:val="20"/>
        </w:rPr>
      </w:pPr>
      <w:r>
        <w:rPr>
          <w:rFonts w:eastAsia="Arial" w:cs="Arial"/>
          <w:sz w:val="20"/>
          <w:szCs w:val="20"/>
        </w:rPr>
        <w:t>Maintain a list of all of the types of marketing pieces and communications used by KCD. These may include:</w:t>
      </w:r>
    </w:p>
    <w:p>
      <w:pPr>
        <w:numPr>
          <w:ilvl w:val="1"/>
          <w:numId w:val="552"/>
        </w:numPr>
        <w:ind w:left="1440" w:hanging="220"/>
        <w:jc w:val="left"/>
        <w:rPr>
          <w:rFonts w:eastAsia="Arial" w:cs="Arial"/>
          <w:sz w:val="20"/>
          <w:szCs w:val="20"/>
        </w:rPr>
      </w:pPr>
      <w:r>
        <w:rPr>
          <w:rFonts w:eastAsia="Arial" w:cs="Arial"/>
          <w:sz w:val="20"/>
          <w:szCs w:val="20"/>
        </w:rPr>
        <w:t>Print ads;</w:t>
      </w:r>
    </w:p>
    <w:p>
      <w:pPr>
        <w:numPr>
          <w:ilvl w:val="1"/>
          <w:numId w:val="552"/>
        </w:numPr>
        <w:ind w:left="1440" w:hanging="220"/>
        <w:jc w:val="left"/>
        <w:rPr>
          <w:rFonts w:eastAsia="Arial" w:cs="Arial"/>
          <w:sz w:val="20"/>
          <w:szCs w:val="20"/>
        </w:rPr>
      </w:pPr>
      <w:r>
        <w:rPr>
          <w:rFonts w:eastAsia="Arial" w:cs="Arial"/>
          <w:sz w:val="20"/>
          <w:szCs w:val="20"/>
        </w:rPr>
        <w:t>Web sites (all pages);</w:t>
      </w:r>
    </w:p>
    <w:p>
      <w:pPr>
        <w:numPr>
          <w:ilvl w:val="1"/>
          <w:numId w:val="552"/>
        </w:numPr>
        <w:ind w:left="1440" w:hanging="220"/>
        <w:jc w:val="left"/>
        <w:rPr>
          <w:rFonts w:eastAsia="Arial" w:cs="Arial"/>
          <w:sz w:val="20"/>
          <w:szCs w:val="20"/>
        </w:rPr>
      </w:pPr>
      <w:r>
        <w:rPr>
          <w:rFonts w:eastAsia="Arial" w:cs="Arial"/>
          <w:sz w:val="20"/>
          <w:szCs w:val="20"/>
        </w:rPr>
        <w:t>Client account statements;</w:t>
      </w:r>
    </w:p>
    <w:p>
      <w:pPr>
        <w:numPr>
          <w:ilvl w:val="1"/>
          <w:numId w:val="552"/>
        </w:numPr>
        <w:ind w:left="1440" w:hanging="220"/>
        <w:jc w:val="left"/>
        <w:rPr>
          <w:rFonts w:eastAsia="Arial" w:cs="Arial"/>
          <w:sz w:val="20"/>
          <w:szCs w:val="20"/>
        </w:rPr>
      </w:pPr>
      <w:r>
        <w:rPr>
          <w:rFonts w:eastAsia="Arial" w:cs="Arial"/>
          <w:sz w:val="20"/>
          <w:szCs w:val="20"/>
        </w:rPr>
        <w:t>Fact sheets;</w:t>
      </w:r>
    </w:p>
    <w:p>
      <w:pPr>
        <w:numPr>
          <w:ilvl w:val="1"/>
          <w:numId w:val="552"/>
        </w:numPr>
        <w:ind w:left="1440" w:hanging="220"/>
        <w:jc w:val="left"/>
        <w:rPr>
          <w:rFonts w:eastAsia="Arial" w:cs="Arial"/>
          <w:sz w:val="20"/>
          <w:szCs w:val="20"/>
        </w:rPr>
      </w:pPr>
      <w:r>
        <w:rPr>
          <w:rFonts w:eastAsia="Arial" w:cs="Arial"/>
          <w:sz w:val="20"/>
          <w:szCs w:val="20"/>
        </w:rPr>
        <w:t>Pitch books;</w:t>
      </w:r>
    </w:p>
    <w:p>
      <w:pPr>
        <w:numPr>
          <w:ilvl w:val="1"/>
          <w:numId w:val="552"/>
        </w:numPr>
        <w:ind w:left="1440" w:hanging="220"/>
        <w:jc w:val="left"/>
        <w:rPr>
          <w:rFonts w:eastAsia="Arial" w:cs="Arial"/>
          <w:sz w:val="20"/>
          <w:szCs w:val="20"/>
        </w:rPr>
      </w:pPr>
      <w:r>
        <w:rPr>
          <w:rFonts w:eastAsia="Arial" w:cs="Arial"/>
          <w:sz w:val="20"/>
          <w:szCs w:val="20"/>
        </w:rPr>
        <w:t>Form ADV/brochures;</w:t>
      </w:r>
    </w:p>
    <w:p>
      <w:pPr>
        <w:numPr>
          <w:ilvl w:val="1"/>
          <w:numId w:val="552"/>
        </w:numPr>
        <w:ind w:left="1440" w:hanging="220"/>
        <w:jc w:val="left"/>
        <w:rPr>
          <w:rFonts w:eastAsia="Arial" w:cs="Arial"/>
          <w:sz w:val="20"/>
          <w:szCs w:val="20"/>
        </w:rPr>
      </w:pPr>
      <w:r>
        <w:rPr>
          <w:rFonts w:eastAsia="Arial" w:cs="Arial"/>
          <w:sz w:val="20"/>
          <w:szCs w:val="20"/>
        </w:rPr>
        <w:t>Performance composites;</w:t>
      </w:r>
    </w:p>
    <w:p>
      <w:pPr>
        <w:numPr>
          <w:ilvl w:val="1"/>
          <w:numId w:val="552"/>
        </w:numPr>
        <w:ind w:left="1440" w:hanging="220"/>
        <w:jc w:val="left"/>
        <w:rPr>
          <w:rFonts w:eastAsia="Arial" w:cs="Arial"/>
          <w:sz w:val="20"/>
          <w:szCs w:val="20"/>
        </w:rPr>
      </w:pPr>
      <w:r>
        <w:rPr>
          <w:rFonts w:eastAsia="Arial" w:cs="Arial"/>
          <w:sz w:val="20"/>
          <w:szCs w:val="20"/>
        </w:rPr>
        <w:t>Talking points;</w:t>
      </w:r>
    </w:p>
    <w:p>
      <w:pPr>
        <w:numPr>
          <w:ilvl w:val="1"/>
          <w:numId w:val="552"/>
        </w:numPr>
        <w:ind w:left="1440" w:hanging="220"/>
        <w:jc w:val="left"/>
        <w:rPr>
          <w:rFonts w:eastAsia="Arial" w:cs="Arial"/>
          <w:sz w:val="20"/>
          <w:szCs w:val="20"/>
        </w:rPr>
      </w:pPr>
      <w:r>
        <w:rPr>
          <w:rFonts w:eastAsia="Arial" w:cs="Arial"/>
          <w:sz w:val="20"/>
          <w:szCs w:val="20"/>
        </w:rPr>
        <w:t>Client letters; and</w:t>
      </w:r>
    </w:p>
    <w:p>
      <w:pPr>
        <w:numPr>
          <w:ilvl w:val="1"/>
          <w:numId w:val="552"/>
        </w:numPr>
        <w:ind w:left="1440" w:hanging="220"/>
        <w:jc w:val="left"/>
        <w:rPr>
          <w:rFonts w:eastAsia="Arial" w:cs="Arial"/>
          <w:sz w:val="20"/>
          <w:szCs w:val="20"/>
        </w:rPr>
      </w:pPr>
      <w:r>
        <w:rPr>
          <w:rFonts w:eastAsia="Arial" w:cs="Arial"/>
          <w:sz w:val="20"/>
          <w:szCs w:val="20"/>
        </w:rPr>
        <w:t>Direct mailings.</w:t>
      </w:r>
    </w:p>
    <w:p>
      <w:pPr>
        <w:numPr>
          <w:ilvl w:val="0"/>
          <w:numId w:val="552"/>
        </w:numPr>
        <w:ind w:left="720" w:hanging="267"/>
        <w:jc w:val="left"/>
        <w:rPr>
          <w:rFonts w:eastAsia="Arial" w:cs="Arial"/>
          <w:sz w:val="20"/>
          <w:szCs w:val="20"/>
        </w:rPr>
      </w:pPr>
      <w:r>
        <w:rPr>
          <w:rFonts w:eastAsia="Arial" w:cs="Arial"/>
          <w:sz w:val="20"/>
          <w:szCs w:val="20"/>
        </w:rPr>
        <w:t>Maintain a copy of the most current marketing pieces and communications in a binder or hard copy or electronic file;</w:t>
      </w:r>
    </w:p>
    <w:p>
      <w:pPr>
        <w:numPr>
          <w:ilvl w:val="0"/>
          <w:numId w:val="552"/>
        </w:numPr>
        <w:ind w:left="720" w:hanging="267"/>
        <w:jc w:val="left"/>
        <w:rPr>
          <w:rFonts w:eastAsia="Arial" w:cs="Arial"/>
          <w:sz w:val="20"/>
          <w:szCs w:val="20"/>
        </w:rPr>
      </w:pPr>
      <w:r>
        <w:rPr>
          <w:rFonts w:eastAsia="Arial" w:cs="Arial"/>
          <w:sz w:val="20"/>
          <w:szCs w:val="20"/>
        </w:rPr>
        <w:t>Maintain standard content for topics that are covered in multiple marketing pieces or communications (</w:t>
      </w:r>
      <w:r>
        <w:rPr>
          <w:rFonts w:eastAsia="Arial" w:cs="Arial"/>
          <w:i/>
          <w:iCs/>
          <w:sz w:val="20"/>
          <w:szCs w:val="20"/>
        </w:rPr>
        <w:t>e.g.,</w:t>
      </w:r>
      <w:r>
        <w:rPr>
          <w:rFonts w:eastAsia="Arial" w:cs="Arial"/>
          <w:sz w:val="20"/>
          <w:szCs w:val="20"/>
        </w:rPr>
        <w:t xml:space="preserve"> the adviser's investment objective, portfolio managers' bios and disclaimers);</w:t>
      </w:r>
    </w:p>
    <w:p>
      <w:pPr>
        <w:numPr>
          <w:ilvl w:val="0"/>
          <w:numId w:val="552"/>
        </w:numPr>
        <w:ind w:left="720" w:hanging="267"/>
        <w:jc w:val="left"/>
        <w:rPr>
          <w:rFonts w:eastAsia="Arial" w:cs="Arial"/>
          <w:sz w:val="20"/>
          <w:szCs w:val="20"/>
        </w:rPr>
      </w:pPr>
      <w:r>
        <w:rPr>
          <w:rFonts w:eastAsia="Arial" w:cs="Arial"/>
          <w:sz w:val="20"/>
          <w:szCs w:val="20"/>
        </w:rPr>
        <w:t>Maintain standard disclaimers used in marketing pieces and communications, including which types of marketing pieces and communications contain which types of disclaimers;</w:t>
      </w:r>
    </w:p>
    <w:p>
      <w:pPr>
        <w:numPr>
          <w:ilvl w:val="0"/>
          <w:numId w:val="552"/>
        </w:numPr>
        <w:ind w:left="720" w:hanging="267"/>
        <w:jc w:val="left"/>
        <w:rPr>
          <w:rFonts w:eastAsia="Arial" w:cs="Arial"/>
          <w:sz w:val="20"/>
          <w:szCs w:val="20"/>
        </w:rPr>
      </w:pPr>
      <w:r>
        <w:rPr>
          <w:rFonts w:eastAsia="Arial" w:cs="Arial"/>
          <w:sz w:val="20"/>
          <w:szCs w:val="20"/>
        </w:rPr>
        <w:t>Maintain current performance composites or similar presentations;</w:t>
      </w:r>
    </w:p>
    <w:p>
      <w:pPr>
        <w:numPr>
          <w:ilvl w:val="0"/>
          <w:numId w:val="552"/>
        </w:numPr>
        <w:ind w:left="720" w:hanging="267"/>
        <w:jc w:val="left"/>
        <w:rPr>
          <w:rFonts w:eastAsia="Arial" w:cs="Arial"/>
          <w:sz w:val="20"/>
          <w:szCs w:val="20"/>
        </w:rPr>
      </w:pPr>
      <w:r>
        <w:rPr>
          <w:rFonts w:eastAsia="Arial" w:cs="Arial"/>
          <w:sz w:val="20"/>
          <w:szCs w:val="20"/>
        </w:rPr>
        <w:t>Make sure each new marketing piece or communication prior to its dissemination contains:</w:t>
      </w:r>
    </w:p>
    <w:p>
      <w:pPr>
        <w:numPr>
          <w:ilvl w:val="1"/>
          <w:numId w:val="552"/>
        </w:numPr>
        <w:ind w:left="1440" w:hanging="220"/>
        <w:jc w:val="left"/>
        <w:rPr>
          <w:rFonts w:eastAsia="Arial" w:cs="Arial"/>
          <w:sz w:val="20"/>
          <w:szCs w:val="20"/>
        </w:rPr>
      </w:pPr>
      <w:r>
        <w:rPr>
          <w:rFonts w:eastAsia="Arial" w:cs="Arial"/>
          <w:sz w:val="20"/>
          <w:szCs w:val="20"/>
        </w:rPr>
        <w:t>The appropriate standard content;</w:t>
      </w:r>
    </w:p>
    <w:p>
      <w:pPr>
        <w:numPr>
          <w:ilvl w:val="1"/>
          <w:numId w:val="552"/>
        </w:numPr>
        <w:ind w:left="1440" w:hanging="220"/>
        <w:jc w:val="left"/>
        <w:rPr>
          <w:rFonts w:eastAsia="Arial" w:cs="Arial"/>
          <w:sz w:val="20"/>
          <w:szCs w:val="20"/>
        </w:rPr>
      </w:pPr>
      <w:r>
        <w:rPr>
          <w:rFonts w:eastAsia="Arial" w:cs="Arial"/>
          <w:sz w:val="20"/>
          <w:szCs w:val="20"/>
        </w:rPr>
        <w:t>Applicable disclaimers; and</w:t>
      </w:r>
    </w:p>
    <w:p>
      <w:pPr>
        <w:numPr>
          <w:ilvl w:val="1"/>
          <w:numId w:val="552"/>
        </w:numPr>
        <w:ind w:left="1440" w:hanging="220"/>
        <w:jc w:val="left"/>
        <w:rPr>
          <w:rFonts w:eastAsia="Arial" w:cs="Arial"/>
          <w:sz w:val="20"/>
          <w:szCs w:val="20"/>
        </w:rPr>
      </w:pPr>
      <w:r>
        <w:rPr>
          <w:rFonts w:eastAsia="Arial" w:cs="Arial"/>
          <w:sz w:val="20"/>
          <w:szCs w:val="20"/>
        </w:rPr>
        <w:t>Current performance information.</w:t>
      </w:r>
    </w:p>
    <w:p>
      <w:pPr>
        <w:numPr>
          <w:ilvl w:val="0"/>
          <w:numId w:val="552"/>
        </w:numPr>
        <w:ind w:left="720" w:hanging="267"/>
        <w:jc w:val="left"/>
        <w:rPr>
          <w:rFonts w:eastAsia="Arial" w:cs="Arial"/>
          <w:sz w:val="20"/>
          <w:szCs w:val="20"/>
        </w:rPr>
      </w:pPr>
      <w:r>
        <w:rPr>
          <w:rFonts w:eastAsia="Arial" w:cs="Arial"/>
          <w:sz w:val="20"/>
          <w:szCs w:val="20"/>
        </w:rPr>
        <w:t>Periodically review marketing pieces, communications, web sites, client reports and similar marketing content to ensure that they each contain:</w:t>
      </w:r>
    </w:p>
    <w:p>
      <w:pPr>
        <w:numPr>
          <w:ilvl w:val="1"/>
          <w:numId w:val="552"/>
        </w:numPr>
        <w:ind w:left="1440" w:hanging="220"/>
        <w:jc w:val="left"/>
        <w:rPr>
          <w:rFonts w:eastAsia="Arial" w:cs="Arial"/>
          <w:sz w:val="20"/>
          <w:szCs w:val="20"/>
        </w:rPr>
      </w:pPr>
      <w:r>
        <w:rPr>
          <w:rFonts w:eastAsia="Arial" w:cs="Arial"/>
          <w:sz w:val="20"/>
          <w:szCs w:val="20"/>
        </w:rPr>
        <w:t>The appropriate standard content;</w:t>
      </w:r>
    </w:p>
    <w:p>
      <w:pPr>
        <w:numPr>
          <w:ilvl w:val="1"/>
          <w:numId w:val="552"/>
        </w:numPr>
        <w:ind w:left="1440" w:hanging="220"/>
        <w:jc w:val="left"/>
        <w:rPr>
          <w:rFonts w:eastAsia="Arial" w:cs="Arial"/>
          <w:sz w:val="20"/>
          <w:szCs w:val="20"/>
        </w:rPr>
      </w:pPr>
      <w:r>
        <w:rPr>
          <w:rFonts w:eastAsia="Arial" w:cs="Arial"/>
          <w:sz w:val="20"/>
          <w:szCs w:val="20"/>
        </w:rPr>
        <w:t>Applicable disclaimers; and</w:t>
      </w:r>
    </w:p>
    <w:p>
      <w:pPr>
        <w:numPr>
          <w:ilvl w:val="1"/>
          <w:numId w:val="552"/>
        </w:numPr>
        <w:ind w:left="1440" w:hanging="220"/>
        <w:jc w:val="left"/>
        <w:rPr>
          <w:rFonts w:eastAsia="Arial" w:cs="Arial"/>
          <w:sz w:val="20"/>
          <w:szCs w:val="20"/>
        </w:rPr>
      </w:pPr>
      <w:r>
        <w:rPr>
          <w:rFonts w:eastAsia="Arial" w:cs="Arial"/>
          <w:sz w:val="20"/>
          <w:szCs w:val="20"/>
        </w:rPr>
        <w:t>Current performance information.</w:t>
      </w:r>
    </w:p>
    <w:p>
      <w:pPr>
        <w:numPr>
          <w:ilvl w:val="0"/>
          <w:numId w:val="552"/>
        </w:numPr>
        <w:ind w:left="720" w:hanging="267"/>
        <w:jc w:val="left"/>
        <w:rPr>
          <w:rFonts w:eastAsia="Arial" w:cs="Arial"/>
          <w:sz w:val="20"/>
          <w:szCs w:val="20"/>
        </w:rPr>
      </w:pPr>
      <w:r>
        <w:rPr>
          <w:rFonts w:eastAsia="Arial" w:cs="Arial"/>
          <w:sz w:val="20"/>
          <w:szCs w:val="20"/>
        </w:rPr>
        <w:t>Document the above reviews;</w:t>
      </w:r>
    </w:p>
    <w:p>
      <w:pPr>
        <w:numPr>
          <w:ilvl w:val="0"/>
          <w:numId w:val="552"/>
        </w:numPr>
        <w:ind w:left="720" w:hanging="267"/>
        <w:jc w:val="left"/>
        <w:rPr>
          <w:rFonts w:eastAsia="Arial" w:cs="Arial"/>
          <w:sz w:val="20"/>
          <w:szCs w:val="20"/>
        </w:rPr>
      </w:pPr>
      <w:r>
        <w:rPr>
          <w:rFonts w:eastAsia="Arial" w:cs="Arial"/>
          <w:sz w:val="20"/>
          <w:szCs w:val="20"/>
        </w:rPr>
        <w:t>Take corrective action when a marketing piece or communication is not in compliance with these procedures; and</w:t>
      </w:r>
    </w:p>
    <w:p>
      <w:pPr>
        <w:numPr>
          <w:ilvl w:val="0"/>
          <w:numId w:val="552"/>
        </w:numPr>
        <w:spacing w:after="200"/>
        <w:ind w:left="720" w:hanging="378"/>
        <w:jc w:val="left"/>
        <w:rPr>
          <w:rFonts w:eastAsia="Arial" w:cs="Arial"/>
          <w:sz w:val="20"/>
          <w:szCs w:val="20"/>
        </w:rPr>
      </w:pPr>
      <w:r>
        <w:rPr>
          <w:rFonts w:eastAsia="Arial" w:cs="Arial"/>
          <w:sz w:val="20"/>
          <w:szCs w:val="20"/>
        </w:rPr>
        <w:t>Ensure that KCD will not disseminate a marketing piece that contains outdated information.</w:t>
      </w:r>
    </w:p>
    <w:p>
      <w:bookmarkEnd w:id="619"/>
      <w:bookmarkStart w:id="621" w:name="Sec_Chp_061016102254625_061016102255531"/>
    </w:p>
    <w:p>
      <w:pPr>
        <w:pStyle w:val="Heading3"/>
      </w:pPr>
      <w:bookmarkStart w:id="622" w:name="_Toc256000172"/>
      <w:r>
        <w:t>9.4.6 Dually Registered Advisers</w:t>
      </w:r>
      <w:bookmarkEnd w:id="622"/>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marketing its services, KCD, if it is also registered as a broker-dealer, will not be subject to FINRA Conduct Rules, provided that such marketing only promotes advisory services. If an advertisement or other marketing activity by KCD promotes its brokerage services, the marketing activity (at least that portion related to brokerage) will comply with FINRA Conduct Rules.</w:t>
      </w:r>
    </w:p>
    <w:p>
      <w:bookmarkEnd w:id="621"/>
      <w:bookmarkStart w:id="623" w:name="Sec_Chp_061016102254625_061016102255546"/>
    </w:p>
    <w:p>
      <w:pPr>
        <w:pStyle w:val="Heading3"/>
      </w:pPr>
      <w:bookmarkStart w:id="624" w:name="_Toc256000173"/>
      <w:r>
        <w:t>9.4.7 Requests of Performance and Other Information by Consultants</w:t>
      </w:r>
      <w:bookmarkEnd w:id="624"/>
    </w:p>
    <w:p/>
    <w:p>
      <w:pPr>
        <w:rPr>
          <w:rFonts w:eastAsia="Arial" w:cs="Arial"/>
          <w:sz w:val="16"/>
          <w:szCs w:val="16"/>
        </w:rPr>
      </w:pPr>
      <w:r>
        <w:rPr>
          <w:rFonts w:eastAsia="Arial" w:cs="Arial"/>
          <w:sz w:val="16"/>
          <w:szCs w:val="16"/>
        </w:rPr>
        <w:t>[Investment Advisers Act of 1940 Rule 206(4)-1]</w:t>
      </w:r>
    </w:p>
    <w:p/>
    <w:p>
      <w:pPr>
        <w:pStyle w:val="normal0"/>
        <w:spacing w:after="200"/>
        <w:rPr>
          <w:rFonts w:eastAsia="Arial" w:cs="Arial"/>
          <w:sz w:val="20"/>
          <w:szCs w:val="20"/>
        </w:rPr>
      </w:pPr>
      <w:r>
        <w:rPr>
          <w:rFonts w:eastAsia="Arial" w:cs="Arial"/>
          <w:sz w:val="20"/>
          <w:szCs w:val="20"/>
        </w:rPr>
        <w:t xml:space="preserve">From time to time, a consultant may request KCD to provide them with statistical information, information on current and past specific recommendations and other information about KCD. Such persons may request this information so that they may perform an analysis on KCD for their clients. </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has stated that it believes communications that investment advisers use to offer their advisory services have an equal potential to mislead - and should be subject to the rule - regardless of whether the adviser communicates directly or indirectly through a third party, such as a consultant, intermediary, or related person.</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 xml:space="preserve">KCD may respond to requests from consultants for information about current and past specific investment recommendations and/or other information only if the following conditions are met: </w:t>
      </w:r>
    </w:p>
    <w:p>
      <w:pPr>
        <w:numPr>
          <w:ilvl w:val="0"/>
          <w:numId w:val="553"/>
        </w:numPr>
        <w:spacing w:before="200"/>
        <w:ind w:left="720" w:hanging="192"/>
        <w:jc w:val="left"/>
        <w:rPr>
          <w:rFonts w:eastAsia="Arial" w:cs="Arial"/>
          <w:sz w:val="20"/>
          <w:szCs w:val="20"/>
        </w:rPr>
      </w:pPr>
      <w:r>
        <w:rPr>
          <w:rFonts w:eastAsia="Arial" w:cs="Arial"/>
          <w:sz w:val="20"/>
          <w:szCs w:val="20"/>
        </w:rPr>
        <w:t xml:space="preserve">KCD supplies the information only in response to an unsolicited request (i.e., KCD did not directly or indirectly solicit the consultant, client or other person to make the request); </w:t>
      </w:r>
    </w:p>
    <w:p>
      <w:pPr>
        <w:numPr>
          <w:ilvl w:val="0"/>
          <w:numId w:val="553"/>
        </w:numPr>
        <w:ind w:left="720" w:hanging="192"/>
        <w:jc w:val="left"/>
        <w:rPr>
          <w:rFonts w:eastAsia="Arial" w:cs="Arial"/>
          <w:sz w:val="20"/>
          <w:szCs w:val="20"/>
        </w:rPr>
      </w:pPr>
      <w:r>
        <w:rPr>
          <w:rFonts w:eastAsia="Arial" w:cs="Arial"/>
          <w:sz w:val="20"/>
          <w:szCs w:val="20"/>
        </w:rPr>
        <w:t xml:space="preserve">The [Chief Compliance Officer] reviews the information that the employee of KCD proposes to transmit to the consultant; and </w:t>
      </w:r>
    </w:p>
    <w:p>
      <w:pPr>
        <w:numPr>
          <w:ilvl w:val="0"/>
          <w:numId w:val="553"/>
        </w:numPr>
        <w:spacing w:after="200"/>
        <w:ind w:left="720" w:hanging="192"/>
        <w:jc w:val="left"/>
        <w:rPr>
          <w:rFonts w:eastAsia="Arial" w:cs="Arial"/>
          <w:sz w:val="20"/>
          <w:szCs w:val="20"/>
        </w:rPr>
      </w:pPr>
      <w:r>
        <w:rPr>
          <w:rFonts w:eastAsia="Arial" w:cs="Arial"/>
          <w:sz w:val="20"/>
          <w:szCs w:val="20"/>
        </w:rPr>
        <w:t xml:space="preserve">The [Chief Compliance Officer] authorizes the release of the information to the consultant. </w:t>
      </w:r>
    </w:p>
    <w:p>
      <w:bookmarkEnd w:id="623"/>
      <w:bookmarkStart w:id="625" w:name="Sec_Chp_061016102254625_0610161022555469"/>
    </w:p>
    <w:p>
      <w:pPr>
        <w:pStyle w:val="Heading3"/>
      </w:pPr>
      <w:bookmarkStart w:id="626" w:name="_Toc256000174"/>
      <w:r>
        <w:t>9.4.8 Client Verification Letters</w:t>
      </w:r>
      <w:bookmarkEnd w:id="626"/>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SEC has developed a form letter that it periodically sends to clients of an investment adviser that requests the client to verify the existence of his or her assets held in custody by the adviser. The letter is called "SEC Form 1662." With respect to such SEC letters, KCD shall:</w:t>
      </w:r>
    </w:p>
    <w:p>
      <w:pPr>
        <w:numPr>
          <w:ilvl w:val="0"/>
          <w:numId w:val="554"/>
        </w:numPr>
        <w:spacing w:before="200"/>
        <w:ind w:left="720" w:hanging="267"/>
        <w:jc w:val="left"/>
        <w:rPr>
          <w:rFonts w:eastAsia="Arial" w:cs="Arial"/>
          <w:sz w:val="20"/>
          <w:szCs w:val="20"/>
        </w:rPr>
      </w:pPr>
      <w:r>
        <w:rPr>
          <w:rFonts w:eastAsia="Arial" w:cs="Arial"/>
          <w:sz w:val="20"/>
          <w:szCs w:val="20"/>
        </w:rPr>
        <w:t xml:space="preserve">Inform existing clients of the possibility that they may receive the SEC Form 1662 letter and explain the purpose of the letter; </w:t>
      </w:r>
    </w:p>
    <w:p>
      <w:pPr>
        <w:numPr>
          <w:ilvl w:val="0"/>
          <w:numId w:val="554"/>
        </w:numPr>
        <w:ind w:left="720" w:hanging="267"/>
        <w:jc w:val="left"/>
        <w:rPr>
          <w:rFonts w:eastAsia="Arial" w:cs="Arial"/>
          <w:sz w:val="20"/>
          <w:szCs w:val="20"/>
        </w:rPr>
      </w:pPr>
      <w:r>
        <w:rPr>
          <w:rFonts w:eastAsia="Arial" w:cs="Arial"/>
          <w:sz w:val="20"/>
          <w:szCs w:val="20"/>
        </w:rPr>
        <w:t>Alert clients to the types of the information the SEC may ask the client to verify, including:</w:t>
      </w:r>
    </w:p>
    <w:p>
      <w:pPr>
        <w:numPr>
          <w:ilvl w:val="1"/>
          <w:numId w:val="554"/>
        </w:numPr>
        <w:ind w:left="1440" w:hanging="220"/>
        <w:jc w:val="left"/>
        <w:rPr>
          <w:rFonts w:eastAsia="Arial" w:cs="Arial"/>
          <w:sz w:val="20"/>
          <w:szCs w:val="20"/>
        </w:rPr>
      </w:pPr>
      <w:r>
        <w:rPr>
          <w:rFonts w:eastAsia="Arial" w:cs="Arial"/>
          <w:sz w:val="20"/>
          <w:szCs w:val="20"/>
        </w:rPr>
        <w:t xml:space="preserve">Balance in the account; </w:t>
      </w:r>
    </w:p>
    <w:p>
      <w:pPr>
        <w:numPr>
          <w:ilvl w:val="1"/>
          <w:numId w:val="554"/>
        </w:numPr>
        <w:ind w:left="1440" w:hanging="220"/>
        <w:jc w:val="left"/>
        <w:rPr>
          <w:rFonts w:eastAsia="Arial" w:cs="Arial"/>
          <w:sz w:val="20"/>
          <w:szCs w:val="20"/>
        </w:rPr>
      </w:pPr>
      <w:r>
        <w:rPr>
          <w:rFonts w:eastAsia="Arial" w:cs="Arial"/>
          <w:sz w:val="20"/>
          <w:szCs w:val="20"/>
        </w:rPr>
        <w:t>Amounts of deposits and withdrawals; and</w:t>
      </w:r>
    </w:p>
    <w:p>
      <w:pPr>
        <w:numPr>
          <w:ilvl w:val="1"/>
          <w:numId w:val="554"/>
        </w:numPr>
        <w:ind w:left="1440" w:hanging="220"/>
        <w:jc w:val="left"/>
        <w:rPr>
          <w:rFonts w:eastAsia="Arial" w:cs="Arial"/>
          <w:sz w:val="20"/>
          <w:szCs w:val="20"/>
        </w:rPr>
      </w:pPr>
      <w:r>
        <w:rPr>
          <w:rFonts w:eastAsia="Arial" w:cs="Arial"/>
          <w:sz w:val="20"/>
          <w:szCs w:val="20"/>
        </w:rPr>
        <w:t>Timing of deposits and withdrawals.</w:t>
      </w:r>
    </w:p>
    <w:p>
      <w:pPr>
        <w:numPr>
          <w:ilvl w:val="0"/>
          <w:numId w:val="554"/>
        </w:numPr>
        <w:ind w:left="720" w:hanging="267"/>
        <w:jc w:val="left"/>
        <w:rPr>
          <w:rFonts w:eastAsia="Arial" w:cs="Arial"/>
          <w:sz w:val="20"/>
          <w:szCs w:val="20"/>
        </w:rPr>
      </w:pPr>
      <w:r>
        <w:rPr>
          <w:rFonts w:eastAsia="Arial" w:cs="Arial"/>
          <w:sz w:val="20"/>
          <w:szCs w:val="20"/>
        </w:rPr>
        <w:t>Explain to clients that they may voluntarily, but are not required to, respond to the SEC Form 1662 letter;</w:t>
      </w:r>
    </w:p>
    <w:p>
      <w:pPr>
        <w:numPr>
          <w:ilvl w:val="0"/>
          <w:numId w:val="554"/>
        </w:numPr>
        <w:ind w:left="720" w:hanging="267"/>
        <w:jc w:val="left"/>
        <w:rPr>
          <w:rFonts w:eastAsia="Arial" w:cs="Arial"/>
          <w:sz w:val="20"/>
          <w:szCs w:val="20"/>
        </w:rPr>
      </w:pPr>
      <w:r>
        <w:rPr>
          <w:rFonts w:eastAsia="Arial" w:cs="Arial"/>
          <w:sz w:val="20"/>
          <w:szCs w:val="20"/>
        </w:rPr>
        <w:t xml:space="preserve">Encourage clients to contact KCD with any questions about the SEC Form 1662 letter; and </w:t>
      </w:r>
    </w:p>
    <w:p>
      <w:pPr>
        <w:numPr>
          <w:ilvl w:val="0"/>
          <w:numId w:val="554"/>
        </w:numPr>
        <w:spacing w:after="200"/>
        <w:ind w:left="720" w:hanging="267"/>
        <w:jc w:val="left"/>
        <w:rPr>
          <w:rFonts w:eastAsia="Arial" w:cs="Arial"/>
          <w:sz w:val="20"/>
          <w:szCs w:val="20"/>
        </w:rPr>
      </w:pPr>
      <w:r>
        <w:rPr>
          <w:rFonts w:eastAsia="Arial" w:cs="Arial"/>
          <w:sz w:val="20"/>
          <w:szCs w:val="20"/>
        </w:rPr>
        <w:t>If appropriate, inform clients that their receipt of such letters "should in no way be construed, in and of itself, as an indication of any problem or irregularity by KCD."</w:t>
      </w:r>
    </w:p>
    <w:p>
      <w:bookmarkEnd w:id="625"/>
      <w:bookmarkStart w:id="627" w:name="Sec_Chp_061016102254625_061016102255939"/>
    </w:p>
    <w:p>
      <w:pPr>
        <w:pStyle w:val="Heading3"/>
      </w:pPr>
      <w:bookmarkStart w:id="628" w:name="_Toc256000175"/>
      <w:r>
        <w:t>9.4.9 Third-Party Consultants</w:t>
      </w:r>
      <w:bookmarkEnd w:id="628"/>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utilize or otherwise interact with third-party consultants to market KCD's advisory services only after:</w:t>
      </w:r>
    </w:p>
    <w:p>
      <w:pPr>
        <w:numPr>
          <w:ilvl w:val="0"/>
          <w:numId w:val="555"/>
        </w:numPr>
        <w:spacing w:before="200"/>
        <w:ind w:left="720" w:hanging="267"/>
        <w:jc w:val="left"/>
        <w:rPr>
          <w:rFonts w:eastAsia="Arial" w:cs="Arial"/>
          <w:sz w:val="20"/>
          <w:szCs w:val="20"/>
        </w:rPr>
      </w:pPr>
      <w:r>
        <w:rPr>
          <w:rFonts w:eastAsia="Arial" w:cs="Arial"/>
          <w:sz w:val="20"/>
          <w:szCs w:val="20"/>
        </w:rPr>
        <w:t>Performing due diligence on the third-party consultant and its principals, including such persons' regulatory and disciplinary history and any conflicts of interest;</w:t>
      </w:r>
    </w:p>
    <w:p>
      <w:pPr>
        <w:numPr>
          <w:ilvl w:val="0"/>
          <w:numId w:val="555"/>
        </w:numPr>
        <w:ind w:left="720" w:hanging="267"/>
        <w:jc w:val="left"/>
        <w:rPr>
          <w:rFonts w:eastAsia="Arial" w:cs="Arial"/>
          <w:sz w:val="20"/>
          <w:szCs w:val="20"/>
        </w:rPr>
      </w:pPr>
      <w:r>
        <w:rPr>
          <w:rFonts w:eastAsia="Arial" w:cs="Arial"/>
          <w:sz w:val="20"/>
          <w:szCs w:val="20"/>
        </w:rPr>
        <w:t>Determining the regulatory status of the third-party consultant, including whether it is registered or required to be registered as a broker-dealer or investment adviser; and</w:t>
      </w:r>
    </w:p>
    <w:p>
      <w:pPr>
        <w:numPr>
          <w:ilvl w:val="0"/>
          <w:numId w:val="555"/>
        </w:numPr>
        <w:ind w:left="720" w:hanging="267"/>
        <w:jc w:val="left"/>
        <w:rPr>
          <w:rFonts w:eastAsia="Arial" w:cs="Arial"/>
          <w:sz w:val="20"/>
          <w:szCs w:val="20"/>
        </w:rPr>
      </w:pPr>
      <w:r>
        <w:rPr>
          <w:rFonts w:eastAsia="Arial" w:cs="Arial"/>
          <w:sz w:val="20"/>
          <w:szCs w:val="20"/>
        </w:rPr>
        <w:t>Maintaining all records related to the relationship between KCD and each third-party consultant, including:</w:t>
      </w:r>
    </w:p>
    <w:p>
      <w:pPr>
        <w:numPr>
          <w:ilvl w:val="1"/>
          <w:numId w:val="555"/>
        </w:numPr>
        <w:ind w:left="1440" w:hanging="220"/>
        <w:jc w:val="left"/>
        <w:rPr>
          <w:rFonts w:eastAsia="Arial" w:cs="Arial"/>
          <w:sz w:val="20"/>
          <w:szCs w:val="20"/>
        </w:rPr>
      </w:pPr>
      <w:r>
        <w:rPr>
          <w:rFonts w:eastAsia="Arial" w:cs="Arial"/>
          <w:sz w:val="20"/>
          <w:szCs w:val="20"/>
        </w:rPr>
        <w:t>any RFPs and due diligence questionnaires completed for the consultant;</w:t>
      </w:r>
    </w:p>
    <w:p>
      <w:pPr>
        <w:numPr>
          <w:ilvl w:val="1"/>
          <w:numId w:val="555"/>
        </w:numPr>
        <w:ind w:left="1440" w:hanging="220"/>
        <w:jc w:val="left"/>
        <w:rPr>
          <w:rFonts w:eastAsia="Arial" w:cs="Arial"/>
          <w:sz w:val="20"/>
          <w:szCs w:val="20"/>
        </w:rPr>
      </w:pPr>
      <w:r>
        <w:rPr>
          <w:rFonts w:eastAsia="Arial" w:cs="Arial"/>
          <w:sz w:val="20"/>
          <w:szCs w:val="20"/>
        </w:rPr>
        <w:t>any contracts between KCD and the consultant;</w:t>
      </w:r>
    </w:p>
    <w:p>
      <w:pPr>
        <w:numPr>
          <w:ilvl w:val="1"/>
          <w:numId w:val="555"/>
        </w:numPr>
        <w:ind w:left="1440" w:hanging="220"/>
        <w:jc w:val="left"/>
        <w:rPr>
          <w:rFonts w:eastAsia="Arial" w:cs="Arial"/>
          <w:sz w:val="20"/>
          <w:szCs w:val="20"/>
        </w:rPr>
      </w:pPr>
      <w:r>
        <w:rPr>
          <w:rFonts w:eastAsia="Arial" w:cs="Arial"/>
          <w:sz w:val="20"/>
          <w:szCs w:val="20"/>
        </w:rPr>
        <w:t>a list of all consultants to whose clients KCD made presentations for the purpose of obtaining or retaining the client as an advisory client; and</w:t>
      </w:r>
    </w:p>
    <w:p>
      <w:pPr>
        <w:numPr>
          <w:ilvl w:val="1"/>
          <w:numId w:val="555"/>
        </w:numPr>
        <w:spacing w:after="200"/>
        <w:ind w:left="1440" w:hanging="220"/>
        <w:jc w:val="left"/>
        <w:rPr>
          <w:rFonts w:eastAsia="Arial" w:cs="Arial"/>
          <w:sz w:val="20"/>
          <w:szCs w:val="20"/>
        </w:rPr>
      </w:pPr>
      <w:r>
        <w:rPr>
          <w:rFonts w:eastAsia="Arial" w:cs="Arial"/>
          <w:sz w:val="20"/>
          <w:szCs w:val="20"/>
        </w:rPr>
        <w:t>all correspondence between KCD and the consultant.</w:t>
      </w:r>
    </w:p>
    <w:p>
      <w:bookmarkEnd w:id="627"/>
      <w:bookmarkStart w:id="629" w:name="Sec_Chp_061016102254625_061016102255562"/>
    </w:p>
    <w:p>
      <w:pPr>
        <w:pStyle w:val="Heading2"/>
      </w:pPr>
      <w:bookmarkStart w:id="630" w:name="_Toc256000176"/>
      <w:r>
        <w:t>9.5 Form ADV Disclosure</w:t>
      </w:r>
      <w:bookmarkEnd w:id="630"/>
    </w:p>
    <w:p/>
    <w:p>
      <w:pPr>
        <w:rPr>
          <w:rFonts w:eastAsia="Arial" w:cs="Arial"/>
          <w:sz w:val="16"/>
          <w:szCs w:val="16"/>
        </w:rPr>
      </w:pPr>
      <w:r>
        <w:rPr>
          <w:rFonts w:eastAsia="Arial" w:cs="Arial"/>
          <w:sz w:val="16"/>
          <w:szCs w:val="16"/>
        </w:rPr>
        <w:t>[Investment Advisers Act of 1940 Form ADV Item 4, Item 6 and Item 14]</w:t>
      </w:r>
    </w:p>
    <w:p/>
    <w:p>
      <w:pPr>
        <w:pStyle w:val="normal0"/>
        <w:spacing w:after="200"/>
        <w:rPr>
          <w:rFonts w:eastAsia="Arial" w:cs="Arial"/>
          <w:sz w:val="20"/>
          <w:szCs w:val="20"/>
        </w:rPr>
      </w:pPr>
      <w:r>
        <w:rPr>
          <w:rFonts w:eastAsia="Arial" w:cs="Arial"/>
          <w:sz w:val="20"/>
          <w:szCs w:val="20"/>
        </w:rPr>
        <w:t>KCD will appropriately disclose its marketing-related information on its Form ADV.</w:t>
      </w:r>
    </w:p>
    <w:p>
      <w:pPr>
        <w:pStyle w:val="normal0"/>
        <w:spacing w:before="200" w:after="200"/>
        <w:rPr>
          <w:rFonts w:eastAsia="Arial" w:cs="Arial"/>
          <w:sz w:val="20"/>
          <w:szCs w:val="20"/>
        </w:rPr>
      </w:pPr>
      <w:r>
        <w:rPr>
          <w:rFonts w:eastAsia="Arial" w:cs="Arial"/>
          <w:sz w:val="20"/>
          <w:szCs w:val="20"/>
        </w:rPr>
        <w:t>KCD will state in its Brochure (Part 2A) that it, from time to time, advertises its advisory services (if true), and will describe any referral arrangements of which it is a participant.</w:t>
      </w:r>
    </w:p>
    <w:p>
      <w:pPr>
        <w:pStyle w:val="normal0"/>
        <w:spacing w:before="200" w:after="200"/>
        <w:rPr>
          <w:rFonts w:eastAsia="Arial" w:cs="Arial"/>
          <w:sz w:val="20"/>
          <w:szCs w:val="20"/>
        </w:rPr>
      </w:pPr>
      <w:r>
        <w:rPr>
          <w:rFonts w:eastAsia="Arial" w:cs="Arial"/>
          <w:sz w:val="20"/>
          <w:szCs w:val="20"/>
        </w:rPr>
        <w:t>With respect to disclosure documents used in cash solicitation (referral) arrangements, KCD will make sure that such documents:</w:t>
      </w:r>
    </w:p>
    <w:p>
      <w:pPr>
        <w:numPr>
          <w:ilvl w:val="0"/>
          <w:numId w:val="556"/>
        </w:numPr>
        <w:spacing w:before="200"/>
        <w:ind w:left="720" w:hanging="192"/>
        <w:jc w:val="left"/>
        <w:rPr>
          <w:rFonts w:eastAsia="Arial" w:cs="Arial"/>
          <w:sz w:val="20"/>
          <w:szCs w:val="20"/>
        </w:rPr>
      </w:pPr>
      <w:r>
        <w:rPr>
          <w:rFonts w:eastAsia="Arial" w:cs="Arial"/>
          <w:sz w:val="20"/>
          <w:szCs w:val="20"/>
        </w:rPr>
        <w:t>disclose the nature of the relationship, including any affiliation, between the solicitor and KCD;</w:t>
      </w:r>
    </w:p>
    <w:p>
      <w:pPr>
        <w:numPr>
          <w:ilvl w:val="0"/>
          <w:numId w:val="556"/>
        </w:numPr>
        <w:ind w:left="720" w:hanging="192"/>
        <w:jc w:val="left"/>
        <w:rPr>
          <w:rFonts w:eastAsia="Arial" w:cs="Arial"/>
          <w:sz w:val="20"/>
          <w:szCs w:val="20"/>
        </w:rPr>
      </w:pPr>
      <w:r>
        <w:rPr>
          <w:rFonts w:eastAsia="Arial" w:cs="Arial"/>
          <w:sz w:val="20"/>
          <w:szCs w:val="20"/>
        </w:rPr>
        <w:t>contain the terms of the compensation arrangement between the solicitor and KCD;</w:t>
      </w:r>
    </w:p>
    <w:p>
      <w:pPr>
        <w:numPr>
          <w:ilvl w:val="0"/>
          <w:numId w:val="556"/>
        </w:numPr>
        <w:ind w:left="720" w:hanging="192"/>
        <w:jc w:val="left"/>
        <w:rPr>
          <w:rFonts w:eastAsia="Arial" w:cs="Arial"/>
          <w:sz w:val="20"/>
          <w:szCs w:val="20"/>
        </w:rPr>
      </w:pPr>
      <w:r>
        <w:rPr>
          <w:rFonts w:eastAsia="Arial" w:cs="Arial"/>
          <w:sz w:val="20"/>
          <w:szCs w:val="20"/>
        </w:rPr>
        <w:t>specify the actual compensation terms agreed to in the solicitation agreement (while avoiding use of hypothetical and vague terms); and</w:t>
      </w:r>
    </w:p>
    <w:p>
      <w:pPr>
        <w:numPr>
          <w:ilvl w:val="0"/>
          <w:numId w:val="556"/>
        </w:numPr>
        <w:spacing w:after="200"/>
        <w:ind w:left="720" w:hanging="192"/>
        <w:jc w:val="left"/>
        <w:rPr>
          <w:rFonts w:eastAsia="Arial" w:cs="Arial"/>
          <w:sz w:val="20"/>
          <w:szCs w:val="20"/>
        </w:rPr>
      </w:pPr>
      <w:r>
        <w:rPr>
          <w:rFonts w:eastAsia="Arial" w:cs="Arial"/>
          <w:sz w:val="20"/>
          <w:szCs w:val="20"/>
        </w:rPr>
        <w:t>specify the additional solicitation cost the solicited client will be charged in addition to the advisory fee.</w:t>
      </w:r>
    </w:p>
    <w:p>
      <w:bookmarkEnd w:id="629"/>
      <w:bookmarkStart w:id="631" w:name="Sec_Chp_061016102254625_061016102255578"/>
    </w:p>
    <w:p>
      <w:pPr>
        <w:pStyle w:val="Heading2"/>
      </w:pPr>
      <w:bookmarkStart w:id="632" w:name="_Toc256000177"/>
      <w:r>
        <w:t>9.6 Books and Records</w:t>
      </w:r>
      <w:bookmarkEnd w:id="632"/>
    </w:p>
    <w:p/>
    <w:p>
      <w:pPr>
        <w:rPr>
          <w:rFonts w:eastAsia="Arial" w:cs="Arial"/>
          <w:sz w:val="16"/>
          <w:szCs w:val="16"/>
        </w:rPr>
      </w:pPr>
      <w:r>
        <w:rPr>
          <w:rFonts w:eastAsia="Arial" w:cs="Arial"/>
          <w:sz w:val="16"/>
          <w:szCs w:val="16"/>
        </w:rPr>
        <w:t>[Investment Advisers Act of 1940 Rule 204-2(a)(11), 204-2(a)(15), 204-2(a)(16), 206(4)-1 and 206(4)-3]</w:t>
      </w:r>
    </w:p>
    <w:p/>
    <w:p>
      <w:pPr>
        <w:pStyle w:val="normal0"/>
        <w:spacing w:after="200"/>
        <w:rPr>
          <w:rFonts w:eastAsia="Arial" w:cs="Arial"/>
          <w:sz w:val="20"/>
          <w:szCs w:val="20"/>
        </w:rPr>
      </w:pPr>
      <w:r>
        <w:rPr>
          <w:rFonts w:eastAsia="Arial" w:cs="Arial"/>
          <w:sz w:val="20"/>
          <w:szCs w:val="20"/>
        </w:rPr>
        <w:t>In the "Marketing" section of its books and records, KCD will maintain a copy of each:</w:t>
      </w:r>
    </w:p>
    <w:p>
      <w:pPr>
        <w:numPr>
          <w:ilvl w:val="0"/>
          <w:numId w:val="557"/>
        </w:numPr>
        <w:spacing w:before="200"/>
        <w:ind w:left="720" w:hanging="192"/>
        <w:jc w:val="left"/>
        <w:rPr>
          <w:rFonts w:eastAsia="Arial" w:cs="Arial"/>
          <w:sz w:val="20"/>
          <w:szCs w:val="20"/>
        </w:rPr>
      </w:pPr>
      <w:r>
        <w:rPr>
          <w:rFonts w:eastAsia="Arial" w:cs="Arial"/>
          <w:sz w:val="20"/>
          <w:szCs w:val="20"/>
        </w:rPr>
        <w:t>Advertisement that KCD disseminates, directly or indirectly, except:</w:t>
      </w:r>
    </w:p>
    <w:p>
      <w:pPr>
        <w:numPr>
          <w:ilvl w:val="1"/>
          <w:numId w:val="557"/>
        </w:numPr>
        <w:ind w:left="1440" w:hanging="220"/>
        <w:jc w:val="left"/>
        <w:rPr>
          <w:rFonts w:eastAsia="Arial" w:cs="Arial"/>
          <w:sz w:val="20"/>
          <w:szCs w:val="20"/>
        </w:rPr>
      </w:pPr>
      <w:r>
        <w:rPr>
          <w:rFonts w:eastAsia="Arial" w:cs="Arial"/>
          <w:sz w:val="20"/>
          <w:szCs w:val="20"/>
        </w:rPr>
        <w:t>For oral advertisements, KCD may instead retain a copy of any written or recorded materials used by the adviser in connection with the oral advertisement; and</w:t>
      </w:r>
    </w:p>
    <w:p>
      <w:pPr>
        <w:numPr>
          <w:ilvl w:val="1"/>
          <w:numId w:val="557"/>
        </w:numPr>
        <w:ind w:left="1440" w:hanging="220"/>
        <w:jc w:val="left"/>
        <w:rPr>
          <w:rFonts w:eastAsia="Arial" w:cs="Arial"/>
          <w:sz w:val="20"/>
          <w:szCs w:val="20"/>
        </w:rPr>
      </w:pPr>
      <w:r>
        <w:rPr>
          <w:rFonts w:eastAsia="Arial" w:cs="Arial"/>
          <w:sz w:val="20"/>
          <w:szCs w:val="20"/>
        </w:rPr>
        <w:t>For compensated oral testimonials and endorsements, KCD may instead make and keep a record of the disclosures provided to clients; and</w:t>
      </w:r>
    </w:p>
    <w:p>
      <w:pPr>
        <w:numPr>
          <w:ilvl w:val="0"/>
          <w:numId w:val="557"/>
        </w:numPr>
        <w:ind w:left="720" w:hanging="192"/>
        <w:jc w:val="left"/>
        <w:rPr>
          <w:rFonts w:eastAsia="Arial" w:cs="Arial"/>
          <w:sz w:val="20"/>
          <w:szCs w:val="20"/>
        </w:rPr>
      </w:pPr>
      <w:r>
        <w:rPr>
          <w:rFonts w:eastAsia="Arial" w:cs="Arial"/>
          <w:sz w:val="20"/>
          <w:szCs w:val="20"/>
        </w:rPr>
        <w:t>Notice, circular, newspaper article, investment letter, bulletin, or other communication that the investment adviser disseminates, directly or indirectly, to ten or more persons (other than persons associated with such investment adviser); and</w:t>
      </w:r>
    </w:p>
    <w:p>
      <w:pPr>
        <w:numPr>
          <w:ilvl w:val="0"/>
          <w:numId w:val="557"/>
        </w:numPr>
        <w:ind w:left="720" w:hanging="192"/>
        <w:jc w:val="left"/>
        <w:rPr>
          <w:rFonts w:eastAsia="Arial" w:cs="Arial"/>
          <w:sz w:val="20"/>
          <w:szCs w:val="20"/>
        </w:rPr>
      </w:pPr>
      <w:r>
        <w:rPr>
          <w:rFonts w:eastAsia="Arial" w:cs="Arial"/>
          <w:sz w:val="20"/>
          <w:szCs w:val="20"/>
        </w:rPr>
        <w:t>If such notice, circular, advertisement, newspaper article, investment letter, bulletin, or other communication recommends the purchase or sale of a specific security and does not state the reasons for such recommendation, a memorandum of the investment adviser indicating the reasons therefor; and</w:t>
      </w:r>
    </w:p>
    <w:p>
      <w:pPr>
        <w:numPr>
          <w:ilvl w:val="0"/>
          <w:numId w:val="557"/>
        </w:numPr>
        <w:spacing w:after="200"/>
        <w:ind w:left="720" w:hanging="192"/>
        <w:jc w:val="left"/>
        <w:rPr>
          <w:rFonts w:eastAsia="Arial" w:cs="Arial"/>
          <w:sz w:val="20"/>
          <w:szCs w:val="20"/>
        </w:rPr>
      </w:pPr>
      <w:r>
        <w:rPr>
          <w:rFonts w:eastAsia="Arial" w:cs="Arial"/>
          <w:sz w:val="20"/>
          <w:szCs w:val="20"/>
        </w:rPr>
        <w:t>Questionnaire or survey used in the preparation of a third-party rating included or appearing in any advertisement in the event the adviser obtains a copy of the questionnaire or survey.</w:t>
      </w:r>
    </w:p>
    <w:p>
      <w:pPr>
        <w:rPr>
          <w:rFonts w:ascii="Times New Roman" w:eastAsia="Times New Roman" w:hAnsi="Times New Roman" w:cs="Times New Roman"/>
          <w:sz w:val="24"/>
        </w:rPr>
      </w:pPr>
      <w:bookmarkEnd w:id="631"/>
    </w:p>
    <w:p>
      <w:r>
        <w:rPr>
          <w:rFonts w:ascii="Times New Roman" w:eastAsia="Times New Roman" w:hAnsi="Times New Roman" w:cs="Times New Roman"/>
          <w:sz w:val="24"/>
        </w:rPr>
        <w:br w:type="page"/>
      </w:r>
    </w:p>
    <w:p>
      <w:pPr>
        <w:pStyle w:val="Heading1"/>
      </w:pPr>
      <w:bookmarkStart w:id="633" w:name="_Toc256000178"/>
      <w:r>
        <w:t>10 EMPLOYEES</w:t>
      </w:r>
      <w:bookmarkEnd w:id="633"/>
    </w:p>
    <w:p>
      <w:bookmarkStart w:id="634" w:name="Sec_Chp_061016102255750_061016102255796"/>
    </w:p>
    <w:p>
      <w:pPr>
        <w:pStyle w:val="Heading2"/>
      </w:pPr>
      <w:bookmarkStart w:id="635" w:name="_Toc256000179"/>
      <w:r>
        <w:t>Introduction</w:t>
      </w:r>
      <w:bookmarkEnd w:id="635"/>
    </w:p>
    <w:p/>
    <w:p>
      <w:pPr>
        <w:rPr>
          <w:rFonts w:eastAsia="Arial" w:cs="Arial"/>
          <w:sz w:val="16"/>
          <w:szCs w:val="16"/>
        </w:rPr>
      </w:pPr>
      <w:r>
        <w:rPr>
          <w:rFonts w:eastAsia="Arial" w:cs="Arial"/>
          <w:sz w:val="16"/>
          <w:szCs w:val="16"/>
        </w:rPr>
        <w:t>[Investment Advisers Act of 1940 Section 204A]</w:t>
      </w:r>
    </w:p>
    <w:p/>
    <w:p>
      <w:pPr>
        <w:pStyle w:val="normal0"/>
        <w:spacing w:after="200"/>
        <w:rPr>
          <w:rFonts w:eastAsia="Arial" w:cs="Arial"/>
          <w:sz w:val="20"/>
          <w:szCs w:val="20"/>
        </w:rPr>
      </w:pPr>
      <w:r>
        <w:rPr>
          <w:rFonts w:eastAsia="Arial" w:cs="Arial"/>
          <w:sz w:val="20"/>
          <w:szCs w:val="20"/>
        </w:rPr>
        <w:t>If an employee of an investment adviser meets the definition of investment adviser representative, he or she must register with the appropriate state. Employees of, and other persons associated with, an investment adviser that make investment recommendations or participate in the determination of the recommendation, ordinarily will meet the definition of investment adviser representative. Failure to register as such can result in state regulatory proceedings against the adviser and allow the client to disaffirm an investment recommended by the unregistered employee.</w:t>
      </w:r>
    </w:p>
    <w:p>
      <w:pPr>
        <w:pStyle w:val="normal0"/>
        <w:spacing w:before="200" w:after="200"/>
        <w:rPr>
          <w:rFonts w:eastAsia="Arial" w:cs="Arial"/>
          <w:sz w:val="20"/>
          <w:szCs w:val="20"/>
        </w:rPr>
      </w:pPr>
      <w:r>
        <w:rPr>
          <w:rFonts w:eastAsia="Arial" w:cs="Arial"/>
          <w:sz w:val="20"/>
          <w:szCs w:val="20"/>
        </w:rPr>
        <w:t xml:space="preserve">Employees, officers and directors of KCD may from time to time have knowledge of present or future client transactions and, in certain circumstances, the power to influence transactions made by or for clients. If such individuals engage in personal transactions in securities that are eligible for investment by clients, these individuals could be in a position where their personal interests conflict with the interests of clients. The Code of Ethics is designed to ensure that employees with access to information about client trades will not adversely impact the trade or trades recommended for clients. For example, no employee may "front-run" a client's trade. In addition, employees may not take advantage of investment opportunities that rightfully belong to the clients. </w:t>
      </w:r>
    </w:p>
    <w:p>
      <w:pPr>
        <w:pStyle w:val="normal0"/>
        <w:spacing w:before="200" w:after="200"/>
        <w:rPr>
          <w:rFonts w:eastAsia="Arial" w:cs="Arial"/>
          <w:sz w:val="20"/>
          <w:szCs w:val="20"/>
        </w:rPr>
      </w:pPr>
      <w:r>
        <w:rPr>
          <w:rFonts w:eastAsia="Arial" w:cs="Arial"/>
          <w:sz w:val="20"/>
          <w:szCs w:val="20"/>
        </w:rPr>
        <w:t xml:space="preserve">An investment adviser or an employee may, from time to time, come into possession of inside information about a publicly traded company. The Investment Advisers Act of 1940 and Insider Trading and Securities Fraud Enforcement Act of 1988 (ITSFEA) require an investment adviser to establish, maintain and enforce written policies and procedures designed to prevent the misuse of material, nonpublic (inside) information. </w:t>
      </w:r>
    </w:p>
    <w:p>
      <w:pPr>
        <w:pStyle w:val="normal0"/>
        <w:spacing w:before="200" w:after="200"/>
        <w:rPr>
          <w:rFonts w:eastAsia="Arial" w:cs="Arial"/>
          <w:sz w:val="20"/>
          <w:szCs w:val="20"/>
        </w:rPr>
      </w:pPr>
      <w:r>
        <w:rPr>
          <w:rFonts w:eastAsia="Arial" w:cs="Arial"/>
          <w:sz w:val="20"/>
          <w:szCs w:val="20"/>
        </w:rPr>
        <w:t>An investment adviser that approves an employee's participation in outside business activities may assume certain critical regulatory or other responsibilities associated with such activities. For example, an investment adviser that approves an employee's proposal to offer advisory services or sponsor a hedge fund may assume regulatory responsibility over such activities. By failing to assume such responsibility, the investment adviser may potentially violate the securities and other laws, including the responsibility to exercise appropriate supervision over the person.</w:t>
      </w:r>
    </w:p>
    <w:p>
      <w:pPr>
        <w:pStyle w:val="normal0"/>
        <w:spacing w:before="200" w:after="200"/>
        <w:rPr>
          <w:rFonts w:eastAsia="Arial" w:cs="Arial"/>
          <w:sz w:val="20"/>
          <w:szCs w:val="20"/>
        </w:rPr>
      </w:pPr>
      <w:r>
        <w:rPr>
          <w:rFonts w:eastAsia="Arial" w:cs="Arial"/>
          <w:sz w:val="20"/>
          <w:szCs w:val="20"/>
        </w:rPr>
        <w:t>A variety of organizations offer investment adviser representatives the opportunity to earn designations.</w:t>
      </w:r>
    </w:p>
    <w:p>
      <w:pPr>
        <w:pStyle w:val="normal0"/>
        <w:spacing w:before="200" w:after="200"/>
        <w:rPr>
          <w:rFonts w:eastAsia="Arial" w:cs="Arial"/>
          <w:sz w:val="20"/>
          <w:szCs w:val="20"/>
        </w:rPr>
      </w:pPr>
      <w:r>
        <w:rPr>
          <w:rFonts w:eastAsia="Arial" w:cs="Arial"/>
          <w:sz w:val="20"/>
          <w:szCs w:val="20"/>
        </w:rPr>
        <w:t xml:space="preserve">Adviser representatives typically must pass some examination or have some other qualification to earn a designation. Once they have a designation(s), adviser representatives often have continuing education or other responsibilities in order to maintain their designations. </w:t>
      </w:r>
    </w:p>
    <w:p>
      <w:bookmarkEnd w:id="634"/>
      <w:bookmarkStart w:id="636" w:name="Sec_Chp_061016102255750_061016102255812"/>
    </w:p>
    <w:p>
      <w:pPr>
        <w:pStyle w:val="Heading2"/>
      </w:pPr>
      <w:bookmarkStart w:id="637" w:name="_Toc256000180"/>
      <w:r>
        <w:t>10.1 Compliance Reference Chart</w:t>
      </w:r>
      <w:bookmarkEnd w:id="637"/>
    </w:p>
    <w:p/>
    <w:p>
      <w:pPr>
        <w:rPr>
          <w:rFonts w:eastAsia="Arial" w:cs="Arial"/>
          <w:sz w:val="16"/>
          <w:szCs w:val="16"/>
        </w:rPr>
      </w:pPr>
      <w:r>
        <w:rPr>
          <w:rFonts w:eastAsia="Arial" w:cs="Arial"/>
          <w:sz w:val="16"/>
          <w:szCs w:val="16"/>
        </w:rPr>
        <w:t>[Investment Advisers Act of 1940 Section 204A; Investment Advisers Act of 1940 Form ADV]</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5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5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 Management</w:t>
            </w:r>
          </w:p>
          <w:p>
            <w:pPr>
              <w:numPr>
                <w:ilvl w:val="0"/>
                <w:numId w:val="55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p>
            <w:pPr>
              <w:numPr>
                <w:ilvl w:val="0"/>
                <w:numId w:val="55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6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KCD hires a new employee</w:t>
            </w:r>
          </w:p>
          <w:p>
            <w:pPr>
              <w:numPr>
                <w:ilvl w:val="0"/>
                <w:numId w:val="56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Each time an employee places a securities trade or comes into possession of inside information </w:t>
            </w:r>
          </w:p>
          <w:p>
            <w:pPr>
              <w:numPr>
                <w:ilvl w:val="0"/>
                <w:numId w:val="56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Periodic comparison employee trades with employee brokerage statements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6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Form ADV under the Investment Advisers Act of 1940</w:t>
            </w:r>
          </w:p>
          <w:p>
            <w:pPr>
              <w:numPr>
                <w:ilvl w:val="0"/>
                <w:numId w:val="56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 204A of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6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Records of employee trades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56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Employee Compliance Procedures annually.</w:t>
            </w:r>
          </w:p>
        </w:tc>
      </w:tr>
    </w:tbl>
    <w:p>
      <w:bookmarkEnd w:id="636"/>
      <w:bookmarkStart w:id="638" w:name="Sec_Chp_061016102255750_061016102255859"/>
    </w:p>
    <w:p>
      <w:pPr>
        <w:pStyle w:val="Heading2"/>
      </w:pPr>
      <w:bookmarkStart w:id="639" w:name="_Toc256000181"/>
      <w:r>
        <w:t>10.2 Policy</w:t>
      </w:r>
      <w:bookmarkEnd w:id="639"/>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carefully screen candidates for employment in an effort to determine whether the candidate has demonstrated the ability to comply with laws and his or her employers' internal policies, to require all trades by its employees who are access persons to be subject to KCD's employee trading procedures, to implement procedures designed to prevent its employees from engaging in prohibited insider trading, and to prohibit employees who are not registered as investment adviser representatives to engage in activities that would require them to register as such with any state.</w:t>
      </w:r>
    </w:p>
    <w:p>
      <w:bookmarkEnd w:id="638"/>
      <w:bookmarkStart w:id="640" w:name="Sec_Chp_061016102255750_061016102255875"/>
    </w:p>
    <w:p>
      <w:pPr>
        <w:pStyle w:val="Heading2"/>
      </w:pPr>
      <w:bookmarkStart w:id="641" w:name="_Toc256000182"/>
      <w:r>
        <w:t>10.3 Procedures</w:t>
      </w:r>
      <w:bookmarkEnd w:id="641"/>
      <w:r>
        <w:t xml:space="preserve"> </w:t>
      </w:r>
    </w:p>
    <w:p/>
    <w:p>
      <w:pPr>
        <w:rPr>
          <w:rFonts w:eastAsia="Arial" w:cs="Arial"/>
          <w:sz w:val="16"/>
          <w:szCs w:val="16"/>
        </w:rPr>
      </w:pPr>
    </w:p>
    <w:p>
      <w:bookmarkEnd w:id="640"/>
      <w:bookmarkStart w:id="642" w:name="Sec_Chp_061016102255750_061016102255890"/>
    </w:p>
    <w:p>
      <w:pPr>
        <w:pStyle w:val="Heading3"/>
      </w:pPr>
      <w:bookmarkStart w:id="643" w:name="_Toc256000183"/>
      <w:r>
        <w:t>10.3.1 New Employees</w:t>
      </w:r>
      <w:bookmarkEnd w:id="643"/>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will carefully screen employee candidates in the following manner: </w:t>
      </w:r>
    </w:p>
    <w:p>
      <w:pPr>
        <w:numPr>
          <w:ilvl w:val="0"/>
          <w:numId w:val="564"/>
        </w:numPr>
        <w:spacing w:before="200"/>
        <w:ind w:left="720" w:hanging="192"/>
        <w:jc w:val="left"/>
        <w:rPr>
          <w:rFonts w:eastAsia="Arial" w:cs="Arial"/>
          <w:sz w:val="20"/>
          <w:szCs w:val="20"/>
        </w:rPr>
      </w:pPr>
      <w:r>
        <w:rPr>
          <w:rFonts w:eastAsia="Arial" w:cs="Arial"/>
          <w:sz w:val="20"/>
          <w:szCs w:val="20"/>
        </w:rPr>
        <w:t xml:space="preserve">Request each employee candidate to complete a new employee application; </w:t>
      </w:r>
    </w:p>
    <w:p>
      <w:pPr>
        <w:numPr>
          <w:ilvl w:val="0"/>
          <w:numId w:val="564"/>
        </w:numPr>
        <w:ind w:left="720" w:hanging="192"/>
        <w:jc w:val="left"/>
        <w:rPr>
          <w:rFonts w:eastAsia="Arial" w:cs="Arial"/>
          <w:sz w:val="20"/>
          <w:szCs w:val="20"/>
        </w:rPr>
      </w:pPr>
      <w:r>
        <w:rPr>
          <w:rFonts w:eastAsia="Arial" w:cs="Arial"/>
          <w:sz w:val="20"/>
          <w:szCs w:val="20"/>
        </w:rPr>
        <w:t xml:space="preserve">Review completed new employee application for applicant answers that may disqualify the applicant (e.g., criminal conviction), and perform independent background checks; </w:t>
      </w:r>
    </w:p>
    <w:p>
      <w:pPr>
        <w:numPr>
          <w:ilvl w:val="0"/>
          <w:numId w:val="564"/>
        </w:numPr>
        <w:ind w:left="720" w:hanging="192"/>
        <w:jc w:val="left"/>
        <w:rPr>
          <w:rFonts w:eastAsia="Arial" w:cs="Arial"/>
          <w:sz w:val="20"/>
          <w:szCs w:val="20"/>
        </w:rPr>
      </w:pPr>
      <w:r>
        <w:rPr>
          <w:rFonts w:eastAsia="Arial" w:cs="Arial"/>
          <w:sz w:val="20"/>
          <w:szCs w:val="20"/>
        </w:rPr>
        <w:t xml:space="preserve">Interview the employee and check employment references in an effort to determine whether the candidate has demonstrated the ability to comply with laws and his or her employers' internal policies; </w:t>
      </w:r>
    </w:p>
    <w:p>
      <w:pPr>
        <w:numPr>
          <w:ilvl w:val="0"/>
          <w:numId w:val="564"/>
        </w:numPr>
        <w:ind w:left="720" w:hanging="192"/>
        <w:jc w:val="left"/>
        <w:rPr>
          <w:rFonts w:eastAsia="Arial" w:cs="Arial"/>
          <w:sz w:val="20"/>
          <w:szCs w:val="20"/>
        </w:rPr>
      </w:pPr>
      <w:r>
        <w:rPr>
          <w:rFonts w:eastAsia="Arial" w:cs="Arial"/>
          <w:sz w:val="20"/>
          <w:szCs w:val="20"/>
        </w:rPr>
        <w:t xml:space="preserve">Determine if the new employee's proposed activities will cause him or her: </w:t>
      </w:r>
    </w:p>
    <w:p>
      <w:pPr>
        <w:numPr>
          <w:ilvl w:val="1"/>
          <w:numId w:val="564"/>
        </w:numPr>
        <w:ind w:left="1440" w:hanging="220"/>
        <w:jc w:val="left"/>
        <w:rPr>
          <w:rFonts w:eastAsia="Arial" w:cs="Arial"/>
          <w:sz w:val="20"/>
          <w:szCs w:val="20"/>
        </w:rPr>
      </w:pPr>
      <w:r>
        <w:rPr>
          <w:rFonts w:eastAsia="Arial" w:cs="Arial"/>
          <w:sz w:val="20"/>
          <w:szCs w:val="20"/>
        </w:rPr>
        <w:t xml:space="preserve">to meet the definition of investment adviser representative, subjecting the new employee to registration with the appropriate state(s); </w:t>
      </w:r>
    </w:p>
    <w:p>
      <w:pPr>
        <w:numPr>
          <w:ilvl w:val="1"/>
          <w:numId w:val="564"/>
        </w:numPr>
        <w:ind w:left="1440" w:hanging="220"/>
        <w:jc w:val="left"/>
        <w:rPr>
          <w:rFonts w:eastAsia="Arial" w:cs="Arial"/>
          <w:sz w:val="20"/>
          <w:szCs w:val="20"/>
        </w:rPr>
      </w:pPr>
      <w:r>
        <w:rPr>
          <w:rFonts w:eastAsia="Arial" w:cs="Arial"/>
          <w:sz w:val="20"/>
          <w:szCs w:val="20"/>
        </w:rPr>
        <w:t xml:space="preserve">to be required to obtain any other licenses (e.g., an insurance license); </w:t>
      </w:r>
    </w:p>
    <w:p>
      <w:pPr>
        <w:numPr>
          <w:ilvl w:val="0"/>
          <w:numId w:val="564"/>
        </w:numPr>
        <w:ind w:left="720" w:hanging="192"/>
        <w:jc w:val="left"/>
        <w:rPr>
          <w:rFonts w:eastAsia="Arial" w:cs="Arial"/>
          <w:sz w:val="20"/>
          <w:szCs w:val="20"/>
        </w:rPr>
      </w:pPr>
      <w:r>
        <w:rPr>
          <w:rFonts w:eastAsia="Arial" w:cs="Arial"/>
          <w:sz w:val="20"/>
          <w:szCs w:val="20"/>
        </w:rPr>
        <w:t>Provide the employee candidate with a job description including, if applicable, the designation of access person, investment adviser representative and/or supervised person;</w:t>
      </w:r>
    </w:p>
    <w:p>
      <w:pPr>
        <w:numPr>
          <w:ilvl w:val="0"/>
          <w:numId w:val="564"/>
        </w:numPr>
        <w:ind w:left="720" w:hanging="192"/>
        <w:jc w:val="left"/>
        <w:rPr>
          <w:rFonts w:eastAsia="Arial" w:cs="Arial"/>
          <w:sz w:val="20"/>
          <w:szCs w:val="20"/>
        </w:rPr>
      </w:pPr>
      <w:r>
        <w:rPr>
          <w:rFonts w:eastAsia="Arial" w:cs="Arial"/>
          <w:sz w:val="20"/>
          <w:szCs w:val="20"/>
        </w:rPr>
        <w:t>Prior to allowing the employee to provide investment advice, ensure that there is an allowable time frame that gives the employee the opportunity to complete his or her investment adviser representative registration/licensing requirements;</w:t>
      </w:r>
    </w:p>
    <w:p>
      <w:pPr>
        <w:numPr>
          <w:ilvl w:val="0"/>
          <w:numId w:val="564"/>
        </w:numPr>
        <w:ind w:left="720" w:hanging="192"/>
        <w:jc w:val="left"/>
        <w:rPr>
          <w:rFonts w:eastAsia="Arial" w:cs="Arial"/>
          <w:sz w:val="20"/>
          <w:szCs w:val="20"/>
        </w:rPr>
      </w:pPr>
      <w:r>
        <w:rPr>
          <w:rFonts w:eastAsia="Arial" w:cs="Arial"/>
          <w:sz w:val="20"/>
          <w:szCs w:val="20"/>
        </w:rPr>
        <w:t xml:space="preserve">Enter into an employment contract with the employee; </w:t>
      </w:r>
    </w:p>
    <w:p>
      <w:pPr>
        <w:numPr>
          <w:ilvl w:val="0"/>
          <w:numId w:val="564"/>
        </w:numPr>
        <w:ind w:left="720" w:hanging="192"/>
        <w:jc w:val="left"/>
        <w:rPr>
          <w:rFonts w:eastAsia="Arial" w:cs="Arial"/>
          <w:sz w:val="20"/>
          <w:szCs w:val="20"/>
        </w:rPr>
      </w:pPr>
      <w:r>
        <w:rPr>
          <w:rFonts w:eastAsia="Arial" w:cs="Arial"/>
          <w:sz w:val="20"/>
          <w:szCs w:val="20"/>
        </w:rPr>
        <w:t xml:space="preserve">Enter information about the new employee into KCD's computer or records system; </w:t>
      </w:r>
    </w:p>
    <w:p>
      <w:pPr>
        <w:numPr>
          <w:ilvl w:val="0"/>
          <w:numId w:val="564"/>
        </w:numPr>
        <w:ind w:left="720" w:hanging="192"/>
        <w:jc w:val="left"/>
        <w:rPr>
          <w:rFonts w:eastAsia="Arial" w:cs="Arial"/>
          <w:sz w:val="20"/>
          <w:szCs w:val="20"/>
        </w:rPr>
      </w:pPr>
      <w:r>
        <w:rPr>
          <w:rFonts w:eastAsia="Arial" w:cs="Arial"/>
          <w:sz w:val="20"/>
          <w:szCs w:val="20"/>
        </w:rPr>
        <w:t xml:space="preserve">Open up and maintain an individual employee file for each new employee that includes an "employee outside activities" section; </w:t>
      </w:r>
    </w:p>
    <w:p>
      <w:pPr>
        <w:numPr>
          <w:ilvl w:val="0"/>
          <w:numId w:val="564"/>
        </w:numPr>
        <w:ind w:left="720" w:hanging="192"/>
        <w:jc w:val="left"/>
        <w:rPr>
          <w:rFonts w:eastAsia="Arial" w:cs="Arial"/>
          <w:sz w:val="20"/>
          <w:szCs w:val="20"/>
        </w:rPr>
      </w:pPr>
      <w:r>
        <w:rPr>
          <w:rFonts w:eastAsia="Arial" w:cs="Arial"/>
          <w:sz w:val="20"/>
          <w:szCs w:val="20"/>
        </w:rPr>
        <w:t>Upon the offering and acceptance of a position with KCD, the new employee must confirm his or her answers on his or her Form U-4 including confirming disciplinary history;</w:t>
      </w:r>
    </w:p>
    <w:p>
      <w:pPr>
        <w:numPr>
          <w:ilvl w:val="0"/>
          <w:numId w:val="564"/>
        </w:numPr>
        <w:ind w:left="720" w:hanging="192"/>
        <w:jc w:val="left"/>
        <w:rPr>
          <w:rFonts w:eastAsia="Arial" w:cs="Arial"/>
          <w:sz w:val="20"/>
          <w:szCs w:val="20"/>
        </w:rPr>
      </w:pPr>
      <w:r>
        <w:rPr>
          <w:rFonts w:eastAsia="Arial" w:cs="Arial"/>
          <w:sz w:val="20"/>
          <w:szCs w:val="20"/>
        </w:rPr>
        <w:t xml:space="preserve">File Form U-4 and other applicable registration materials in the appropriate state(s) for employees that meet the definition of investment adviser representative pursuant to the procedures set forth in the "Registration &amp; Filings" chapter of this Manual; </w:t>
      </w:r>
    </w:p>
    <w:p>
      <w:pPr>
        <w:numPr>
          <w:ilvl w:val="0"/>
          <w:numId w:val="564"/>
        </w:numPr>
        <w:ind w:left="720" w:hanging="192"/>
        <w:jc w:val="left"/>
        <w:rPr>
          <w:rFonts w:eastAsia="Arial" w:cs="Arial"/>
          <w:sz w:val="20"/>
          <w:szCs w:val="20"/>
        </w:rPr>
      </w:pPr>
      <w:r>
        <w:rPr>
          <w:rFonts w:eastAsia="Arial" w:cs="Arial"/>
          <w:sz w:val="20"/>
          <w:szCs w:val="20"/>
        </w:rPr>
        <w:t xml:space="preserve">Amend KCD's Schedule D of Form ADV (if necessary) to indicate the name of the new employee (e.g., if the new employee is an officer or control person); and </w:t>
      </w:r>
    </w:p>
    <w:p>
      <w:pPr>
        <w:numPr>
          <w:ilvl w:val="0"/>
          <w:numId w:val="564"/>
        </w:numPr>
        <w:spacing w:after="200"/>
        <w:ind w:left="720" w:hanging="192"/>
        <w:jc w:val="left"/>
        <w:rPr>
          <w:rFonts w:eastAsia="Arial" w:cs="Arial"/>
          <w:sz w:val="20"/>
          <w:szCs w:val="20"/>
        </w:rPr>
      </w:pPr>
      <w:r>
        <w:rPr>
          <w:rFonts w:eastAsia="Arial" w:cs="Arial"/>
          <w:sz w:val="20"/>
          <w:szCs w:val="20"/>
        </w:rPr>
        <w:t>Require each person to execute a written certification that he or she will comply with this Compliance Manual, including the Code of Ethics and Insider Trading Procedures.</w:t>
      </w:r>
    </w:p>
    <w:p>
      <w:pPr>
        <w:pStyle w:val="normal0"/>
        <w:spacing w:before="200" w:after="200"/>
        <w:rPr>
          <w:rFonts w:eastAsia="Arial" w:cs="Arial"/>
          <w:sz w:val="20"/>
          <w:szCs w:val="20"/>
        </w:rPr>
      </w:pPr>
      <w:r>
        <w:rPr>
          <w:rFonts w:eastAsia="Arial" w:cs="Arial"/>
          <w:sz w:val="20"/>
          <w:szCs w:val="20"/>
        </w:rPr>
        <w:t>New employees may not work in a capacity that requires registration until they successfully fulfill all registration requirements. The Chief Compliance Officer will be consulted in advance of each new position.</w:t>
      </w:r>
    </w:p>
    <w:p>
      <w:bookmarkEnd w:id="642"/>
      <w:bookmarkStart w:id="644" w:name="Sec_Chp_061016102255750_061016102255906"/>
    </w:p>
    <w:p>
      <w:pPr>
        <w:pStyle w:val="Heading3"/>
      </w:pPr>
      <w:bookmarkStart w:id="645" w:name="_Toc256000184"/>
      <w:r>
        <w:t>10.3.2 Code of Ethics</w:t>
      </w:r>
      <w:bookmarkEnd w:id="645"/>
    </w:p>
    <w:p/>
    <w:p>
      <w:pPr>
        <w:rPr>
          <w:rFonts w:eastAsia="Arial" w:cs="Arial"/>
          <w:sz w:val="16"/>
          <w:szCs w:val="16"/>
        </w:rPr>
      </w:pPr>
    </w:p>
    <w:p>
      <w:bookmarkEnd w:id="644"/>
      <w:bookmarkStart w:id="646" w:name="Sec_Chp_061016102255750_061016102255921"/>
    </w:p>
    <w:p>
      <w:pPr>
        <w:pStyle w:val="Heading4"/>
      </w:pPr>
      <w:r>
        <w:t xml:space="preserve">10.3.2.1 Standard of Business Conduct </w:t>
      </w:r>
    </w:p>
    <w:p/>
    <w:p>
      <w:pPr>
        <w:rPr>
          <w:rFonts w:eastAsia="Arial" w:cs="Arial"/>
          <w:sz w:val="16"/>
          <w:szCs w:val="16"/>
        </w:rPr>
      </w:pPr>
      <w:r>
        <w:rPr>
          <w:rFonts w:eastAsia="Arial" w:cs="Arial"/>
          <w:sz w:val="16"/>
          <w:szCs w:val="16"/>
        </w:rPr>
        <w:t>[Investment Advisers Act of 1940 Rule 204A-1(a)]</w:t>
      </w:r>
    </w:p>
    <w:p/>
    <w:p>
      <w:pPr>
        <w:pStyle w:val="normal0"/>
        <w:spacing w:after="200"/>
        <w:rPr>
          <w:rFonts w:eastAsia="Arial" w:cs="Arial"/>
          <w:sz w:val="20"/>
          <w:szCs w:val="20"/>
        </w:rPr>
      </w:pPr>
      <w:r>
        <w:rPr>
          <w:rFonts w:eastAsia="Arial" w:cs="Arial"/>
          <w:sz w:val="20"/>
          <w:szCs w:val="20"/>
        </w:rPr>
        <w:t>The Code of Ethics is based on the principle that KCD and each of its employees owe a fiduciary duty to its clients and a duty to comply with federal and state securities laws and all other applicable laws. These duties include the obligation of Access Persons to conduct their personal securities transactions in a manner that does not interfere with the transactions of any client or otherwise to take unfair advantage of their relationship with clients. In recognition of this duty, KCD hereby adopts the following general principles to guide the actions of the Access Persons:</w:t>
      </w:r>
    </w:p>
    <w:p>
      <w:pPr>
        <w:numPr>
          <w:ilvl w:val="0"/>
          <w:numId w:val="565"/>
        </w:numPr>
        <w:spacing w:before="200"/>
        <w:ind w:left="720" w:hanging="192"/>
        <w:jc w:val="left"/>
        <w:rPr>
          <w:rFonts w:eastAsia="Arial" w:cs="Arial"/>
          <w:sz w:val="20"/>
          <w:szCs w:val="20"/>
        </w:rPr>
      </w:pPr>
      <w:r>
        <w:rPr>
          <w:rFonts w:eastAsia="Arial" w:cs="Arial"/>
          <w:sz w:val="20"/>
          <w:szCs w:val="20"/>
        </w:rPr>
        <w:t xml:space="preserve">Access Persons have the duty at all times to place the interests of clients first. </w:t>
      </w:r>
    </w:p>
    <w:p>
      <w:pPr>
        <w:numPr>
          <w:ilvl w:val="0"/>
          <w:numId w:val="565"/>
        </w:numPr>
        <w:ind w:left="720" w:hanging="192"/>
        <w:jc w:val="left"/>
        <w:rPr>
          <w:rFonts w:eastAsia="Arial" w:cs="Arial"/>
          <w:sz w:val="20"/>
          <w:szCs w:val="20"/>
        </w:rPr>
      </w:pPr>
      <w:r>
        <w:rPr>
          <w:rFonts w:eastAsia="Arial" w:cs="Arial"/>
          <w:sz w:val="20"/>
          <w:szCs w:val="20"/>
        </w:rPr>
        <w:t xml:space="preserve">Access Persons have the duty to conduct all personal securities transactions in a manner consistent with these Procedures and in such a manner to avoid any actual or potential conflict or abuse of a position of trust and responsibility. </w:t>
      </w:r>
    </w:p>
    <w:p>
      <w:pPr>
        <w:numPr>
          <w:ilvl w:val="0"/>
          <w:numId w:val="565"/>
        </w:numPr>
        <w:ind w:left="720" w:hanging="192"/>
        <w:jc w:val="left"/>
        <w:rPr>
          <w:rFonts w:eastAsia="Arial" w:cs="Arial"/>
          <w:sz w:val="20"/>
          <w:szCs w:val="20"/>
        </w:rPr>
      </w:pPr>
      <w:r>
        <w:rPr>
          <w:rFonts w:eastAsia="Arial" w:cs="Arial"/>
          <w:sz w:val="20"/>
          <w:szCs w:val="20"/>
        </w:rPr>
        <w:t>Access Persons must comply with the federal securities laws including the Investment Advisers Act of 1940 at all times.</w:t>
      </w:r>
    </w:p>
    <w:p>
      <w:pPr>
        <w:numPr>
          <w:ilvl w:val="0"/>
          <w:numId w:val="565"/>
        </w:numPr>
        <w:ind w:left="720" w:hanging="192"/>
        <w:jc w:val="left"/>
        <w:rPr>
          <w:rFonts w:eastAsia="Arial" w:cs="Arial"/>
          <w:sz w:val="20"/>
          <w:szCs w:val="20"/>
        </w:rPr>
      </w:pPr>
      <w:r>
        <w:rPr>
          <w:rFonts w:eastAsia="Arial" w:cs="Arial"/>
          <w:sz w:val="20"/>
          <w:szCs w:val="20"/>
        </w:rPr>
        <w:t xml:space="preserve">Access Persons must refrain from actions or activities that allow a person to profit or benefit from his or her position with respect to a client, or that otherwise bring into question the Access Person's independence or judgment. </w:t>
      </w:r>
    </w:p>
    <w:p>
      <w:pPr>
        <w:numPr>
          <w:ilvl w:val="0"/>
          <w:numId w:val="565"/>
        </w:numPr>
        <w:spacing w:after="200"/>
        <w:ind w:left="720" w:hanging="192"/>
        <w:jc w:val="left"/>
        <w:rPr>
          <w:rFonts w:eastAsia="Arial" w:cs="Arial"/>
          <w:sz w:val="20"/>
          <w:szCs w:val="20"/>
        </w:rPr>
      </w:pPr>
      <w:r>
        <w:rPr>
          <w:rFonts w:eastAsia="Arial" w:cs="Arial"/>
          <w:sz w:val="20"/>
          <w:szCs w:val="20"/>
        </w:rPr>
        <w:t xml:space="preserve">All personal securities transactions by Access Persons must be accomplished so as to avoid even the appearance of a conflict of interests with the client. </w:t>
      </w:r>
    </w:p>
    <w:p>
      <w:pPr>
        <w:pStyle w:val="normal0"/>
        <w:spacing w:before="200" w:after="200"/>
        <w:rPr>
          <w:rFonts w:eastAsia="Arial" w:cs="Arial"/>
          <w:sz w:val="20"/>
          <w:szCs w:val="20"/>
        </w:rPr>
      </w:pPr>
      <w:r>
        <w:rPr>
          <w:rFonts w:eastAsia="Arial" w:cs="Arial"/>
          <w:sz w:val="20"/>
          <w:szCs w:val="20"/>
        </w:rPr>
        <w:t>These duties extend beyond fiduciary obligations, personal trading and compliance with laws discussed above. Each employee additionally is obligated to:</w:t>
      </w:r>
    </w:p>
    <w:p>
      <w:pPr>
        <w:numPr>
          <w:ilvl w:val="0"/>
          <w:numId w:val="566"/>
        </w:numPr>
        <w:spacing w:before="200"/>
        <w:ind w:left="720" w:hanging="192"/>
        <w:jc w:val="left"/>
        <w:rPr>
          <w:rFonts w:eastAsia="Arial" w:cs="Arial"/>
          <w:sz w:val="20"/>
          <w:szCs w:val="20"/>
        </w:rPr>
      </w:pPr>
      <w:r>
        <w:rPr>
          <w:rFonts w:eastAsia="Arial" w:cs="Arial"/>
          <w:sz w:val="20"/>
          <w:szCs w:val="20"/>
        </w:rPr>
        <w:t xml:space="preserve">Share his or her knowledge with others and present factual and objective information to management to the best of his or her ability. </w:t>
      </w:r>
    </w:p>
    <w:p>
      <w:pPr>
        <w:numPr>
          <w:ilvl w:val="0"/>
          <w:numId w:val="566"/>
        </w:numPr>
        <w:ind w:left="720" w:hanging="192"/>
        <w:jc w:val="left"/>
        <w:rPr>
          <w:rFonts w:eastAsia="Arial" w:cs="Arial"/>
          <w:sz w:val="20"/>
          <w:szCs w:val="20"/>
        </w:rPr>
      </w:pPr>
      <w:r>
        <w:rPr>
          <w:rFonts w:eastAsia="Arial" w:cs="Arial"/>
          <w:sz w:val="20"/>
          <w:szCs w:val="20"/>
        </w:rPr>
        <w:t xml:space="preserve">Accept full responsibility for work that he or she performs. </w:t>
      </w:r>
    </w:p>
    <w:p>
      <w:pPr>
        <w:numPr>
          <w:ilvl w:val="0"/>
          <w:numId w:val="566"/>
        </w:numPr>
        <w:ind w:left="720" w:hanging="192"/>
        <w:jc w:val="left"/>
        <w:rPr>
          <w:rFonts w:eastAsia="Arial" w:cs="Arial"/>
          <w:sz w:val="20"/>
          <w:szCs w:val="20"/>
        </w:rPr>
      </w:pPr>
      <w:r>
        <w:rPr>
          <w:rFonts w:eastAsia="Arial" w:cs="Arial"/>
          <w:sz w:val="20"/>
          <w:szCs w:val="20"/>
        </w:rPr>
        <w:t xml:space="preserve">Not misuse the authority entrusted to in him or her. </w:t>
      </w:r>
    </w:p>
    <w:p>
      <w:pPr>
        <w:numPr>
          <w:ilvl w:val="0"/>
          <w:numId w:val="566"/>
        </w:numPr>
        <w:ind w:left="720" w:hanging="192"/>
        <w:jc w:val="left"/>
        <w:rPr>
          <w:rFonts w:eastAsia="Arial" w:cs="Arial"/>
          <w:sz w:val="20"/>
          <w:szCs w:val="20"/>
        </w:rPr>
      </w:pPr>
      <w:r>
        <w:rPr>
          <w:rFonts w:eastAsia="Arial" w:cs="Arial"/>
          <w:sz w:val="20"/>
          <w:szCs w:val="20"/>
        </w:rPr>
        <w:t xml:space="preserve">Be honest in all his or her professional relationships. </w:t>
      </w:r>
    </w:p>
    <w:p>
      <w:pPr>
        <w:numPr>
          <w:ilvl w:val="0"/>
          <w:numId w:val="566"/>
        </w:numPr>
        <w:ind w:left="720" w:hanging="192"/>
        <w:jc w:val="left"/>
        <w:rPr>
          <w:rFonts w:eastAsia="Arial" w:cs="Arial"/>
          <w:sz w:val="20"/>
          <w:szCs w:val="20"/>
        </w:rPr>
      </w:pPr>
      <w:r>
        <w:rPr>
          <w:rFonts w:eastAsia="Arial" w:cs="Arial"/>
          <w:sz w:val="20"/>
          <w:szCs w:val="20"/>
        </w:rPr>
        <w:t xml:space="preserve">Take appropriate action in regard to any illegal or unethical practices that come to his or her attention. </w:t>
      </w:r>
    </w:p>
    <w:p>
      <w:pPr>
        <w:numPr>
          <w:ilvl w:val="0"/>
          <w:numId w:val="566"/>
        </w:numPr>
        <w:ind w:left="720" w:hanging="192"/>
        <w:jc w:val="left"/>
        <w:rPr>
          <w:rFonts w:eastAsia="Arial" w:cs="Arial"/>
          <w:sz w:val="20"/>
          <w:szCs w:val="20"/>
        </w:rPr>
      </w:pPr>
      <w:r>
        <w:rPr>
          <w:rFonts w:eastAsia="Arial" w:cs="Arial"/>
          <w:sz w:val="20"/>
          <w:szCs w:val="20"/>
        </w:rPr>
        <w:t xml:space="preserve">Cooperate with others in achieving understanding and in identifying problems. </w:t>
      </w:r>
    </w:p>
    <w:p>
      <w:pPr>
        <w:numPr>
          <w:ilvl w:val="0"/>
          <w:numId w:val="566"/>
        </w:numPr>
        <w:ind w:left="720" w:hanging="192"/>
        <w:jc w:val="left"/>
        <w:rPr>
          <w:rFonts w:eastAsia="Arial" w:cs="Arial"/>
          <w:sz w:val="20"/>
          <w:szCs w:val="20"/>
        </w:rPr>
      </w:pPr>
      <w:r>
        <w:rPr>
          <w:rFonts w:eastAsia="Arial" w:cs="Arial"/>
          <w:sz w:val="20"/>
          <w:szCs w:val="20"/>
        </w:rPr>
        <w:t xml:space="preserve">Not use or take credit for the work of others without specific acknowledgment and authorization. </w:t>
      </w:r>
    </w:p>
    <w:p>
      <w:pPr>
        <w:numPr>
          <w:ilvl w:val="0"/>
          <w:numId w:val="566"/>
        </w:numPr>
        <w:ind w:left="720" w:hanging="192"/>
        <w:jc w:val="left"/>
        <w:rPr>
          <w:rFonts w:eastAsia="Arial" w:cs="Arial"/>
          <w:sz w:val="20"/>
          <w:szCs w:val="20"/>
        </w:rPr>
      </w:pPr>
      <w:r>
        <w:rPr>
          <w:rFonts w:eastAsia="Arial" w:cs="Arial"/>
          <w:sz w:val="20"/>
          <w:szCs w:val="20"/>
        </w:rPr>
        <w:t xml:space="preserve">Insure that the products of his or her work are used in a socially responsible way. </w:t>
      </w:r>
    </w:p>
    <w:p>
      <w:pPr>
        <w:numPr>
          <w:ilvl w:val="0"/>
          <w:numId w:val="566"/>
        </w:numPr>
        <w:ind w:left="720" w:hanging="192"/>
        <w:jc w:val="left"/>
        <w:rPr>
          <w:rFonts w:eastAsia="Arial" w:cs="Arial"/>
          <w:sz w:val="20"/>
          <w:szCs w:val="20"/>
        </w:rPr>
      </w:pPr>
      <w:r>
        <w:rPr>
          <w:rFonts w:eastAsia="Arial" w:cs="Arial"/>
          <w:sz w:val="20"/>
          <w:szCs w:val="20"/>
        </w:rPr>
        <w:t xml:space="preserve">Never misrepresent or withhold information that is germane to a problem or situation of public concern. </w:t>
      </w:r>
    </w:p>
    <w:p>
      <w:pPr>
        <w:numPr>
          <w:ilvl w:val="0"/>
          <w:numId w:val="566"/>
        </w:numPr>
        <w:ind w:left="720" w:hanging="192"/>
        <w:jc w:val="left"/>
        <w:rPr>
          <w:rFonts w:eastAsia="Arial" w:cs="Arial"/>
          <w:sz w:val="20"/>
          <w:szCs w:val="20"/>
        </w:rPr>
      </w:pPr>
      <w:r>
        <w:rPr>
          <w:rFonts w:eastAsia="Arial" w:cs="Arial"/>
          <w:sz w:val="20"/>
          <w:szCs w:val="20"/>
        </w:rPr>
        <w:t xml:space="preserve">Not use knowledge of a confidential or personal nature in any unauthorized manner or to achieve personal gain. </w:t>
      </w:r>
    </w:p>
    <w:p>
      <w:pPr>
        <w:numPr>
          <w:ilvl w:val="0"/>
          <w:numId w:val="566"/>
        </w:numPr>
        <w:ind w:left="720" w:hanging="192"/>
        <w:jc w:val="left"/>
        <w:rPr>
          <w:rFonts w:eastAsia="Arial" w:cs="Arial"/>
          <w:sz w:val="20"/>
          <w:szCs w:val="20"/>
        </w:rPr>
      </w:pPr>
      <w:r>
        <w:rPr>
          <w:rFonts w:eastAsia="Arial" w:cs="Arial"/>
          <w:sz w:val="20"/>
          <w:szCs w:val="20"/>
        </w:rPr>
        <w:t xml:space="preserve">Make every effort to ensure that he or she has the most current knowledge and that the proper expertise is available when needed. </w:t>
      </w:r>
    </w:p>
    <w:p>
      <w:pPr>
        <w:numPr>
          <w:ilvl w:val="0"/>
          <w:numId w:val="566"/>
        </w:numPr>
        <w:ind w:left="720" w:hanging="192"/>
        <w:jc w:val="left"/>
        <w:rPr>
          <w:rFonts w:eastAsia="Arial" w:cs="Arial"/>
          <w:sz w:val="20"/>
          <w:szCs w:val="20"/>
        </w:rPr>
      </w:pPr>
      <w:r>
        <w:rPr>
          <w:rFonts w:eastAsia="Arial" w:cs="Arial"/>
          <w:sz w:val="20"/>
          <w:szCs w:val="20"/>
        </w:rPr>
        <w:t xml:space="preserve">Avoid conflict of interest and insure that KCD is aware of any potential conflicts. </w:t>
      </w:r>
    </w:p>
    <w:p>
      <w:pPr>
        <w:numPr>
          <w:ilvl w:val="0"/>
          <w:numId w:val="566"/>
        </w:numPr>
        <w:ind w:left="720" w:hanging="192"/>
        <w:jc w:val="left"/>
        <w:rPr>
          <w:rFonts w:eastAsia="Arial" w:cs="Arial"/>
          <w:sz w:val="20"/>
          <w:szCs w:val="20"/>
        </w:rPr>
      </w:pPr>
      <w:r>
        <w:rPr>
          <w:rFonts w:eastAsia="Arial" w:cs="Arial"/>
          <w:sz w:val="20"/>
          <w:szCs w:val="20"/>
        </w:rPr>
        <w:t xml:space="preserve">Present a fair, honest, and objective viewpoint. </w:t>
      </w:r>
    </w:p>
    <w:p>
      <w:pPr>
        <w:numPr>
          <w:ilvl w:val="0"/>
          <w:numId w:val="566"/>
        </w:numPr>
        <w:spacing w:after="200"/>
        <w:ind w:left="720" w:hanging="192"/>
        <w:jc w:val="left"/>
        <w:rPr>
          <w:rFonts w:eastAsia="Arial" w:cs="Arial"/>
          <w:sz w:val="20"/>
          <w:szCs w:val="20"/>
        </w:rPr>
      </w:pPr>
      <w:r>
        <w:rPr>
          <w:rFonts w:eastAsia="Arial" w:cs="Arial"/>
          <w:sz w:val="20"/>
          <w:szCs w:val="20"/>
        </w:rPr>
        <w:t xml:space="preserve">Protect the privacy and confidentiality of all information entrusted to him or her. </w:t>
      </w:r>
    </w:p>
    <w:p>
      <w:bookmarkEnd w:id="646"/>
      <w:bookmarkStart w:id="647" w:name="Sec_Chp_061016102255750_061016102255937"/>
    </w:p>
    <w:p>
      <w:pPr>
        <w:pStyle w:val="Heading4"/>
      </w:pPr>
      <w:r>
        <w:t>10.3.2.2 Definitions of Terms in the Code of Ethics</w:t>
      </w:r>
    </w:p>
    <w:p/>
    <w:p>
      <w:pPr>
        <w:rPr>
          <w:rFonts w:eastAsia="Arial" w:cs="Arial"/>
          <w:sz w:val="16"/>
          <w:szCs w:val="16"/>
        </w:rPr>
      </w:pPr>
      <w:r>
        <w:rPr>
          <w:rFonts w:eastAsia="Arial" w:cs="Arial"/>
          <w:sz w:val="16"/>
          <w:szCs w:val="16"/>
        </w:rPr>
        <w:t>[SEC Securities Exchange Act of 1934 Section 16; Investment Company Act of 1940 Section 2(a)(9); Investment Advisers Act of 1940 Section 202(a)(18)]</w:t>
      </w:r>
    </w:p>
    <w:p/>
    <w:p>
      <w:pPr>
        <w:numPr>
          <w:ilvl w:val="0"/>
          <w:numId w:val="567"/>
        </w:numPr>
        <w:ind w:left="720" w:hanging="192"/>
        <w:jc w:val="left"/>
        <w:rPr>
          <w:rFonts w:eastAsia="Arial" w:cs="Arial"/>
          <w:sz w:val="20"/>
          <w:szCs w:val="20"/>
        </w:rPr>
      </w:pPr>
      <w:r>
        <w:rPr>
          <w:rFonts w:eastAsia="Arial" w:cs="Arial"/>
          <w:sz w:val="20"/>
          <w:szCs w:val="20"/>
        </w:rPr>
        <w:t>"Access Person" means:</w:t>
      </w:r>
    </w:p>
    <w:p>
      <w:pPr>
        <w:numPr>
          <w:ilvl w:val="1"/>
          <w:numId w:val="567"/>
        </w:numPr>
        <w:ind w:left="1440" w:hanging="220"/>
        <w:jc w:val="left"/>
        <w:rPr>
          <w:rFonts w:eastAsia="Arial" w:cs="Arial"/>
          <w:sz w:val="20"/>
          <w:szCs w:val="20"/>
        </w:rPr>
      </w:pPr>
      <w:r>
        <w:rPr>
          <w:rFonts w:eastAsia="Arial" w:cs="Arial"/>
          <w:sz w:val="20"/>
          <w:szCs w:val="20"/>
        </w:rPr>
        <w:t>each director, partner or officer of KCD;</w:t>
      </w:r>
    </w:p>
    <w:p>
      <w:pPr>
        <w:numPr>
          <w:ilvl w:val="1"/>
          <w:numId w:val="567"/>
        </w:numPr>
        <w:ind w:left="1440" w:hanging="220"/>
        <w:jc w:val="left"/>
        <w:rPr>
          <w:rFonts w:eastAsia="Arial" w:cs="Arial"/>
          <w:sz w:val="20"/>
          <w:szCs w:val="20"/>
        </w:rPr>
      </w:pPr>
      <w:r>
        <w:rPr>
          <w:rFonts w:eastAsia="Arial" w:cs="Arial"/>
          <w:sz w:val="20"/>
          <w:szCs w:val="20"/>
        </w:rPr>
        <w:t>each supervised person of KCD who, (i) has access to nonpublic information regarding any clients' purchase or sale of securities, or nonpublic information regarding the portfolio holdings of any mutual fund advised or distributed by KCD or an affiliate, or (ii) is involved in making securities recommendations to clients, or who has access to such recommendations that are nonpublic; and</w:t>
      </w:r>
    </w:p>
    <w:p>
      <w:pPr>
        <w:numPr>
          <w:ilvl w:val="1"/>
          <w:numId w:val="567"/>
        </w:numPr>
        <w:ind w:left="1440" w:hanging="220"/>
        <w:jc w:val="left"/>
        <w:rPr>
          <w:rFonts w:eastAsia="Arial" w:cs="Arial"/>
          <w:sz w:val="20"/>
          <w:szCs w:val="20"/>
        </w:rPr>
      </w:pPr>
      <w:r>
        <w:rPr>
          <w:rFonts w:eastAsia="Arial" w:cs="Arial"/>
          <w:sz w:val="20"/>
          <w:szCs w:val="20"/>
        </w:rPr>
        <w:t>any spouse, minor child, and any relative resident in the household of a person named above.</w:t>
      </w:r>
    </w:p>
    <w:p>
      <w:pPr>
        <w:numPr>
          <w:ilvl w:val="0"/>
          <w:numId w:val="567"/>
        </w:numPr>
        <w:ind w:left="720" w:hanging="192"/>
        <w:jc w:val="left"/>
        <w:rPr>
          <w:rFonts w:eastAsia="Arial" w:cs="Arial"/>
          <w:sz w:val="20"/>
          <w:szCs w:val="20"/>
        </w:rPr>
      </w:pPr>
      <w:r>
        <w:rPr>
          <w:rFonts w:eastAsia="Arial" w:cs="Arial"/>
          <w:sz w:val="20"/>
          <w:szCs w:val="20"/>
        </w:rPr>
        <w:t>"Automatic Investment Plan" means a program in which regular periodic purchases (or withdrawals) are made automatically from investment accounts in accordance with a pre-determined schedule or allocation. An Automatic Investment Plan includes a dividend reinvestment plan.</w:t>
      </w:r>
    </w:p>
    <w:p>
      <w:pPr>
        <w:numPr>
          <w:ilvl w:val="0"/>
          <w:numId w:val="567"/>
        </w:numPr>
        <w:ind w:left="720" w:hanging="192"/>
        <w:jc w:val="left"/>
        <w:rPr>
          <w:rFonts w:eastAsia="Arial" w:cs="Arial"/>
          <w:sz w:val="20"/>
          <w:szCs w:val="20"/>
        </w:rPr>
      </w:pPr>
      <w:r>
        <w:rPr>
          <w:rFonts w:eastAsia="Arial" w:cs="Arial"/>
          <w:sz w:val="20"/>
          <w:szCs w:val="20"/>
        </w:rPr>
        <w:t>"Beneficial Ownership" means a direct or indirect pecuniary interest in a security, as set forth in Section 16 of the Securities Exchange Act of 1934, as amended. A person, for example, would be deemed to have a beneficial ownership of securities if he or she directly owns the securities, his or her spouse or minor children own the securities, or if such person, by contract, arrangement, understanding or relationship, has sole or shared voting or investment power over the securities held by such person.</w:t>
      </w:r>
    </w:p>
    <w:p>
      <w:pPr>
        <w:numPr>
          <w:ilvl w:val="0"/>
          <w:numId w:val="567"/>
        </w:numPr>
        <w:ind w:left="720" w:hanging="192"/>
        <w:jc w:val="left"/>
        <w:rPr>
          <w:rFonts w:eastAsia="Arial" w:cs="Arial"/>
          <w:sz w:val="20"/>
          <w:szCs w:val="20"/>
        </w:rPr>
      </w:pPr>
      <w:r>
        <w:rPr>
          <w:rFonts w:eastAsia="Arial" w:cs="Arial"/>
          <w:sz w:val="20"/>
          <w:szCs w:val="20"/>
        </w:rPr>
        <w:t>"Client" means any person who has entered an Investment Advisory Contract with KCD.</w:t>
      </w:r>
    </w:p>
    <w:p>
      <w:pPr>
        <w:numPr>
          <w:ilvl w:val="0"/>
          <w:numId w:val="567"/>
        </w:numPr>
        <w:ind w:left="720" w:hanging="192"/>
        <w:jc w:val="left"/>
        <w:rPr>
          <w:rFonts w:eastAsia="Arial" w:cs="Arial"/>
          <w:sz w:val="20"/>
          <w:szCs w:val="20"/>
        </w:rPr>
      </w:pPr>
      <w:r>
        <w:rPr>
          <w:rFonts w:eastAsia="Arial" w:cs="Arial"/>
          <w:sz w:val="20"/>
          <w:szCs w:val="20"/>
        </w:rPr>
        <w:t>"Control" means the power to exercise a controlling influence over the management or policies of a company. A person is deemed to exercise control who has a 25% or more ownership position of a company's equity securities or otherwise controls a company as defined in Section 2(a)(9) of the Investment Company Act of 1940.</w:t>
      </w:r>
    </w:p>
    <w:p>
      <w:pPr>
        <w:numPr>
          <w:ilvl w:val="0"/>
          <w:numId w:val="567"/>
        </w:numPr>
        <w:ind w:left="720" w:hanging="192"/>
        <w:jc w:val="left"/>
        <w:rPr>
          <w:rFonts w:eastAsia="Arial" w:cs="Arial"/>
          <w:sz w:val="20"/>
          <w:szCs w:val="20"/>
        </w:rPr>
      </w:pPr>
      <w:r>
        <w:rPr>
          <w:rFonts w:eastAsia="Arial" w:cs="Arial"/>
          <w:sz w:val="20"/>
          <w:szCs w:val="20"/>
        </w:rPr>
        <w:t>"Market Timing" means frequent buying or selling shares of the same mutual fund or buying or selling mutual fund shares in order to exploit inefficiencies in mutual fund pricing.</w:t>
      </w:r>
    </w:p>
    <w:p>
      <w:pPr>
        <w:numPr>
          <w:ilvl w:val="0"/>
          <w:numId w:val="567"/>
        </w:numPr>
        <w:ind w:left="720" w:hanging="192"/>
        <w:jc w:val="left"/>
        <w:rPr>
          <w:rFonts w:eastAsia="Arial" w:cs="Arial"/>
          <w:sz w:val="20"/>
          <w:szCs w:val="20"/>
        </w:rPr>
      </w:pPr>
      <w:r>
        <w:rPr>
          <w:rFonts w:eastAsia="Arial" w:cs="Arial"/>
          <w:sz w:val="20"/>
          <w:szCs w:val="20"/>
        </w:rPr>
        <w:t>"Related Security" means any security convertible within sixty (60) days into a Security and any future or option on the Security.</w:t>
      </w:r>
    </w:p>
    <w:p>
      <w:pPr>
        <w:numPr>
          <w:ilvl w:val="0"/>
          <w:numId w:val="567"/>
        </w:numPr>
        <w:ind w:left="720" w:hanging="192"/>
        <w:jc w:val="left"/>
        <w:rPr>
          <w:rFonts w:eastAsia="Arial" w:cs="Arial"/>
          <w:sz w:val="20"/>
          <w:szCs w:val="20"/>
        </w:rPr>
      </w:pPr>
      <w:r>
        <w:rPr>
          <w:rFonts w:eastAsia="Arial" w:cs="Arial"/>
          <w:sz w:val="20"/>
          <w:szCs w:val="20"/>
        </w:rPr>
        <w:t>"Security" means a security as defined in Section 202(a)(18) of the Investment Advisers Act of 1940, as amended, except that it does not include:</w:t>
      </w:r>
    </w:p>
    <w:p>
      <w:pPr>
        <w:numPr>
          <w:ilvl w:val="1"/>
          <w:numId w:val="567"/>
        </w:numPr>
        <w:ind w:left="1440" w:hanging="220"/>
        <w:jc w:val="left"/>
        <w:rPr>
          <w:rFonts w:eastAsia="Arial" w:cs="Arial"/>
          <w:sz w:val="20"/>
          <w:szCs w:val="20"/>
        </w:rPr>
      </w:pPr>
      <w:r>
        <w:rPr>
          <w:rFonts w:eastAsia="Arial" w:cs="Arial"/>
          <w:sz w:val="20"/>
          <w:szCs w:val="20"/>
        </w:rPr>
        <w:t>direct obligations of the U.S. Government;</w:t>
      </w:r>
    </w:p>
    <w:p>
      <w:pPr>
        <w:numPr>
          <w:ilvl w:val="1"/>
          <w:numId w:val="567"/>
        </w:numPr>
        <w:ind w:left="1440" w:hanging="220"/>
        <w:jc w:val="left"/>
        <w:rPr>
          <w:rFonts w:eastAsia="Arial" w:cs="Arial"/>
          <w:sz w:val="20"/>
          <w:szCs w:val="20"/>
        </w:rPr>
      </w:pPr>
      <w:r>
        <w:rPr>
          <w:rFonts w:eastAsia="Arial" w:cs="Arial"/>
          <w:sz w:val="20"/>
          <w:szCs w:val="20"/>
        </w:rPr>
        <w:t>any security issued by a mutual fund (other than a mutual fund advised by KCD or an affiliate) or a unit investment trust that invests exclusively in one or more unaffiliated mutual funds;</w:t>
      </w:r>
    </w:p>
    <w:p>
      <w:pPr>
        <w:numPr>
          <w:ilvl w:val="1"/>
          <w:numId w:val="567"/>
        </w:numPr>
        <w:ind w:left="1440" w:hanging="220"/>
        <w:jc w:val="left"/>
        <w:rPr>
          <w:rFonts w:eastAsia="Arial" w:cs="Arial"/>
          <w:sz w:val="20"/>
          <w:szCs w:val="20"/>
        </w:rPr>
      </w:pPr>
      <w:r>
        <w:rPr>
          <w:rFonts w:eastAsia="Arial" w:cs="Arial"/>
          <w:sz w:val="20"/>
          <w:szCs w:val="20"/>
        </w:rPr>
        <w:t>interests in a 529 Plan, provided KCD nor any companies under its common control manage, distribute, market or underwrite the 529 Plan or the investments and strategies underlying the 529 Plan;</w:t>
      </w:r>
    </w:p>
    <w:p>
      <w:pPr>
        <w:numPr>
          <w:ilvl w:val="1"/>
          <w:numId w:val="567"/>
        </w:numPr>
        <w:ind w:left="1440" w:hanging="220"/>
        <w:jc w:val="left"/>
        <w:rPr>
          <w:rFonts w:eastAsia="Arial" w:cs="Arial"/>
          <w:sz w:val="20"/>
          <w:szCs w:val="20"/>
        </w:rPr>
      </w:pPr>
      <w:r>
        <w:rPr>
          <w:rFonts w:eastAsia="Arial" w:cs="Arial"/>
          <w:sz w:val="20"/>
          <w:szCs w:val="20"/>
        </w:rPr>
        <w:t>any money market fund securities or money market instruments, including bankers' acceptances, certificates of deposit, and commercial paper; and</w:t>
      </w:r>
    </w:p>
    <w:p>
      <w:pPr>
        <w:numPr>
          <w:ilvl w:val="1"/>
          <w:numId w:val="567"/>
        </w:numPr>
        <w:spacing w:after="200"/>
        <w:ind w:left="1440" w:hanging="220"/>
        <w:jc w:val="left"/>
        <w:rPr>
          <w:rFonts w:eastAsia="Arial" w:cs="Arial"/>
          <w:sz w:val="20"/>
          <w:szCs w:val="20"/>
        </w:rPr>
      </w:pPr>
      <w:r>
        <w:rPr>
          <w:rFonts w:eastAsia="Arial" w:cs="Arial"/>
          <w:sz w:val="20"/>
          <w:szCs w:val="20"/>
        </w:rPr>
        <w:t>crypto, including cryptocurrencies, tokens and stablecoin (see below).</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At the present time, the SEC has not taken a definitive position on whether crypto are securities or otherwise required to be subject to an investment adviser's code of ethics. While the Genius Act provides that payment stablecoins are not securities for purposes of the Securities Act of 1933, there remains uncertainty as to how non-payment stablecoins are treated under the Investment Advisers Act of 1940, including its code of ethics provisions. Uncertainty also exists with tokens and crypto in general, although crypto generally is not considered to be a security.</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As a result of the uncertainty and until further guidance is provided, Firm Access Persons should consult with KCD's Chief Compliance Officer with regard to whether a particular type of cryptocurrency, token or stablecoin is prohibited for purposes of this Code. The Chief Compliance Officer, in consultation with senior management and the outside counsel as necessary, may grant exceptions to this prohibition, preclearance or other Code of Ethics requirements on a case-by-case basis and such exceptions may be conditioned on compliance with certain requirements.</w:t>
            </w:r>
          </w:p>
        </w:tc>
      </w:tr>
    </w:tbl>
    <w:p>
      <w:pPr>
        <w:rPr>
          <w:rFonts w:eastAsia="Arial" w:cs="Arial"/>
          <w:sz w:val="20"/>
          <w:szCs w:val="20"/>
        </w:rPr>
      </w:pPr>
    </w:p>
    <w:p>
      <w:pPr>
        <w:numPr>
          <w:ilvl w:val="0"/>
          <w:numId w:val="568"/>
        </w:numPr>
        <w:spacing w:before="200" w:after="200"/>
        <w:ind w:left="720" w:hanging="192"/>
        <w:jc w:val="left"/>
        <w:rPr>
          <w:rFonts w:eastAsia="Arial" w:cs="Arial"/>
          <w:sz w:val="20"/>
          <w:szCs w:val="20"/>
        </w:rPr>
      </w:pPr>
      <w:r>
        <w:rPr>
          <w:rFonts w:eastAsia="Arial" w:cs="Arial"/>
          <w:sz w:val="20"/>
          <w:szCs w:val="20"/>
        </w:rPr>
        <w:t>"Supervised Person" means employees and other persons who provide advice on behalf of KCD and are subject to the supervision and control of KCD.</w:t>
      </w:r>
    </w:p>
    <w:p>
      <w:bookmarkEnd w:id="647"/>
      <w:bookmarkStart w:id="648" w:name="Sec_Chp_061016102255750_061016102255953"/>
    </w:p>
    <w:p>
      <w:pPr>
        <w:pStyle w:val="Heading4"/>
      </w:pPr>
      <w:r>
        <w:t xml:space="preserve">10.3.2.3 Prohibitions </w:t>
      </w:r>
    </w:p>
    <w:p/>
    <w:p>
      <w:pPr>
        <w:rPr>
          <w:rFonts w:eastAsia="Arial" w:cs="Arial"/>
          <w:sz w:val="16"/>
          <w:szCs w:val="16"/>
        </w:rPr>
      </w:pPr>
    </w:p>
    <w:p>
      <w:bookmarkEnd w:id="648"/>
      <w:bookmarkStart w:id="649" w:name="Sec_Chp_061016102255750_0610161022559531"/>
    </w:p>
    <w:p>
      <w:pPr>
        <w:pStyle w:val="Heading5"/>
      </w:pPr>
      <w:r>
        <w:t>10.3.2.3.1 Investment Recommendations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Access Person shall in connection with the recommendation of a Security held or to be acquired or sold by any Client shall:</w:t>
      </w:r>
    </w:p>
    <w:p>
      <w:pPr>
        <w:numPr>
          <w:ilvl w:val="0"/>
          <w:numId w:val="569"/>
        </w:numPr>
        <w:spacing w:before="200"/>
        <w:ind w:left="720" w:hanging="192"/>
        <w:jc w:val="left"/>
        <w:rPr>
          <w:rFonts w:eastAsia="Arial" w:cs="Arial"/>
          <w:sz w:val="20"/>
          <w:szCs w:val="20"/>
        </w:rPr>
      </w:pPr>
      <w:r>
        <w:rPr>
          <w:rFonts w:eastAsia="Arial" w:cs="Arial"/>
          <w:sz w:val="20"/>
          <w:szCs w:val="20"/>
        </w:rPr>
        <w:t xml:space="preserve">employ any device, scheme or artifice to defraud such Client; </w:t>
      </w:r>
    </w:p>
    <w:p>
      <w:pPr>
        <w:numPr>
          <w:ilvl w:val="0"/>
          <w:numId w:val="569"/>
        </w:numPr>
        <w:ind w:left="720" w:hanging="192"/>
        <w:jc w:val="left"/>
        <w:rPr>
          <w:rFonts w:eastAsia="Arial" w:cs="Arial"/>
          <w:sz w:val="20"/>
          <w:szCs w:val="20"/>
        </w:rPr>
      </w:pPr>
      <w:r>
        <w:rPr>
          <w:rFonts w:eastAsia="Arial" w:cs="Arial"/>
          <w:sz w:val="20"/>
          <w:szCs w:val="20"/>
        </w:rPr>
        <w:t xml:space="preserve">make any untrue statement of a material fact or omit to state a material fact necessary in order to make the recommendation made not misleading; </w:t>
      </w:r>
    </w:p>
    <w:p>
      <w:pPr>
        <w:numPr>
          <w:ilvl w:val="0"/>
          <w:numId w:val="569"/>
        </w:numPr>
        <w:ind w:left="720" w:hanging="192"/>
        <w:jc w:val="left"/>
        <w:rPr>
          <w:rFonts w:eastAsia="Arial" w:cs="Arial"/>
          <w:sz w:val="20"/>
          <w:szCs w:val="20"/>
        </w:rPr>
      </w:pPr>
      <w:r>
        <w:rPr>
          <w:rFonts w:eastAsia="Arial" w:cs="Arial"/>
          <w:sz w:val="20"/>
          <w:szCs w:val="20"/>
        </w:rPr>
        <w:t xml:space="preserve">engage in any act, practice, or course of business that would operate as a fraud or deceit upon such Client; or </w:t>
      </w:r>
    </w:p>
    <w:p>
      <w:pPr>
        <w:numPr>
          <w:ilvl w:val="0"/>
          <w:numId w:val="569"/>
        </w:numPr>
        <w:spacing w:after="200"/>
        <w:ind w:left="720" w:hanging="192"/>
        <w:jc w:val="left"/>
        <w:rPr>
          <w:rFonts w:eastAsia="Arial" w:cs="Arial"/>
          <w:sz w:val="20"/>
          <w:szCs w:val="20"/>
        </w:rPr>
      </w:pPr>
      <w:r>
        <w:rPr>
          <w:rFonts w:eastAsia="Arial" w:cs="Arial"/>
          <w:sz w:val="20"/>
          <w:szCs w:val="20"/>
        </w:rPr>
        <w:t xml:space="preserve">engage in any manipulative practice with respect to such Client. </w:t>
      </w:r>
    </w:p>
    <w:p>
      <w:bookmarkEnd w:id="649"/>
      <w:bookmarkStart w:id="650" w:name="Sec_Chp_061016102255750_0610161022559532"/>
    </w:p>
    <w:p>
      <w:pPr>
        <w:pStyle w:val="Heading5"/>
      </w:pPr>
      <w:r>
        <w:t>10.3.2.3.2 Investment Opportunity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Access Person must offer an investment opportunity first to clients before he or she or KCD may act on that opportunity.</w:t>
      </w:r>
    </w:p>
    <w:p>
      <w:bookmarkEnd w:id="650"/>
      <w:bookmarkStart w:id="651" w:name="Sec_Chp_061016102255750_0610161022559533"/>
    </w:p>
    <w:p>
      <w:pPr>
        <w:pStyle w:val="Heading5"/>
      </w:pPr>
      <w:r>
        <w:t>10.3.2.3.3 Market Timing and Short-Swing Trading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employee may engage in prohibited market timing of the shares of a mutual fund without approval from the Chief Compliance Officer, and such Chief Compliance Officer shall withhold such approval if the mutual funds are affiliated with KCD.</w:t>
      </w:r>
    </w:p>
    <w:p>
      <w:bookmarkEnd w:id="651"/>
      <w:bookmarkStart w:id="652" w:name="Sec_Chp_061016102255750_0610161022559534"/>
    </w:p>
    <w:p>
      <w:pPr>
        <w:pStyle w:val="Heading5"/>
      </w:pPr>
      <w:r>
        <w:t>10.3.2.3.4 Personal Securities Transactions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Access Person may:</w:t>
      </w:r>
    </w:p>
    <w:p>
      <w:pPr>
        <w:numPr>
          <w:ilvl w:val="0"/>
          <w:numId w:val="570"/>
        </w:numPr>
        <w:spacing w:before="200"/>
        <w:ind w:left="720" w:hanging="192"/>
        <w:jc w:val="left"/>
        <w:rPr>
          <w:rFonts w:eastAsia="Arial" w:cs="Arial"/>
          <w:sz w:val="20"/>
          <w:szCs w:val="20"/>
        </w:rPr>
      </w:pPr>
      <w:r>
        <w:rPr>
          <w:rFonts w:eastAsia="Arial" w:cs="Arial"/>
          <w:sz w:val="20"/>
          <w:szCs w:val="20"/>
        </w:rPr>
        <w:t xml:space="preserve">purchase or sell, directly or indirectly, a thinly traded Security for his or her own account 10 business days before and 10 business days after the time that the same Security or Related Security is being purchased or sold by any Client; or </w:t>
      </w:r>
    </w:p>
    <w:p>
      <w:pPr>
        <w:numPr>
          <w:ilvl w:val="0"/>
          <w:numId w:val="570"/>
        </w:numPr>
        <w:spacing w:after="200"/>
        <w:ind w:left="720" w:hanging="192"/>
        <w:jc w:val="left"/>
        <w:rPr>
          <w:rFonts w:eastAsia="Arial" w:cs="Arial"/>
          <w:sz w:val="20"/>
          <w:szCs w:val="20"/>
        </w:rPr>
      </w:pPr>
      <w:r>
        <w:rPr>
          <w:rFonts w:eastAsia="Arial" w:cs="Arial"/>
          <w:sz w:val="20"/>
          <w:szCs w:val="20"/>
        </w:rPr>
        <w:t xml:space="preserve">purchase or sell, directly or indirectly, a thinly traded Security for his or her own account that is the same Security or Related Security that is the subject of a buy or sell recommendation to any Client. </w:t>
      </w:r>
    </w:p>
    <w:p>
      <w:pPr>
        <w:pStyle w:val="normal0"/>
        <w:spacing w:before="200" w:after="200"/>
        <w:rPr>
          <w:rFonts w:eastAsia="Arial" w:cs="Arial"/>
          <w:sz w:val="20"/>
          <w:szCs w:val="20"/>
        </w:rPr>
      </w:pPr>
      <w:r>
        <w:rPr>
          <w:rFonts w:eastAsia="Arial" w:cs="Arial"/>
          <w:sz w:val="20"/>
          <w:szCs w:val="20"/>
        </w:rPr>
        <w:t>No exception shall be granted to personal securities transaction procedures without the written approval of the Chief Compliance Officer and a senior manager of KCD, who shall not grant such approval unless they have concluded that the transaction will not adversely impact any pending order for clients or any pending consideration given by KCD to place an order on behalf of clients.</w:t>
      </w:r>
    </w:p>
    <w:p>
      <w:bookmarkEnd w:id="652"/>
      <w:bookmarkStart w:id="653" w:name="Sec_Chp_061016102255750_0610161022559535"/>
    </w:p>
    <w:p>
      <w:pPr>
        <w:pStyle w:val="Heading5"/>
      </w:pPr>
      <w:r>
        <w:t>10.3.2.3.5 Interest in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Access Person shall recommend any transaction in any Securities by any Client without having disclosed his or her interest, if any, in such Securities or the issuer thereof, including:</w:t>
      </w:r>
    </w:p>
    <w:p>
      <w:pPr>
        <w:numPr>
          <w:ilvl w:val="0"/>
          <w:numId w:val="571"/>
        </w:numPr>
        <w:spacing w:before="200"/>
        <w:ind w:left="720" w:hanging="192"/>
        <w:jc w:val="left"/>
        <w:rPr>
          <w:rFonts w:eastAsia="Arial" w:cs="Arial"/>
          <w:sz w:val="20"/>
          <w:szCs w:val="20"/>
        </w:rPr>
      </w:pPr>
      <w:r>
        <w:rPr>
          <w:rFonts w:eastAsia="Arial" w:cs="Arial"/>
          <w:sz w:val="20"/>
          <w:szCs w:val="20"/>
        </w:rPr>
        <w:t xml:space="preserve">the Access Person's Beneficial Ownership of any Securities of such issuer; </w:t>
      </w:r>
    </w:p>
    <w:p>
      <w:pPr>
        <w:numPr>
          <w:ilvl w:val="0"/>
          <w:numId w:val="571"/>
        </w:numPr>
        <w:ind w:left="720" w:hanging="192"/>
        <w:jc w:val="left"/>
        <w:rPr>
          <w:rFonts w:eastAsia="Arial" w:cs="Arial"/>
          <w:sz w:val="20"/>
          <w:szCs w:val="20"/>
        </w:rPr>
      </w:pPr>
      <w:r>
        <w:rPr>
          <w:rFonts w:eastAsia="Arial" w:cs="Arial"/>
          <w:sz w:val="20"/>
          <w:szCs w:val="20"/>
        </w:rPr>
        <w:t xml:space="preserve">any contemplated transaction by the Access Person in such Securities; </w:t>
      </w:r>
    </w:p>
    <w:p>
      <w:pPr>
        <w:numPr>
          <w:ilvl w:val="0"/>
          <w:numId w:val="571"/>
        </w:numPr>
        <w:ind w:left="720" w:hanging="192"/>
        <w:jc w:val="left"/>
        <w:rPr>
          <w:rFonts w:eastAsia="Arial" w:cs="Arial"/>
          <w:sz w:val="20"/>
          <w:szCs w:val="20"/>
        </w:rPr>
      </w:pPr>
      <w:r>
        <w:rPr>
          <w:rFonts w:eastAsia="Arial" w:cs="Arial"/>
          <w:sz w:val="20"/>
          <w:szCs w:val="20"/>
        </w:rPr>
        <w:t xml:space="preserve">any position the Access Person has with such issuer; and </w:t>
      </w:r>
    </w:p>
    <w:p>
      <w:pPr>
        <w:numPr>
          <w:ilvl w:val="0"/>
          <w:numId w:val="571"/>
        </w:numPr>
        <w:spacing w:after="200"/>
        <w:ind w:left="720" w:hanging="192"/>
        <w:jc w:val="left"/>
        <w:rPr>
          <w:rFonts w:eastAsia="Arial" w:cs="Arial"/>
          <w:sz w:val="20"/>
          <w:szCs w:val="20"/>
        </w:rPr>
      </w:pPr>
      <w:r>
        <w:rPr>
          <w:rFonts w:eastAsia="Arial" w:cs="Arial"/>
          <w:sz w:val="20"/>
          <w:szCs w:val="20"/>
        </w:rPr>
        <w:t xml:space="preserve">any present or proposed business relationship between such issuer and the Access Person (or a party that the Access Person has a significant interest in). </w:t>
      </w:r>
    </w:p>
    <w:p>
      <w:bookmarkEnd w:id="653"/>
      <w:bookmarkStart w:id="654" w:name="Sec_Chp_061016102255750_0610161022559536"/>
    </w:p>
    <w:p>
      <w:pPr>
        <w:pStyle w:val="Heading5"/>
      </w:pPr>
      <w:r>
        <w:t>10.3.2.3.6 Client Trade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Access Person shall reveal any proposed transactions in Securities by one Client to another Client, any employee of KCD, or any other person.</w:t>
      </w:r>
    </w:p>
    <w:p>
      <w:bookmarkEnd w:id="654"/>
      <w:bookmarkStart w:id="655" w:name="Sec_Chp_061016102255750_0610161022559537"/>
    </w:p>
    <w:p>
      <w:pPr>
        <w:pStyle w:val="Heading5"/>
      </w:pPr>
      <w:r>
        <w:t>10.3.2.3.7 IPOs and Private Placements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Access Person may:</w:t>
      </w:r>
    </w:p>
    <w:p>
      <w:pPr>
        <w:numPr>
          <w:ilvl w:val="0"/>
          <w:numId w:val="572"/>
        </w:numPr>
        <w:spacing w:before="200"/>
        <w:ind w:left="720" w:hanging="192"/>
        <w:jc w:val="left"/>
        <w:rPr>
          <w:rFonts w:eastAsia="Arial" w:cs="Arial"/>
          <w:sz w:val="20"/>
          <w:szCs w:val="20"/>
        </w:rPr>
      </w:pPr>
      <w:r>
        <w:rPr>
          <w:rFonts w:eastAsia="Arial" w:cs="Arial"/>
          <w:sz w:val="20"/>
          <w:szCs w:val="20"/>
        </w:rPr>
        <w:t>acquire a Security in an initial public offering or a private placement without the written consent of the Chief Compliance Officer;</w:t>
      </w:r>
    </w:p>
    <w:p>
      <w:pPr>
        <w:numPr>
          <w:ilvl w:val="0"/>
          <w:numId w:val="572"/>
        </w:numPr>
        <w:ind w:left="720" w:hanging="192"/>
        <w:jc w:val="left"/>
        <w:rPr>
          <w:rFonts w:eastAsia="Arial" w:cs="Arial"/>
          <w:sz w:val="20"/>
          <w:szCs w:val="20"/>
        </w:rPr>
      </w:pPr>
      <w:r>
        <w:rPr>
          <w:rFonts w:eastAsia="Arial" w:cs="Arial"/>
          <w:sz w:val="20"/>
          <w:szCs w:val="20"/>
        </w:rPr>
        <w:t>acquire a Security in an initial public offering if he or she is a registered representative of a broker-dealer;</w:t>
      </w:r>
    </w:p>
    <w:p>
      <w:pPr>
        <w:numPr>
          <w:ilvl w:val="0"/>
          <w:numId w:val="572"/>
        </w:numPr>
        <w:ind w:left="720" w:hanging="192"/>
        <w:jc w:val="left"/>
        <w:rPr>
          <w:rFonts w:eastAsia="Arial" w:cs="Arial"/>
          <w:sz w:val="20"/>
          <w:szCs w:val="20"/>
        </w:rPr>
      </w:pPr>
      <w:r>
        <w:rPr>
          <w:rFonts w:eastAsia="Arial" w:cs="Arial"/>
          <w:sz w:val="20"/>
          <w:szCs w:val="20"/>
        </w:rPr>
        <w:t>make a wrongful arrangement or a wrongful quid pro quo of any kind with clients in exchange for IPO allocations; or</w:t>
      </w:r>
    </w:p>
    <w:p>
      <w:pPr>
        <w:numPr>
          <w:ilvl w:val="0"/>
          <w:numId w:val="572"/>
        </w:numPr>
        <w:spacing w:after="200"/>
        <w:ind w:left="720" w:hanging="192"/>
        <w:jc w:val="left"/>
        <w:rPr>
          <w:rFonts w:eastAsia="Arial" w:cs="Arial"/>
          <w:sz w:val="20"/>
          <w:szCs w:val="20"/>
        </w:rPr>
      </w:pPr>
      <w:r>
        <w:rPr>
          <w:rFonts w:eastAsia="Arial" w:cs="Arial"/>
          <w:sz w:val="20"/>
          <w:szCs w:val="20"/>
        </w:rPr>
        <w:t>share profits or losses with a client who receives an IPO allocation or allocations.</w:t>
      </w:r>
    </w:p>
    <w:p>
      <w:bookmarkEnd w:id="655"/>
      <w:bookmarkStart w:id="656" w:name="Sec_Chp_061016102255750_061016102255984"/>
    </w:p>
    <w:p>
      <w:pPr>
        <w:pStyle w:val="Heading4"/>
      </w:pPr>
      <w:r>
        <w:t xml:space="preserve">10.3.2.4 Pre-Clearance of Securities Trades </w:t>
      </w:r>
    </w:p>
    <w:p/>
    <w:p>
      <w:pPr>
        <w:rPr>
          <w:rFonts w:eastAsia="Arial" w:cs="Arial"/>
          <w:sz w:val="16"/>
          <w:szCs w:val="16"/>
        </w:rPr>
      </w:pPr>
    </w:p>
    <w:p>
      <w:pPr>
        <w:numPr>
          <w:ilvl w:val="0"/>
          <w:numId w:val="573"/>
        </w:numPr>
        <w:ind w:left="720" w:hanging="192"/>
        <w:jc w:val="left"/>
        <w:rPr>
          <w:rFonts w:eastAsia="Arial" w:cs="Arial"/>
          <w:sz w:val="20"/>
          <w:szCs w:val="20"/>
        </w:rPr>
      </w:pPr>
      <w:r>
        <w:rPr>
          <w:rFonts w:eastAsia="Arial" w:cs="Arial"/>
          <w:b/>
          <w:bCs/>
          <w:sz w:val="20"/>
          <w:szCs w:val="20"/>
        </w:rPr>
        <w:t>Pre-Clearance.</w:t>
      </w:r>
      <w:r>
        <w:rPr>
          <w:rFonts w:eastAsia="Arial" w:cs="Arial"/>
          <w:sz w:val="20"/>
          <w:szCs w:val="20"/>
        </w:rPr>
        <w:t xml:space="preserve"> Each Access Person may not purchase or sell any Security without first: </w:t>
      </w:r>
    </w:p>
    <w:p>
      <w:pPr>
        <w:numPr>
          <w:ilvl w:val="1"/>
          <w:numId w:val="573"/>
        </w:numPr>
        <w:ind w:left="1440" w:hanging="220"/>
        <w:jc w:val="left"/>
        <w:rPr>
          <w:rFonts w:eastAsia="Arial" w:cs="Arial"/>
          <w:sz w:val="20"/>
          <w:szCs w:val="20"/>
        </w:rPr>
      </w:pPr>
      <w:r>
        <w:rPr>
          <w:rFonts w:eastAsia="Arial" w:cs="Arial"/>
          <w:sz w:val="20"/>
          <w:szCs w:val="20"/>
        </w:rPr>
        <w:t>completing a Preclearance of Securities Trade Form and providing it to the [Chief Compliance Officer]; and</w:t>
      </w:r>
    </w:p>
    <w:p>
      <w:pPr>
        <w:numPr>
          <w:ilvl w:val="1"/>
          <w:numId w:val="573"/>
        </w:numPr>
        <w:ind w:left="1440" w:hanging="220"/>
        <w:jc w:val="left"/>
        <w:rPr>
          <w:rFonts w:eastAsia="Arial" w:cs="Arial"/>
          <w:sz w:val="20"/>
          <w:szCs w:val="20"/>
        </w:rPr>
      </w:pPr>
      <w:r>
        <w:rPr>
          <w:rFonts w:eastAsia="Arial" w:cs="Arial"/>
          <w:sz w:val="20"/>
          <w:szCs w:val="20"/>
        </w:rPr>
        <w:t>obtaining preclearance from the [Chief Compliance Officer].</w:t>
      </w:r>
    </w:p>
    <w:p>
      <w:pPr>
        <w:numPr>
          <w:ilvl w:val="0"/>
          <w:numId w:val="573"/>
        </w:numPr>
        <w:ind w:left="720" w:hanging="192"/>
        <w:jc w:val="left"/>
        <w:rPr>
          <w:rFonts w:eastAsia="Arial" w:cs="Arial"/>
          <w:sz w:val="20"/>
          <w:szCs w:val="20"/>
        </w:rPr>
      </w:pPr>
      <w:r>
        <w:rPr>
          <w:rFonts w:eastAsia="Arial" w:cs="Arial"/>
          <w:b/>
          <w:bCs/>
          <w:sz w:val="20"/>
          <w:szCs w:val="20"/>
        </w:rPr>
        <w:t>Exemptions.</w:t>
      </w:r>
      <w:r>
        <w:rPr>
          <w:rFonts w:eastAsia="Arial" w:cs="Arial"/>
          <w:sz w:val="20"/>
          <w:szCs w:val="20"/>
        </w:rPr>
        <w:t xml:space="preserve"> The preclearance requirements shall not apply to the following transactions: </w:t>
      </w:r>
    </w:p>
    <w:p>
      <w:pPr>
        <w:numPr>
          <w:ilvl w:val="1"/>
          <w:numId w:val="573"/>
        </w:numPr>
        <w:ind w:left="1440" w:hanging="220"/>
        <w:jc w:val="left"/>
        <w:rPr>
          <w:rFonts w:eastAsia="Arial" w:cs="Arial"/>
          <w:sz w:val="20"/>
          <w:szCs w:val="20"/>
        </w:rPr>
      </w:pPr>
      <w:r>
        <w:rPr>
          <w:rFonts w:eastAsia="Arial" w:cs="Arial"/>
          <w:sz w:val="20"/>
          <w:szCs w:val="20"/>
        </w:rPr>
        <w:t>Purchase or sale of Securities over which the Access Person has no direct or indirect influence or control;</w:t>
      </w:r>
    </w:p>
    <w:p>
      <w:pPr>
        <w:numPr>
          <w:ilvl w:val="1"/>
          <w:numId w:val="573"/>
        </w:numPr>
        <w:ind w:left="1440" w:hanging="220"/>
        <w:jc w:val="left"/>
        <w:rPr>
          <w:rFonts w:eastAsia="Arial" w:cs="Arial"/>
          <w:sz w:val="20"/>
          <w:szCs w:val="20"/>
        </w:rPr>
      </w:pPr>
      <w:r>
        <w:rPr>
          <w:rFonts w:eastAsia="Arial" w:cs="Arial"/>
          <w:sz w:val="20"/>
          <w:szCs w:val="20"/>
        </w:rPr>
        <w:t xml:space="preserve">Purchase or sale of Securities that are non-volitional on the part of the Access Person (e.g., purchases made pursuant to an automatic dividend reinvestment plan); </w:t>
      </w:r>
    </w:p>
    <w:p>
      <w:pPr>
        <w:numPr>
          <w:ilvl w:val="1"/>
          <w:numId w:val="573"/>
        </w:numPr>
        <w:ind w:left="1440" w:hanging="220"/>
        <w:jc w:val="left"/>
        <w:rPr>
          <w:rFonts w:eastAsia="Arial" w:cs="Arial"/>
          <w:sz w:val="20"/>
          <w:szCs w:val="20"/>
        </w:rPr>
      </w:pPr>
      <w:r>
        <w:rPr>
          <w:rFonts w:eastAsia="Arial" w:cs="Arial"/>
          <w:sz w:val="20"/>
          <w:szCs w:val="20"/>
        </w:rPr>
        <w:t xml:space="preserve">Purchase or sale of Securities that are not eligible for purchase by any Client; and </w:t>
      </w:r>
    </w:p>
    <w:p>
      <w:pPr>
        <w:numPr>
          <w:ilvl w:val="1"/>
          <w:numId w:val="573"/>
        </w:numPr>
        <w:ind w:left="1440" w:hanging="220"/>
        <w:jc w:val="left"/>
        <w:rPr>
          <w:rFonts w:eastAsia="Arial" w:cs="Arial"/>
          <w:sz w:val="20"/>
          <w:szCs w:val="20"/>
        </w:rPr>
      </w:pPr>
      <w:r>
        <w:rPr>
          <w:rFonts w:eastAsia="Arial" w:cs="Arial"/>
          <w:sz w:val="20"/>
          <w:szCs w:val="20"/>
        </w:rPr>
        <w:t>Purchase of Securities effected upon the exercise of rights issued by an issuer pro rata to all holders of a class of its Securities.</w:t>
      </w:r>
    </w:p>
    <w:p>
      <w:pPr>
        <w:numPr>
          <w:ilvl w:val="0"/>
          <w:numId w:val="573"/>
        </w:numPr>
        <w:ind w:left="720" w:hanging="192"/>
        <w:jc w:val="left"/>
        <w:rPr>
          <w:rFonts w:eastAsia="Arial" w:cs="Arial"/>
          <w:sz w:val="20"/>
          <w:szCs w:val="20"/>
        </w:rPr>
      </w:pPr>
      <w:r>
        <w:rPr>
          <w:rFonts w:eastAsia="Arial" w:cs="Arial"/>
          <w:b/>
          <w:bCs/>
          <w:sz w:val="20"/>
          <w:szCs w:val="20"/>
        </w:rPr>
        <w:t>Preclearance Discretion.</w:t>
      </w:r>
      <w:r>
        <w:rPr>
          <w:rFonts w:eastAsia="Arial" w:cs="Arial"/>
          <w:sz w:val="20"/>
          <w:szCs w:val="20"/>
        </w:rPr>
        <w:t xml:space="preserve"> The [Chief Compliance Officer] or his or her designee shall preclear transactions that appear, upon reasonable inquiry, to present no reasonable likelihood of harm to any Client.</w:t>
      </w:r>
    </w:p>
    <w:p>
      <w:pPr>
        <w:numPr>
          <w:ilvl w:val="0"/>
          <w:numId w:val="573"/>
        </w:numPr>
        <w:spacing w:after="200"/>
        <w:ind w:left="720" w:hanging="192"/>
        <w:jc w:val="left"/>
        <w:rPr>
          <w:rFonts w:eastAsia="Arial" w:cs="Arial"/>
          <w:sz w:val="20"/>
          <w:szCs w:val="20"/>
        </w:rPr>
      </w:pPr>
      <w:r>
        <w:rPr>
          <w:rFonts w:eastAsia="Arial" w:cs="Arial"/>
          <w:b/>
          <w:bCs/>
          <w:sz w:val="20"/>
          <w:szCs w:val="20"/>
        </w:rPr>
        <w:t>Pre-clearance of CCO Trades</w:t>
      </w:r>
      <w:r>
        <w:rPr>
          <w:rFonts w:eastAsia="Arial" w:cs="Arial"/>
          <w:sz w:val="20"/>
          <w:szCs w:val="20"/>
        </w:rPr>
        <w:t>. The Chief Compliance Officer may not pre-clear his or her trades but rather must seek pre-clearance as described above by an officer of KCD who has no family relationship with the Chief Compliance Officer.</w:t>
      </w:r>
    </w:p>
    <w:p>
      <w:bookmarkEnd w:id="656"/>
      <w:bookmarkStart w:id="657" w:name="Sec_Chp_061016102255750_061016102256000"/>
    </w:p>
    <w:p>
      <w:pPr>
        <w:pStyle w:val="Heading4"/>
      </w:pPr>
      <w:r>
        <w:t>10.3.2.5 Reporting of Securities Trades and Holdings</w:t>
      </w:r>
    </w:p>
    <w:p/>
    <w:p>
      <w:pPr>
        <w:rPr>
          <w:rFonts w:eastAsia="Arial" w:cs="Arial"/>
          <w:sz w:val="16"/>
          <w:szCs w:val="16"/>
        </w:rPr>
      </w:pPr>
    </w:p>
    <w:p>
      <w:bookmarkEnd w:id="657"/>
    </w:p>
    <w:p>
      <w:pPr>
        <w:pStyle w:val="Heading5"/>
      </w:pPr>
      <w:r>
        <w:t>10.3.2.5.1 Access Person Reporting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Each Access Person shall report on the Securities Transaction Report Form all transactions in Securities in which such Access Person has acquired any direct or indirect Beneficial Ownership, </w:t>
      </w:r>
      <w:r>
        <w:rPr>
          <w:rFonts w:eastAsia="Arial" w:cs="Arial"/>
          <w:b/>
          <w:bCs/>
          <w:sz w:val="20"/>
          <w:szCs w:val="20"/>
        </w:rPr>
        <w:t>unless</w:t>
      </w:r>
      <w:r>
        <w:rPr>
          <w:rFonts w:eastAsia="Arial" w:cs="Arial"/>
          <w:sz w:val="20"/>
          <w:szCs w:val="20"/>
        </w:rPr>
        <w:t xml:space="preserve"> such report would duplicate information contained in trade confirmations or account statements that KCD holds in its records, provided KCD has received those confirmations or statements not later than 30 days after the close of the calendar quarter in which the transaction takes place.</w:t>
      </w:r>
    </w:p>
    <w:p/>
    <w:p>
      <w:pPr>
        <w:pStyle w:val="Heading5"/>
      </w:pPr>
      <w:r>
        <w:t>10.3.2.5.2 Report Deadline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Reports shall be filed with the Chief Compliance Officer within 30 days after the end of each calendar quarter. An Access Person need not file a report covering a quarterly period if he or she had no personal securities transactions during that quarter. </w:t>
      </w:r>
    </w:p>
    <w:p/>
    <w:p>
      <w:pPr>
        <w:pStyle w:val="Heading5"/>
      </w:pPr>
      <w:r>
        <w:t>10.3.2.5.3 Securities Transaction Report Form</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Securities Transaction Report Form filed pursuant to this Section shall contain the following information:</w:t>
      </w:r>
    </w:p>
    <w:p>
      <w:pPr>
        <w:numPr>
          <w:ilvl w:val="0"/>
          <w:numId w:val="574"/>
        </w:numPr>
        <w:spacing w:before="200"/>
        <w:ind w:left="720" w:hanging="192"/>
        <w:jc w:val="left"/>
        <w:rPr>
          <w:rFonts w:eastAsia="Arial" w:cs="Arial"/>
          <w:sz w:val="20"/>
          <w:szCs w:val="20"/>
        </w:rPr>
      </w:pPr>
      <w:r>
        <w:rPr>
          <w:rFonts w:eastAsia="Arial" w:cs="Arial"/>
          <w:sz w:val="20"/>
          <w:szCs w:val="20"/>
        </w:rPr>
        <w:t xml:space="preserve">Name of the Access Person making the report; </w:t>
      </w:r>
    </w:p>
    <w:p>
      <w:pPr>
        <w:numPr>
          <w:ilvl w:val="0"/>
          <w:numId w:val="574"/>
        </w:numPr>
        <w:ind w:left="720" w:hanging="192"/>
        <w:jc w:val="left"/>
        <w:rPr>
          <w:rFonts w:eastAsia="Arial" w:cs="Arial"/>
          <w:sz w:val="20"/>
          <w:szCs w:val="20"/>
        </w:rPr>
      </w:pPr>
      <w:r>
        <w:rPr>
          <w:rFonts w:eastAsia="Arial" w:cs="Arial"/>
          <w:sz w:val="20"/>
          <w:szCs w:val="20"/>
        </w:rPr>
        <w:t xml:space="preserve">Date of the transaction; </w:t>
      </w:r>
    </w:p>
    <w:p>
      <w:pPr>
        <w:numPr>
          <w:ilvl w:val="0"/>
          <w:numId w:val="574"/>
        </w:numPr>
        <w:ind w:left="720" w:hanging="192"/>
        <w:jc w:val="left"/>
        <w:rPr>
          <w:rFonts w:eastAsia="Arial" w:cs="Arial"/>
          <w:sz w:val="20"/>
          <w:szCs w:val="20"/>
        </w:rPr>
      </w:pPr>
      <w:r>
        <w:rPr>
          <w:rFonts w:eastAsia="Arial" w:cs="Arial"/>
          <w:sz w:val="20"/>
          <w:szCs w:val="20"/>
        </w:rPr>
        <w:t xml:space="preserve">Title and number of shares involved; </w:t>
      </w:r>
    </w:p>
    <w:p>
      <w:pPr>
        <w:numPr>
          <w:ilvl w:val="0"/>
          <w:numId w:val="574"/>
        </w:numPr>
        <w:ind w:left="720" w:hanging="192"/>
        <w:jc w:val="left"/>
        <w:rPr>
          <w:rFonts w:eastAsia="Arial" w:cs="Arial"/>
          <w:sz w:val="20"/>
          <w:szCs w:val="20"/>
        </w:rPr>
      </w:pPr>
      <w:r>
        <w:rPr>
          <w:rFonts w:eastAsia="Arial" w:cs="Arial"/>
          <w:sz w:val="20"/>
          <w:szCs w:val="20"/>
        </w:rPr>
        <w:t>Exchange ticker symbol or CUSIP of shares;</w:t>
      </w:r>
    </w:p>
    <w:p>
      <w:pPr>
        <w:numPr>
          <w:ilvl w:val="0"/>
          <w:numId w:val="574"/>
        </w:numPr>
        <w:ind w:left="720" w:hanging="192"/>
        <w:jc w:val="left"/>
        <w:rPr>
          <w:rFonts w:eastAsia="Arial" w:cs="Arial"/>
          <w:sz w:val="20"/>
          <w:szCs w:val="20"/>
        </w:rPr>
      </w:pPr>
      <w:r>
        <w:rPr>
          <w:rFonts w:eastAsia="Arial" w:cs="Arial"/>
          <w:sz w:val="20"/>
          <w:szCs w:val="20"/>
        </w:rPr>
        <w:t xml:space="preserve">Principal amount of each Security involved; </w:t>
      </w:r>
    </w:p>
    <w:p>
      <w:pPr>
        <w:numPr>
          <w:ilvl w:val="0"/>
          <w:numId w:val="574"/>
        </w:numPr>
        <w:ind w:left="720" w:hanging="192"/>
        <w:jc w:val="left"/>
        <w:rPr>
          <w:rFonts w:eastAsia="Arial" w:cs="Arial"/>
          <w:sz w:val="20"/>
          <w:szCs w:val="20"/>
        </w:rPr>
      </w:pPr>
      <w:r>
        <w:rPr>
          <w:rFonts w:eastAsia="Arial" w:cs="Arial"/>
          <w:sz w:val="20"/>
          <w:szCs w:val="20"/>
        </w:rPr>
        <w:t xml:space="preserve">Nature of the transaction (buy or sell); </w:t>
      </w:r>
    </w:p>
    <w:p>
      <w:pPr>
        <w:numPr>
          <w:ilvl w:val="0"/>
          <w:numId w:val="574"/>
        </w:numPr>
        <w:ind w:left="720" w:hanging="192"/>
        <w:jc w:val="left"/>
        <w:rPr>
          <w:rFonts w:eastAsia="Arial" w:cs="Arial"/>
          <w:sz w:val="20"/>
          <w:szCs w:val="20"/>
        </w:rPr>
      </w:pPr>
      <w:r>
        <w:rPr>
          <w:rFonts w:eastAsia="Arial" w:cs="Arial"/>
          <w:sz w:val="20"/>
          <w:szCs w:val="20"/>
        </w:rPr>
        <w:t xml:space="preserve">Price at which transaction was effected; and </w:t>
      </w:r>
    </w:p>
    <w:p>
      <w:pPr>
        <w:numPr>
          <w:ilvl w:val="0"/>
          <w:numId w:val="574"/>
        </w:numPr>
        <w:spacing w:after="200"/>
        <w:ind w:left="720" w:hanging="192"/>
        <w:jc w:val="left"/>
        <w:rPr>
          <w:rFonts w:eastAsia="Arial" w:cs="Arial"/>
          <w:sz w:val="20"/>
          <w:szCs w:val="20"/>
        </w:rPr>
      </w:pPr>
      <w:r>
        <w:rPr>
          <w:rFonts w:eastAsia="Arial" w:cs="Arial"/>
          <w:sz w:val="20"/>
          <w:szCs w:val="20"/>
        </w:rPr>
        <w:t xml:space="preserve">Name of the broker-dealer, bank or other financial institution through whom the transaction was effected. </w:t>
      </w:r>
    </w:p>
    <w:p>
      <w:pPr>
        <w:pStyle w:val="normal0"/>
        <w:spacing w:before="200" w:after="200"/>
        <w:rPr>
          <w:rFonts w:eastAsia="Arial" w:cs="Arial"/>
          <w:sz w:val="20"/>
          <w:szCs w:val="20"/>
        </w:rPr>
      </w:pPr>
      <w:r>
        <w:rPr>
          <w:rFonts w:eastAsia="Arial" w:cs="Arial"/>
          <w:sz w:val="20"/>
          <w:szCs w:val="20"/>
        </w:rPr>
        <w:t>Each Access Person must file a report of his or her personal securities holdings (i) at the time the person became an Access Person; and (ii) at least once a year thereafter in the Annual Securities Transaction Report Form. Such reports must be current as of a date not more than 45 days prior to the individual becoming an Access Person or the date the Annual Securities Transaction Report is submitted.</w:t>
      </w:r>
    </w:p>
    <w:p/>
    <w:p>
      <w:pPr>
        <w:pStyle w:val="Heading5"/>
      </w:pPr>
      <w:r>
        <w:t>10.3.2.5.4 Broker-Dealer Confirmations and Account Statements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Every Access Person who opens an account at a broker-dealer or other financial institution to personally trade securities shall:</w:t>
      </w:r>
    </w:p>
    <w:p>
      <w:pPr>
        <w:numPr>
          <w:ilvl w:val="0"/>
          <w:numId w:val="575"/>
        </w:numPr>
        <w:spacing w:before="200"/>
        <w:ind w:left="720" w:hanging="192"/>
        <w:jc w:val="left"/>
        <w:rPr>
          <w:rFonts w:eastAsia="Arial" w:cs="Arial"/>
          <w:sz w:val="20"/>
          <w:szCs w:val="20"/>
        </w:rPr>
      </w:pPr>
      <w:r>
        <w:rPr>
          <w:rFonts w:eastAsia="Arial" w:cs="Arial"/>
          <w:sz w:val="20"/>
          <w:szCs w:val="20"/>
        </w:rPr>
        <w:t xml:space="preserve">immediately notify the Chief Compliance Officer of the opening of such account; and </w:t>
      </w:r>
    </w:p>
    <w:p>
      <w:pPr>
        <w:numPr>
          <w:ilvl w:val="0"/>
          <w:numId w:val="575"/>
        </w:numPr>
        <w:spacing w:after="200"/>
        <w:ind w:left="720" w:hanging="192"/>
        <w:jc w:val="left"/>
        <w:rPr>
          <w:rFonts w:eastAsia="Arial" w:cs="Arial"/>
          <w:sz w:val="20"/>
          <w:szCs w:val="20"/>
        </w:rPr>
      </w:pPr>
      <w:r>
        <w:rPr>
          <w:rFonts w:eastAsia="Arial" w:cs="Arial"/>
          <w:sz w:val="20"/>
          <w:szCs w:val="20"/>
        </w:rPr>
        <w:t>send a Broker Confirmation Letter to each such broker-dealer or other financial institution directing them to provide KCD with a duplicate copy of each confirmation and periodic account statement issued to such Access Person.</w:t>
      </w:r>
    </w:p>
    <w:p>
      <w:pPr>
        <w:pStyle w:val="normal0"/>
        <w:spacing w:before="200" w:after="200"/>
        <w:rPr>
          <w:rFonts w:eastAsia="Arial" w:cs="Arial"/>
          <w:sz w:val="20"/>
          <w:szCs w:val="20"/>
        </w:rPr>
      </w:pPr>
      <w:r>
        <w:rPr>
          <w:rFonts w:eastAsia="Arial" w:cs="Arial"/>
          <w:sz w:val="20"/>
          <w:szCs w:val="20"/>
        </w:rPr>
        <w:t>Access persons may open an account to personally trade securities only at those broker-dealers or other financial institutions that agree to electronically deliver to KCD all trade information of the Access Person.</w:t>
      </w:r>
    </w:p>
    <w:p>
      <w:bookmarkStart w:id="658" w:name="Sec_Chp_061016102255750_0610161022560001"/>
    </w:p>
    <w:p>
      <w:pPr>
        <w:pStyle w:val="Heading5"/>
      </w:pPr>
      <w:r>
        <w:t>10.3.2.5.5 Private Placements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Access Person who owns Securities acquired in a private placement shall disclose such ownership to the Chief Compliance Officer if such person is involved in any subsequent consideration of an investment in the issuer by a Client.</w:t>
      </w:r>
    </w:p>
    <w:p>
      <w:bookmarkEnd w:id="658"/>
      <w:bookmarkStart w:id="659" w:name="Sec_Chp_061016102255750_061016102256046"/>
    </w:p>
    <w:p>
      <w:pPr>
        <w:pStyle w:val="Heading4"/>
      </w:pPr>
      <w:r>
        <w:t>10.3.2.6 Reporting Violations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employee of KCD must promptly report to the Chief Compliance Officer any violations of the Code of Ethics. Any employee of KCD who is the subject of a Code of Ethics violation report and who retaliates against the reporting employee shall be subject to serious sanctions, including termination of employment. Reports of violations will be investigated and appropriate actions will be taken by the Chief Compliance Officer. When investigating a possible violation, of KCD's personal trading rules, the Chief Compliance Officer will give such person an opportunity to supply additional information regarding the transaction in question.</w:t>
      </w:r>
    </w:p>
    <w:p>
      <w:bookmarkEnd w:id="659"/>
      <w:bookmarkStart w:id="660" w:name="Sec_Chp_061016102255750_061016102256062"/>
    </w:p>
    <w:p>
      <w:pPr>
        <w:pStyle w:val="Heading4"/>
      </w:pPr>
      <w:r>
        <w:t>10.3.2.7 Review</w:t>
      </w:r>
    </w:p>
    <w:p/>
    <w:p>
      <w:pPr>
        <w:rPr>
          <w:rFonts w:eastAsia="Arial" w:cs="Arial"/>
          <w:sz w:val="16"/>
          <w:szCs w:val="16"/>
        </w:rPr>
      </w:pPr>
      <w:r>
        <w:rPr>
          <w:rFonts w:eastAsia="Arial" w:cs="Arial"/>
          <w:sz w:val="16"/>
          <w:szCs w:val="16"/>
        </w:rPr>
        <w:t>[Investment Advisers Act of 1940 Rule 204A-1(a)]</w:t>
      </w:r>
    </w:p>
    <w:p/>
    <w:p>
      <w:pPr>
        <w:numPr>
          <w:ilvl w:val="0"/>
          <w:numId w:val="576"/>
        </w:numPr>
        <w:ind w:left="720" w:hanging="192"/>
        <w:jc w:val="left"/>
        <w:rPr>
          <w:rFonts w:eastAsia="Arial" w:cs="Arial"/>
          <w:sz w:val="20"/>
          <w:szCs w:val="20"/>
        </w:rPr>
      </w:pPr>
      <w:r>
        <w:rPr>
          <w:rStyle w:val="Strong"/>
          <w:rFonts w:eastAsia="Arial" w:cs="Arial"/>
          <w:b/>
          <w:bCs/>
          <w:sz w:val="20"/>
          <w:szCs w:val="20"/>
        </w:rPr>
        <w:t>Periodic Review.</w:t>
      </w:r>
      <w:r>
        <w:rPr>
          <w:rFonts w:eastAsia="Arial" w:cs="Arial"/>
          <w:sz w:val="20"/>
          <w:szCs w:val="20"/>
        </w:rPr>
        <w:t xml:space="preserve"> The [Chief Compliance Officer] shall periodically review and compare reported transactions of random Access Persons in Securities with the transactions of: </w:t>
      </w:r>
    </w:p>
    <w:p>
      <w:pPr>
        <w:numPr>
          <w:ilvl w:val="1"/>
          <w:numId w:val="576"/>
        </w:numPr>
        <w:ind w:left="1440" w:hanging="220"/>
        <w:jc w:val="left"/>
        <w:rPr>
          <w:rFonts w:eastAsia="Arial" w:cs="Arial"/>
          <w:sz w:val="20"/>
          <w:szCs w:val="20"/>
        </w:rPr>
      </w:pPr>
      <w:r>
        <w:rPr>
          <w:rFonts w:eastAsia="Arial" w:cs="Arial"/>
          <w:sz w:val="20"/>
          <w:szCs w:val="20"/>
        </w:rPr>
        <w:t>the Access Person indicated on his or her confirmations and account statements;</w:t>
      </w:r>
    </w:p>
    <w:p>
      <w:pPr>
        <w:numPr>
          <w:ilvl w:val="1"/>
          <w:numId w:val="576"/>
        </w:numPr>
        <w:ind w:left="1440" w:hanging="220"/>
        <w:jc w:val="left"/>
        <w:rPr>
          <w:rFonts w:eastAsia="Arial" w:cs="Arial"/>
          <w:sz w:val="20"/>
          <w:szCs w:val="20"/>
        </w:rPr>
      </w:pPr>
      <w:r>
        <w:rPr>
          <w:rFonts w:eastAsia="Arial" w:cs="Arial"/>
          <w:sz w:val="20"/>
          <w:szCs w:val="20"/>
        </w:rPr>
        <w:t>comparable clients of KCD;</w:t>
      </w:r>
    </w:p>
    <w:p>
      <w:pPr>
        <w:numPr>
          <w:ilvl w:val="1"/>
          <w:numId w:val="576"/>
        </w:numPr>
        <w:ind w:left="1440" w:hanging="220"/>
        <w:jc w:val="left"/>
        <w:rPr>
          <w:rFonts w:eastAsia="Arial" w:cs="Arial"/>
          <w:sz w:val="20"/>
          <w:szCs w:val="20"/>
        </w:rPr>
      </w:pPr>
      <w:r>
        <w:rPr>
          <w:rFonts w:eastAsia="Arial" w:cs="Arial"/>
          <w:sz w:val="20"/>
          <w:szCs w:val="20"/>
        </w:rPr>
        <w:t>the securities on any watch or restricted lists;</w:t>
      </w:r>
    </w:p>
    <w:p>
      <w:pPr>
        <w:numPr>
          <w:ilvl w:val="1"/>
          <w:numId w:val="576"/>
        </w:numPr>
        <w:ind w:left="1440" w:hanging="220"/>
        <w:jc w:val="left"/>
        <w:rPr>
          <w:rFonts w:eastAsia="Arial" w:cs="Arial"/>
          <w:sz w:val="20"/>
          <w:szCs w:val="20"/>
        </w:rPr>
      </w:pPr>
      <w:r>
        <w:rPr>
          <w:rFonts w:eastAsia="Arial" w:cs="Arial"/>
          <w:sz w:val="20"/>
          <w:szCs w:val="20"/>
        </w:rPr>
        <w:t>the securities of issuers recently engaged in making IPOs; and</w:t>
      </w:r>
    </w:p>
    <w:p>
      <w:pPr>
        <w:numPr>
          <w:ilvl w:val="1"/>
          <w:numId w:val="576"/>
        </w:numPr>
        <w:ind w:left="1440" w:hanging="220"/>
        <w:jc w:val="left"/>
        <w:rPr>
          <w:rFonts w:eastAsia="Arial" w:cs="Arial"/>
          <w:sz w:val="20"/>
          <w:szCs w:val="20"/>
        </w:rPr>
      </w:pPr>
      <w:r>
        <w:rPr>
          <w:rFonts w:eastAsia="Arial" w:cs="Arial"/>
          <w:sz w:val="20"/>
          <w:szCs w:val="20"/>
        </w:rPr>
        <w:t>create and maintain a written record of this review.</w:t>
      </w:r>
    </w:p>
    <w:p>
      <w:pPr>
        <w:numPr>
          <w:ilvl w:val="0"/>
          <w:numId w:val="576"/>
        </w:numPr>
        <w:ind w:left="720" w:hanging="192"/>
        <w:jc w:val="left"/>
        <w:rPr>
          <w:rFonts w:eastAsia="Arial" w:cs="Arial"/>
          <w:sz w:val="20"/>
          <w:szCs w:val="20"/>
        </w:rPr>
      </w:pPr>
      <w:r>
        <w:rPr>
          <w:rStyle w:val="Strong"/>
          <w:rFonts w:eastAsia="Arial" w:cs="Arial"/>
          <w:b/>
          <w:bCs/>
          <w:sz w:val="20"/>
          <w:szCs w:val="20"/>
        </w:rPr>
        <w:t>Suspected Violations.</w:t>
      </w:r>
      <w:r>
        <w:rPr>
          <w:rFonts w:eastAsia="Arial" w:cs="Arial"/>
          <w:sz w:val="20"/>
          <w:szCs w:val="20"/>
        </w:rPr>
        <w:t xml:space="preserve"> If the [Chief Compliance Officer] suspects that an Access Person has violated these Procedures, he or she shall investigate the alleged violation, and, as a part of that investigation, allow the Access Person an opportunity to explain why the violation occurred or did not occur. </w:t>
      </w:r>
    </w:p>
    <w:p>
      <w:pPr>
        <w:numPr>
          <w:ilvl w:val="0"/>
          <w:numId w:val="576"/>
        </w:numPr>
        <w:ind w:left="720" w:hanging="192"/>
        <w:jc w:val="left"/>
        <w:rPr>
          <w:rFonts w:eastAsia="Arial" w:cs="Arial"/>
          <w:sz w:val="20"/>
          <w:szCs w:val="20"/>
        </w:rPr>
      </w:pPr>
      <w:r>
        <w:rPr>
          <w:rStyle w:val="Strong"/>
          <w:rFonts w:eastAsia="Arial" w:cs="Arial"/>
          <w:b/>
          <w:bCs/>
          <w:sz w:val="20"/>
          <w:szCs w:val="20"/>
        </w:rPr>
        <w:t>Violation Report.</w:t>
      </w:r>
      <w:r>
        <w:rPr>
          <w:rFonts w:eastAsia="Arial" w:cs="Arial"/>
          <w:sz w:val="20"/>
          <w:szCs w:val="20"/>
        </w:rPr>
        <w:t xml:space="preserve"> If the [Chief Compliance Officer] concludes that an Access Person has violated these Procedures, he or she shall submit a report of such violation, his or her investigation of such violation, and his or her recommendation on what steps should be taken to address such violation, including recommending sanctions against the violator. </w:t>
      </w:r>
    </w:p>
    <w:p>
      <w:pPr>
        <w:numPr>
          <w:ilvl w:val="0"/>
          <w:numId w:val="576"/>
        </w:numPr>
        <w:ind w:left="720" w:hanging="192"/>
        <w:jc w:val="left"/>
        <w:rPr>
          <w:rFonts w:eastAsia="Arial" w:cs="Arial"/>
          <w:sz w:val="20"/>
          <w:szCs w:val="20"/>
        </w:rPr>
      </w:pPr>
      <w:r>
        <w:rPr>
          <w:rStyle w:val="Strong"/>
          <w:rFonts w:eastAsia="Arial" w:cs="Arial"/>
          <w:b/>
          <w:bCs/>
          <w:sz w:val="20"/>
          <w:szCs w:val="20"/>
        </w:rPr>
        <w:t>Patterns.</w:t>
      </w:r>
      <w:r>
        <w:rPr>
          <w:rFonts w:eastAsia="Arial" w:cs="Arial"/>
          <w:sz w:val="20"/>
          <w:szCs w:val="20"/>
        </w:rPr>
        <w:t xml:space="preserve"> The [Chief Compliance Officer] shall periodically review trades of the Access Person in past periods in an effort to find patterns or deviation from patterns (</w:t>
      </w:r>
      <w:r>
        <w:rPr>
          <w:rStyle w:val="Emphasis"/>
          <w:rFonts w:eastAsia="Arial" w:cs="Arial"/>
          <w:i/>
          <w:iCs/>
          <w:sz w:val="20"/>
          <w:szCs w:val="20"/>
        </w:rPr>
        <w:t>e.g.,</w:t>
      </w:r>
      <w:r>
        <w:rPr>
          <w:rFonts w:eastAsia="Arial" w:cs="Arial"/>
          <w:sz w:val="20"/>
          <w:szCs w:val="20"/>
        </w:rPr>
        <w:t xml:space="preserve"> a spike in personal trades).</w:t>
      </w:r>
    </w:p>
    <w:p>
      <w:pPr>
        <w:numPr>
          <w:ilvl w:val="0"/>
          <w:numId w:val="576"/>
        </w:numPr>
        <w:ind w:left="720" w:hanging="192"/>
        <w:jc w:val="left"/>
        <w:rPr>
          <w:rFonts w:eastAsia="Arial" w:cs="Arial"/>
          <w:sz w:val="20"/>
          <w:szCs w:val="20"/>
        </w:rPr>
      </w:pPr>
      <w:r>
        <w:rPr>
          <w:rStyle w:val="Strong"/>
          <w:rFonts w:eastAsia="Arial" w:cs="Arial"/>
          <w:b/>
          <w:bCs/>
          <w:sz w:val="20"/>
          <w:szCs w:val="20"/>
        </w:rPr>
        <w:t>Sanctions.</w:t>
      </w:r>
      <w:r>
        <w:rPr>
          <w:rFonts w:eastAsia="Arial" w:cs="Arial"/>
          <w:sz w:val="20"/>
          <w:szCs w:val="20"/>
        </w:rPr>
        <w:t xml:space="preserve"> The [Chief Compliance Officer] will recommend the imposition of the following sanctions either in ascending order or a combination of sanctions depending on the facts and circumstance of the Code of Ethics violation: </w:t>
      </w:r>
    </w:p>
    <w:p>
      <w:pPr>
        <w:numPr>
          <w:ilvl w:val="1"/>
          <w:numId w:val="576"/>
        </w:numPr>
        <w:ind w:left="1440" w:hanging="220"/>
        <w:jc w:val="left"/>
        <w:rPr>
          <w:rFonts w:eastAsia="Arial" w:cs="Arial"/>
          <w:sz w:val="20"/>
          <w:szCs w:val="20"/>
        </w:rPr>
      </w:pPr>
      <w:r>
        <w:rPr>
          <w:rFonts w:eastAsia="Arial" w:cs="Arial"/>
          <w:sz w:val="20"/>
          <w:szCs w:val="20"/>
        </w:rPr>
        <w:t>Warning;</w:t>
      </w:r>
    </w:p>
    <w:p>
      <w:pPr>
        <w:numPr>
          <w:ilvl w:val="1"/>
          <w:numId w:val="576"/>
        </w:numPr>
        <w:ind w:left="1440" w:hanging="220"/>
        <w:jc w:val="left"/>
        <w:rPr>
          <w:rFonts w:eastAsia="Arial" w:cs="Arial"/>
          <w:sz w:val="20"/>
          <w:szCs w:val="20"/>
        </w:rPr>
      </w:pPr>
      <w:r>
        <w:rPr>
          <w:rFonts w:eastAsia="Arial" w:cs="Arial"/>
          <w:sz w:val="20"/>
          <w:szCs w:val="20"/>
        </w:rPr>
        <w:t>Disgorgement of profit and donating profit to a charity;</w:t>
      </w:r>
    </w:p>
    <w:p>
      <w:pPr>
        <w:numPr>
          <w:ilvl w:val="1"/>
          <w:numId w:val="576"/>
        </w:numPr>
        <w:ind w:left="1440" w:hanging="220"/>
        <w:jc w:val="left"/>
        <w:rPr>
          <w:rFonts w:eastAsia="Arial" w:cs="Arial"/>
          <w:sz w:val="20"/>
          <w:szCs w:val="20"/>
        </w:rPr>
      </w:pPr>
      <w:r>
        <w:rPr>
          <w:rFonts w:eastAsia="Arial" w:cs="Arial"/>
          <w:sz w:val="20"/>
          <w:szCs w:val="20"/>
        </w:rPr>
        <w:t>Withdrawal of the privilege to make personal trades;</w:t>
      </w:r>
    </w:p>
    <w:p>
      <w:pPr>
        <w:numPr>
          <w:ilvl w:val="1"/>
          <w:numId w:val="576"/>
        </w:numPr>
        <w:ind w:left="1440" w:hanging="220"/>
        <w:jc w:val="left"/>
        <w:rPr>
          <w:rFonts w:eastAsia="Arial" w:cs="Arial"/>
          <w:sz w:val="20"/>
          <w:szCs w:val="20"/>
        </w:rPr>
      </w:pPr>
      <w:r>
        <w:rPr>
          <w:rFonts w:eastAsia="Arial" w:cs="Arial"/>
          <w:sz w:val="20"/>
          <w:szCs w:val="20"/>
        </w:rPr>
        <w:t>Monetary fine;</w:t>
      </w:r>
    </w:p>
    <w:p>
      <w:pPr>
        <w:numPr>
          <w:ilvl w:val="1"/>
          <w:numId w:val="576"/>
        </w:numPr>
        <w:ind w:left="1440" w:hanging="220"/>
        <w:jc w:val="left"/>
        <w:rPr>
          <w:rFonts w:eastAsia="Arial" w:cs="Arial"/>
          <w:sz w:val="20"/>
          <w:szCs w:val="20"/>
        </w:rPr>
      </w:pPr>
      <w:r>
        <w:rPr>
          <w:rFonts w:eastAsia="Arial" w:cs="Arial"/>
          <w:sz w:val="20"/>
          <w:szCs w:val="20"/>
        </w:rPr>
        <w:t>Letter of reprimand to chief executive officer of KCD about the misconduct; and</w:t>
      </w:r>
    </w:p>
    <w:p>
      <w:pPr>
        <w:numPr>
          <w:ilvl w:val="1"/>
          <w:numId w:val="576"/>
        </w:numPr>
        <w:ind w:left="1440" w:hanging="220"/>
        <w:jc w:val="left"/>
        <w:rPr>
          <w:rFonts w:eastAsia="Arial" w:cs="Arial"/>
          <w:sz w:val="20"/>
          <w:szCs w:val="20"/>
        </w:rPr>
      </w:pPr>
      <w:r>
        <w:rPr>
          <w:rFonts w:eastAsia="Arial" w:cs="Arial"/>
          <w:sz w:val="20"/>
          <w:szCs w:val="20"/>
        </w:rPr>
        <w:t>Termination of employment.</w:t>
      </w:r>
    </w:p>
    <w:p>
      <w:pPr>
        <w:numPr>
          <w:ilvl w:val="0"/>
          <w:numId w:val="576"/>
        </w:numPr>
        <w:spacing w:after="200"/>
        <w:ind w:left="720" w:hanging="192"/>
        <w:jc w:val="left"/>
        <w:rPr>
          <w:rFonts w:eastAsia="Arial" w:cs="Arial"/>
          <w:sz w:val="20"/>
          <w:szCs w:val="20"/>
        </w:rPr>
      </w:pPr>
      <w:r>
        <w:rPr>
          <w:rStyle w:val="Strong"/>
          <w:rFonts w:eastAsia="Arial" w:cs="Arial"/>
          <w:b/>
          <w:bCs/>
          <w:sz w:val="20"/>
          <w:szCs w:val="20"/>
        </w:rPr>
        <w:t>Review of CCO Trades</w:t>
      </w:r>
      <w:r>
        <w:rPr>
          <w:rFonts w:eastAsia="Arial" w:cs="Arial"/>
          <w:sz w:val="20"/>
          <w:szCs w:val="20"/>
        </w:rPr>
        <w:t>. The Chief Compliance Officer may not review his or her trades but rather an officer of KCD who has no family relationship with the Chief Compliance Officer shall perform the review functions required by these procedures. A senior officer shall appoint an employee at KCD to conduct the review of all Chief Compliance Officer personal securities trades. At KCD, this person is the Compliance Officer.</w:t>
      </w:r>
    </w:p>
    <w:p>
      <w:bookmarkEnd w:id="660"/>
      <w:bookmarkStart w:id="661" w:name="Sec_Chp_061016102255750_061016102256078"/>
    </w:p>
    <w:p>
      <w:pPr>
        <w:pStyle w:val="Heading4"/>
      </w:pPr>
      <w:r>
        <w:t>10.3.2.8 Training</w:t>
      </w:r>
    </w:p>
    <w:p/>
    <w:p>
      <w:pPr>
        <w:rPr>
          <w:rFonts w:eastAsia="Arial" w:cs="Arial"/>
          <w:sz w:val="16"/>
          <w:szCs w:val="16"/>
        </w:rPr>
      </w:pPr>
    </w:p>
    <w:p>
      <w:pPr>
        <w:numPr>
          <w:ilvl w:val="0"/>
          <w:numId w:val="577"/>
        </w:numPr>
        <w:ind w:left="720" w:hanging="267"/>
        <w:jc w:val="left"/>
        <w:rPr>
          <w:rFonts w:eastAsia="Arial" w:cs="Arial"/>
          <w:sz w:val="20"/>
          <w:szCs w:val="20"/>
        </w:rPr>
      </w:pPr>
      <w:r>
        <w:rPr>
          <w:rFonts w:eastAsia="Arial" w:cs="Arial"/>
          <w:b/>
          <w:bCs/>
          <w:sz w:val="20"/>
          <w:szCs w:val="20"/>
        </w:rPr>
        <w:t>New Employees.</w:t>
      </w:r>
      <w:r>
        <w:rPr>
          <w:rFonts w:eastAsia="Arial" w:cs="Arial"/>
          <w:sz w:val="20"/>
          <w:szCs w:val="20"/>
        </w:rPr>
        <w:t xml:space="preserve"> Each newly hired or newly designated Access Person shall receive a copy of these Procedures and shall be required to certify within 30 days of receipt of such Procedures that he or she has read and understands the Procedures. </w:t>
      </w:r>
    </w:p>
    <w:p>
      <w:pPr>
        <w:numPr>
          <w:ilvl w:val="0"/>
          <w:numId w:val="577"/>
        </w:numPr>
        <w:ind w:left="720" w:hanging="267"/>
        <w:jc w:val="left"/>
        <w:rPr>
          <w:rFonts w:eastAsia="Arial" w:cs="Arial"/>
          <w:sz w:val="20"/>
          <w:szCs w:val="20"/>
        </w:rPr>
      </w:pPr>
      <w:r>
        <w:rPr>
          <w:rFonts w:eastAsia="Arial" w:cs="Arial"/>
          <w:b/>
          <w:bCs/>
          <w:sz w:val="20"/>
          <w:szCs w:val="20"/>
        </w:rPr>
        <w:t>New Employee Review.</w:t>
      </w:r>
      <w:r>
        <w:rPr>
          <w:rFonts w:eastAsia="Arial" w:cs="Arial"/>
          <w:sz w:val="20"/>
          <w:szCs w:val="20"/>
        </w:rPr>
        <w:t xml:space="preserve"> The Chief Compliance Officer shall review the Procedures with any newly hired or newly designated Access Person. A new employee may not make a personal trade until he or she has received this training. </w:t>
      </w:r>
    </w:p>
    <w:p>
      <w:pPr>
        <w:numPr>
          <w:ilvl w:val="0"/>
          <w:numId w:val="577"/>
        </w:numPr>
        <w:spacing w:after="200"/>
        <w:ind w:left="720" w:hanging="267"/>
        <w:jc w:val="left"/>
        <w:rPr>
          <w:rFonts w:eastAsia="Arial" w:cs="Arial"/>
          <w:sz w:val="20"/>
          <w:szCs w:val="20"/>
        </w:rPr>
      </w:pPr>
      <w:r>
        <w:rPr>
          <w:rFonts w:eastAsia="Arial" w:cs="Arial"/>
          <w:b/>
          <w:bCs/>
          <w:sz w:val="20"/>
          <w:szCs w:val="20"/>
        </w:rPr>
        <w:t>Annual Training.</w:t>
      </w:r>
      <w:r>
        <w:rPr>
          <w:rFonts w:eastAsia="Arial" w:cs="Arial"/>
          <w:sz w:val="20"/>
          <w:szCs w:val="20"/>
        </w:rPr>
        <w:t xml:space="preserve"> At least annually, the Chief Compliance Officer shall conduct a training seminar reviewing the requirements of the Procedures and the required duties of the Access Persons.</w:t>
      </w:r>
    </w:p>
    <w:p>
      <w:bookmarkEnd w:id="661"/>
      <w:bookmarkStart w:id="662" w:name="Sec_Chp_061016102255750_061016102256093"/>
    </w:p>
    <w:p>
      <w:pPr>
        <w:pStyle w:val="Heading4"/>
      </w:pPr>
      <w:r>
        <w:t>10.3.2.9 Access Person List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shall maintain a list of employees and officers of KCD who are "Access Persons." </w:t>
      </w:r>
    </w:p>
    <w:p>
      <w:bookmarkEnd w:id="662"/>
      <w:bookmarkStart w:id="663" w:name="Sec_Chp_061016102255750_061016102256109"/>
    </w:p>
    <w:p>
      <w:pPr>
        <w:pStyle w:val="Heading4"/>
      </w:pPr>
      <w:r>
        <w:t>10.3.2.10 Sanctions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Upon discovering a violation of these Code of Ethics, the senior management of KCD may impose such sanctions as they deem appropriate, including, but not limited to, forfeiture of future discretionary compensation or profit, canceling trades, selling positions at a loss, internal reprimand, a letter of censure, fine or suspension or termination from employment.</w:t>
      </w:r>
    </w:p>
    <w:p>
      <w:bookmarkEnd w:id="663"/>
      <w:bookmarkStart w:id="664" w:name="Sec_Chp_061016102255750_061016102103211"/>
    </w:p>
    <w:p>
      <w:pPr>
        <w:pStyle w:val="Heading4"/>
      </w:pPr>
      <w:r>
        <w:t>10.3.2.11 Relying Adviser Code of Ethics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This Code of Ethics applies to and is administered for all investment advisers related to KCD that are filing advisers or relying advisers as though all of such advisers are a single entity. In so applying and administering this Code of Ethics, KCD may take into account the fact that a relying adviser may be operating in a jurisdiction that has obligations that differ from the filing adviser or another relying adviser.</w:t>
      </w:r>
    </w:p>
    <w:p>
      <w:bookmarkEnd w:id="664"/>
      <w:bookmarkStart w:id="665" w:name="Sec_Chp_061016102255750_061016102256125"/>
    </w:p>
    <w:p>
      <w:pPr>
        <w:pStyle w:val="Heading3"/>
      </w:pPr>
      <w:bookmarkStart w:id="666" w:name="_Toc256000185"/>
      <w:r>
        <w:t>10.3.3 Insider Trading Procedures</w:t>
      </w:r>
      <w:bookmarkEnd w:id="666"/>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KCD's Insider Trading Procedures are designed to prevent the misuse of material, nonpublic information by KCD and its officers, directors and employees. </w:t>
      </w:r>
    </w:p>
    <w:p>
      <w:bookmarkEnd w:id="665"/>
      <w:bookmarkStart w:id="667" w:name="Sec_Chp_061016102255750_0610161022561401"/>
    </w:p>
    <w:p>
      <w:pPr>
        <w:pStyle w:val="Heading4"/>
      </w:pPr>
      <w:r>
        <w:t>10.3.3.1 Possession of Inside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an employee comes into possession of inside information, he or she shall:</w:t>
      </w:r>
    </w:p>
    <w:p>
      <w:pPr>
        <w:numPr>
          <w:ilvl w:val="0"/>
          <w:numId w:val="578"/>
        </w:numPr>
        <w:spacing w:before="200"/>
        <w:ind w:left="720" w:hanging="192"/>
        <w:jc w:val="left"/>
        <w:rPr>
          <w:rFonts w:eastAsia="Arial" w:cs="Arial"/>
          <w:sz w:val="20"/>
          <w:szCs w:val="20"/>
        </w:rPr>
      </w:pPr>
      <w:r>
        <w:rPr>
          <w:rFonts w:eastAsia="Arial" w:cs="Arial"/>
          <w:sz w:val="20"/>
          <w:szCs w:val="20"/>
        </w:rPr>
        <w:t>Not trade on such information either for himself or herself or for a client of KCD until the information becomes publicly available; and</w:t>
      </w:r>
    </w:p>
    <w:p>
      <w:pPr>
        <w:numPr>
          <w:ilvl w:val="0"/>
          <w:numId w:val="578"/>
        </w:numPr>
        <w:spacing w:after="200"/>
        <w:ind w:left="720" w:hanging="192"/>
        <w:jc w:val="left"/>
        <w:rPr>
          <w:rFonts w:eastAsia="Arial" w:cs="Arial"/>
          <w:sz w:val="20"/>
          <w:szCs w:val="20"/>
        </w:rPr>
      </w:pPr>
      <w:r>
        <w:rPr>
          <w:rFonts w:eastAsia="Arial" w:cs="Arial"/>
          <w:sz w:val="20"/>
          <w:szCs w:val="20"/>
        </w:rPr>
        <w:t>Promptly notify the Chief Compliance Officer about the possession of such inside information.</w:t>
      </w:r>
    </w:p>
    <w:p>
      <w:pPr>
        <w:pStyle w:val="normal0"/>
        <w:spacing w:before="200" w:after="200"/>
        <w:rPr>
          <w:rFonts w:eastAsia="Arial" w:cs="Arial"/>
          <w:sz w:val="20"/>
          <w:szCs w:val="20"/>
        </w:rPr>
      </w:pPr>
      <w:r>
        <w:rPr>
          <w:rFonts w:eastAsia="Arial" w:cs="Arial"/>
          <w:sz w:val="20"/>
          <w:szCs w:val="20"/>
        </w:rPr>
        <w:t>When the Chief Compliance Officer is informed that an employee has come into possession of inside information, he or she will decide whether or not KCD should place the issuer of the securities that is the subject of the inside information on KCD's Watch List or Restricted List; and consider the use of Information Blocking Devices as described herein.</w:t>
      </w:r>
    </w:p>
    <w:p>
      <w:bookmarkEnd w:id="667"/>
      <w:bookmarkStart w:id="668" w:name="Sec_Chp_061016102255750_061016102256140"/>
    </w:p>
    <w:p>
      <w:pPr>
        <w:pStyle w:val="Heading4"/>
      </w:pPr>
      <w:r>
        <w:t>10.3.3.2 Insider Trading Policy Statement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adopted these Insider Trading Policy and Procedures that apply to all Covered Persons. A Covered Person is defined to be:</w:t>
      </w:r>
    </w:p>
    <w:p>
      <w:pPr>
        <w:numPr>
          <w:ilvl w:val="0"/>
          <w:numId w:val="579"/>
        </w:numPr>
        <w:spacing w:before="200"/>
        <w:ind w:left="720" w:hanging="192"/>
        <w:jc w:val="left"/>
        <w:rPr>
          <w:rFonts w:eastAsia="Arial" w:cs="Arial"/>
          <w:sz w:val="20"/>
          <w:szCs w:val="20"/>
        </w:rPr>
      </w:pPr>
      <w:r>
        <w:rPr>
          <w:rFonts w:eastAsia="Arial" w:cs="Arial"/>
          <w:sz w:val="20"/>
          <w:szCs w:val="20"/>
        </w:rPr>
        <w:t>Employee of KCD;</w:t>
      </w:r>
    </w:p>
    <w:p>
      <w:pPr>
        <w:numPr>
          <w:ilvl w:val="0"/>
          <w:numId w:val="579"/>
        </w:numPr>
        <w:ind w:left="720" w:hanging="192"/>
        <w:jc w:val="left"/>
        <w:rPr>
          <w:rFonts w:eastAsia="Arial" w:cs="Arial"/>
          <w:sz w:val="20"/>
          <w:szCs w:val="20"/>
        </w:rPr>
      </w:pPr>
      <w:r>
        <w:rPr>
          <w:rFonts w:eastAsia="Arial" w:cs="Arial"/>
          <w:sz w:val="20"/>
          <w:szCs w:val="20"/>
        </w:rPr>
        <w:t>Officer of KCD;</w:t>
      </w:r>
    </w:p>
    <w:p>
      <w:pPr>
        <w:numPr>
          <w:ilvl w:val="0"/>
          <w:numId w:val="579"/>
        </w:numPr>
        <w:ind w:left="720" w:hanging="192"/>
        <w:jc w:val="left"/>
        <w:rPr>
          <w:rFonts w:eastAsia="Arial" w:cs="Arial"/>
          <w:sz w:val="20"/>
          <w:szCs w:val="20"/>
        </w:rPr>
      </w:pPr>
      <w:r>
        <w:rPr>
          <w:rFonts w:eastAsia="Arial" w:cs="Arial"/>
          <w:sz w:val="20"/>
          <w:szCs w:val="20"/>
        </w:rPr>
        <w:t>Director of KCD; and</w:t>
      </w:r>
    </w:p>
    <w:p>
      <w:pPr>
        <w:numPr>
          <w:ilvl w:val="0"/>
          <w:numId w:val="579"/>
        </w:numPr>
        <w:spacing w:after="200"/>
        <w:ind w:left="720" w:hanging="192"/>
        <w:jc w:val="left"/>
        <w:rPr>
          <w:rFonts w:eastAsia="Arial" w:cs="Arial"/>
          <w:sz w:val="20"/>
          <w:szCs w:val="20"/>
        </w:rPr>
      </w:pPr>
      <w:r>
        <w:rPr>
          <w:rFonts w:eastAsia="Arial" w:cs="Arial"/>
          <w:sz w:val="20"/>
          <w:szCs w:val="20"/>
        </w:rPr>
        <w:t>Officer or employee of each affiliated entity or subsidiary of KCD.</w:t>
      </w:r>
    </w:p>
    <w:p>
      <w:pPr>
        <w:pStyle w:val="normal0"/>
        <w:spacing w:before="200" w:after="200"/>
        <w:rPr>
          <w:rFonts w:eastAsia="Arial" w:cs="Arial"/>
          <w:sz w:val="20"/>
          <w:szCs w:val="20"/>
        </w:rPr>
      </w:pPr>
      <w:r>
        <w:rPr>
          <w:rFonts w:eastAsia="Arial" w:cs="Arial"/>
          <w:sz w:val="20"/>
          <w:szCs w:val="20"/>
        </w:rPr>
        <w:t>This Policy addresses both:</w:t>
      </w:r>
    </w:p>
    <w:p>
      <w:pPr>
        <w:numPr>
          <w:ilvl w:val="0"/>
          <w:numId w:val="580"/>
        </w:numPr>
        <w:spacing w:before="200"/>
        <w:ind w:left="720" w:hanging="192"/>
        <w:jc w:val="left"/>
        <w:rPr>
          <w:rFonts w:eastAsia="Arial" w:cs="Arial"/>
          <w:sz w:val="20"/>
          <w:szCs w:val="20"/>
        </w:rPr>
      </w:pPr>
      <w:r>
        <w:rPr>
          <w:rFonts w:eastAsia="Arial" w:cs="Arial"/>
          <w:sz w:val="20"/>
          <w:szCs w:val="20"/>
        </w:rPr>
        <w:t>Non-public information related to client trades and other advisory activities of KCD (which is primarily addressed by KCD's Code of Ethics); and</w:t>
      </w:r>
    </w:p>
    <w:p>
      <w:pPr>
        <w:numPr>
          <w:ilvl w:val="0"/>
          <w:numId w:val="580"/>
        </w:numPr>
        <w:spacing w:after="200"/>
        <w:ind w:left="720" w:hanging="192"/>
        <w:jc w:val="left"/>
        <w:rPr>
          <w:rFonts w:eastAsia="Arial" w:cs="Arial"/>
          <w:sz w:val="20"/>
          <w:szCs w:val="20"/>
        </w:rPr>
      </w:pPr>
      <w:r>
        <w:rPr>
          <w:rFonts w:eastAsia="Arial" w:cs="Arial"/>
          <w:sz w:val="20"/>
          <w:szCs w:val="20"/>
        </w:rPr>
        <w:t>Non-public information related to issuers of public securities.</w:t>
      </w:r>
    </w:p>
    <w:p>
      <w:bookmarkEnd w:id="668"/>
      <w:bookmarkStart w:id="669" w:name="Sec_Chp_061016102255750_06101610332"/>
    </w:p>
    <w:p>
      <w:pPr>
        <w:pStyle w:val="Heading4"/>
      </w:pPr>
      <w:r>
        <w:t>10.3.3.3 Prohibited Insider Trading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prohibited insider trading by a Covered Person violates these Procedures, as well as the federal securities laws. The term "insider trading" is not defined in the federal securities laws, but generally is used to refer to the use of material, non-public information to trade in securities (whether or not one is an "insider" of the company that issued the securities) or the communication of material, non-public information to others who may trade on the basis of such information.</w:t>
      </w:r>
    </w:p>
    <w:p>
      <w:pPr>
        <w:pStyle w:val="normal0"/>
        <w:spacing w:before="200" w:after="200"/>
        <w:rPr>
          <w:rFonts w:eastAsia="Arial" w:cs="Arial"/>
          <w:sz w:val="20"/>
          <w:szCs w:val="20"/>
        </w:rPr>
      </w:pPr>
      <w:r>
        <w:rPr>
          <w:rFonts w:eastAsia="Arial" w:cs="Arial"/>
          <w:sz w:val="20"/>
          <w:szCs w:val="20"/>
        </w:rPr>
        <w:t>It is generally understood that, with respect to KCD, Covered Persons are prohibited from doing the following:</w:t>
      </w:r>
    </w:p>
    <w:p>
      <w:pPr>
        <w:numPr>
          <w:ilvl w:val="0"/>
          <w:numId w:val="581"/>
        </w:numPr>
        <w:spacing w:before="200"/>
        <w:ind w:left="720" w:hanging="192"/>
        <w:jc w:val="left"/>
        <w:rPr>
          <w:rFonts w:eastAsia="Arial" w:cs="Arial"/>
          <w:sz w:val="20"/>
          <w:szCs w:val="20"/>
        </w:rPr>
      </w:pPr>
      <w:r>
        <w:rPr>
          <w:rFonts w:eastAsia="Arial" w:cs="Arial"/>
          <w:sz w:val="20"/>
          <w:szCs w:val="20"/>
        </w:rPr>
        <w:t>Trading in any of the securities of KCD (if it has publicly issued any securities) in any capacity (including derivative securities based on KCD's securities) while in possession of material, non-public information concerning KCD.</w:t>
      </w:r>
    </w:p>
    <w:p>
      <w:pPr>
        <w:numPr>
          <w:ilvl w:val="0"/>
          <w:numId w:val="581"/>
        </w:numPr>
        <w:ind w:left="720" w:hanging="192"/>
        <w:jc w:val="left"/>
        <w:rPr>
          <w:rFonts w:eastAsia="Arial" w:cs="Arial"/>
          <w:sz w:val="20"/>
          <w:szCs w:val="20"/>
        </w:rPr>
      </w:pPr>
      <w:r>
        <w:rPr>
          <w:rFonts w:eastAsia="Arial" w:cs="Arial"/>
          <w:sz w:val="20"/>
          <w:szCs w:val="20"/>
        </w:rPr>
        <w:t>Having others trade on the Covered Person's behalf while the Covered Person is in possession of material, non-public information.</w:t>
      </w:r>
    </w:p>
    <w:p>
      <w:pPr>
        <w:numPr>
          <w:ilvl w:val="0"/>
          <w:numId w:val="581"/>
        </w:numPr>
        <w:ind w:left="720" w:hanging="192"/>
        <w:jc w:val="left"/>
        <w:rPr>
          <w:rFonts w:eastAsia="Arial" w:cs="Arial"/>
          <w:sz w:val="20"/>
          <w:szCs w:val="20"/>
        </w:rPr>
      </w:pPr>
      <w:r>
        <w:rPr>
          <w:rFonts w:eastAsia="Arial" w:cs="Arial"/>
          <w:sz w:val="20"/>
          <w:szCs w:val="20"/>
        </w:rPr>
        <w:t>Communicating non-public information concerning KCD to others who may then trade in securities of KCD or pass on the information to others who may trade in such securities. Such conduct, also known as "tipping," results in liability for the insider of KCD who communicated such information (even if such insider does not actually trade himself) and for the person who received the information if he acts on such information or passes it on to others who may act on it.</w:t>
      </w:r>
    </w:p>
    <w:p>
      <w:pPr>
        <w:numPr>
          <w:ilvl w:val="0"/>
          <w:numId w:val="581"/>
        </w:numPr>
        <w:ind w:left="720" w:hanging="192"/>
        <w:jc w:val="left"/>
        <w:rPr>
          <w:rFonts w:eastAsia="Arial" w:cs="Arial"/>
          <w:sz w:val="20"/>
          <w:szCs w:val="20"/>
        </w:rPr>
      </w:pPr>
      <w:r>
        <w:rPr>
          <w:rFonts w:eastAsia="Arial" w:cs="Arial"/>
          <w:sz w:val="20"/>
          <w:szCs w:val="20"/>
        </w:rPr>
        <w:t>Trading in securities on the basis of non-public information received directly or indirectly from an insider with the knowledge that the insider both breached his or her fiduciary duty by tipping the information and benefited tangibly from breaching the fiduciary duty.</w:t>
      </w:r>
    </w:p>
    <w:p>
      <w:pPr>
        <w:numPr>
          <w:ilvl w:val="0"/>
          <w:numId w:val="581"/>
        </w:numPr>
        <w:spacing w:after="200"/>
        <w:ind w:left="720" w:hanging="192"/>
        <w:jc w:val="left"/>
        <w:rPr>
          <w:rFonts w:eastAsia="Arial" w:cs="Arial"/>
          <w:sz w:val="20"/>
          <w:szCs w:val="20"/>
        </w:rPr>
      </w:pPr>
      <w:r>
        <w:rPr>
          <w:rFonts w:eastAsia="Arial" w:cs="Arial"/>
          <w:sz w:val="20"/>
          <w:szCs w:val="20"/>
        </w:rPr>
        <w:t>Placing orders on a security for the Covered Person's own account while taking advantage of advance knowledge of pending orders from KCD's clients (personal trades of Covered Persons are covered by KCD's Code of Ethics).</w:t>
      </w:r>
    </w:p>
    <w:p>
      <w:bookmarkEnd w:id="669"/>
      <w:bookmarkStart w:id="670" w:name="Sec_Chp_061016102255750_06101610333"/>
    </w:p>
    <w:p>
      <w:pPr>
        <w:pStyle w:val="Heading4"/>
      </w:pPr>
      <w:r>
        <w:t>10.3.3.4 Insider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concept of "insider" is broad and generally includes any person who possesses material, non-public information about KCD (or a public issuer) and who has a duty to KCD (or a public issuer) to keep this information confidential. In the case of KCD, "insiders" include the Covered Persons. In addition, a person can be a "temporary insider" if he or she enters into a special confidential relationship to serve any such entity and as a result is given access to information in connection with such service. Persons who can become temporary insiders include, among others, KCD's (or public issuer's) attorneys, accountants, consultants and investment bankers.</w:t>
      </w:r>
    </w:p>
    <w:p>
      <w:bookmarkEnd w:id="670"/>
      <w:bookmarkStart w:id="671" w:name="Sec_Chp_061016102255750_06101610334"/>
    </w:p>
    <w:p>
      <w:pPr>
        <w:pStyle w:val="Heading4"/>
      </w:pPr>
      <w:r>
        <w:t>10.3.3.5 Materiality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Trading while in the possession of inside information is not a basis for liability unless the information is "material." Generally, information is "material" if there is a substantial likelihood that a reasonable investor would consider it important in making an investment decision, or if it is reasonably certain to have an effect on the price of an issuer's securities.</w:t>
      </w:r>
    </w:p>
    <w:p>
      <w:pPr>
        <w:pStyle w:val="normal0"/>
        <w:spacing w:before="200" w:after="200"/>
        <w:rPr>
          <w:rFonts w:eastAsia="Arial" w:cs="Arial"/>
          <w:sz w:val="20"/>
          <w:szCs w:val="20"/>
        </w:rPr>
      </w:pPr>
      <w:r>
        <w:rPr>
          <w:rFonts w:eastAsia="Arial" w:cs="Arial"/>
          <w:sz w:val="20"/>
          <w:szCs w:val="20"/>
        </w:rPr>
        <w:t>Although there is no precise, generally accepted definition of materiality, information is likely to be "material" if it relates to:</w:t>
      </w:r>
    </w:p>
    <w:p>
      <w:pPr>
        <w:numPr>
          <w:ilvl w:val="0"/>
          <w:numId w:val="582"/>
        </w:numPr>
        <w:spacing w:before="200"/>
        <w:ind w:left="720" w:hanging="192"/>
        <w:jc w:val="left"/>
        <w:rPr>
          <w:rFonts w:eastAsia="Arial" w:cs="Arial"/>
          <w:sz w:val="20"/>
          <w:szCs w:val="20"/>
        </w:rPr>
      </w:pPr>
      <w:r>
        <w:rPr>
          <w:rFonts w:eastAsia="Arial" w:cs="Arial"/>
          <w:sz w:val="20"/>
          <w:szCs w:val="20"/>
        </w:rPr>
        <w:t>Dividend or earnings results or expectations</w:t>
      </w:r>
    </w:p>
    <w:p>
      <w:pPr>
        <w:numPr>
          <w:ilvl w:val="0"/>
          <w:numId w:val="582"/>
        </w:numPr>
        <w:ind w:left="720" w:hanging="192"/>
        <w:jc w:val="left"/>
        <w:rPr>
          <w:rFonts w:eastAsia="Arial" w:cs="Arial"/>
          <w:sz w:val="20"/>
          <w:szCs w:val="20"/>
        </w:rPr>
      </w:pPr>
      <w:r>
        <w:rPr>
          <w:rFonts w:eastAsia="Arial" w:cs="Arial"/>
          <w:sz w:val="20"/>
          <w:szCs w:val="20"/>
        </w:rPr>
        <w:t>Financial forecasts</w:t>
      </w:r>
    </w:p>
    <w:p>
      <w:pPr>
        <w:numPr>
          <w:ilvl w:val="0"/>
          <w:numId w:val="582"/>
        </w:numPr>
        <w:ind w:left="720" w:hanging="192"/>
        <w:jc w:val="left"/>
        <w:rPr>
          <w:rFonts w:eastAsia="Arial" w:cs="Arial"/>
          <w:sz w:val="20"/>
          <w:szCs w:val="20"/>
        </w:rPr>
      </w:pPr>
      <w:r>
        <w:rPr>
          <w:rFonts w:eastAsia="Arial" w:cs="Arial"/>
          <w:sz w:val="20"/>
          <w:szCs w:val="20"/>
        </w:rPr>
        <w:t>Write-downs or write-offs of substantial assets</w:t>
      </w:r>
    </w:p>
    <w:p>
      <w:pPr>
        <w:numPr>
          <w:ilvl w:val="0"/>
          <w:numId w:val="582"/>
        </w:numPr>
        <w:ind w:left="720" w:hanging="192"/>
        <w:jc w:val="left"/>
        <w:rPr>
          <w:rFonts w:eastAsia="Arial" w:cs="Arial"/>
          <w:sz w:val="20"/>
          <w:szCs w:val="20"/>
        </w:rPr>
      </w:pPr>
      <w:r>
        <w:rPr>
          <w:rFonts w:eastAsia="Arial" w:cs="Arial"/>
          <w:sz w:val="20"/>
          <w:szCs w:val="20"/>
        </w:rPr>
        <w:t>Significant additions to reserves for bad debts or contingent liabilities</w:t>
      </w:r>
    </w:p>
    <w:p>
      <w:pPr>
        <w:numPr>
          <w:ilvl w:val="0"/>
          <w:numId w:val="582"/>
        </w:numPr>
        <w:ind w:left="720" w:hanging="192"/>
        <w:jc w:val="left"/>
        <w:rPr>
          <w:rFonts w:eastAsia="Arial" w:cs="Arial"/>
          <w:sz w:val="20"/>
          <w:szCs w:val="20"/>
        </w:rPr>
      </w:pPr>
      <w:r>
        <w:rPr>
          <w:rFonts w:eastAsia="Arial" w:cs="Arial"/>
          <w:sz w:val="20"/>
          <w:szCs w:val="20"/>
        </w:rPr>
        <w:t>Expansion or curtailment of significant operations</w:t>
      </w:r>
    </w:p>
    <w:p>
      <w:pPr>
        <w:numPr>
          <w:ilvl w:val="0"/>
          <w:numId w:val="582"/>
        </w:numPr>
        <w:ind w:left="720" w:hanging="192"/>
        <w:jc w:val="left"/>
        <w:rPr>
          <w:rFonts w:eastAsia="Arial" w:cs="Arial"/>
          <w:sz w:val="20"/>
          <w:szCs w:val="20"/>
        </w:rPr>
      </w:pPr>
      <w:r>
        <w:rPr>
          <w:rFonts w:eastAsia="Arial" w:cs="Arial"/>
          <w:sz w:val="20"/>
          <w:szCs w:val="20"/>
        </w:rPr>
        <w:t>Major personnel changes</w:t>
      </w:r>
    </w:p>
    <w:p>
      <w:pPr>
        <w:numPr>
          <w:ilvl w:val="0"/>
          <w:numId w:val="582"/>
        </w:numPr>
        <w:ind w:left="720" w:hanging="192"/>
        <w:jc w:val="left"/>
        <w:rPr>
          <w:rFonts w:eastAsia="Arial" w:cs="Arial"/>
          <w:sz w:val="20"/>
          <w:szCs w:val="20"/>
        </w:rPr>
      </w:pPr>
      <w:r>
        <w:rPr>
          <w:rFonts w:eastAsia="Arial" w:cs="Arial"/>
          <w:sz w:val="20"/>
          <w:szCs w:val="20"/>
        </w:rPr>
        <w:t>Proposals or agreements involving a joint venture, merger, acquisition, divestiture or leveraged buy-out</w:t>
      </w:r>
    </w:p>
    <w:p>
      <w:pPr>
        <w:numPr>
          <w:ilvl w:val="0"/>
          <w:numId w:val="582"/>
        </w:numPr>
        <w:ind w:left="720" w:hanging="192"/>
        <w:jc w:val="left"/>
        <w:rPr>
          <w:rFonts w:eastAsia="Arial" w:cs="Arial"/>
          <w:sz w:val="20"/>
          <w:szCs w:val="20"/>
        </w:rPr>
      </w:pPr>
      <w:r>
        <w:rPr>
          <w:rFonts w:eastAsia="Arial" w:cs="Arial"/>
          <w:sz w:val="20"/>
          <w:szCs w:val="20"/>
        </w:rPr>
        <w:t>Major financing developments</w:t>
      </w:r>
    </w:p>
    <w:p>
      <w:pPr>
        <w:numPr>
          <w:ilvl w:val="0"/>
          <w:numId w:val="582"/>
        </w:numPr>
        <w:ind w:left="720" w:hanging="192"/>
        <w:jc w:val="left"/>
        <w:rPr>
          <w:rFonts w:eastAsia="Arial" w:cs="Arial"/>
          <w:sz w:val="20"/>
          <w:szCs w:val="20"/>
        </w:rPr>
      </w:pPr>
      <w:r>
        <w:rPr>
          <w:rFonts w:eastAsia="Arial" w:cs="Arial"/>
          <w:sz w:val="20"/>
          <w:szCs w:val="20"/>
        </w:rPr>
        <w:t>The gain or loss of important contracts or clients</w:t>
      </w:r>
    </w:p>
    <w:p>
      <w:pPr>
        <w:numPr>
          <w:ilvl w:val="0"/>
          <w:numId w:val="582"/>
        </w:numPr>
        <w:ind w:left="720" w:hanging="192"/>
        <w:jc w:val="left"/>
        <w:rPr>
          <w:rFonts w:eastAsia="Arial" w:cs="Arial"/>
          <w:sz w:val="20"/>
          <w:szCs w:val="20"/>
        </w:rPr>
      </w:pPr>
      <w:r>
        <w:rPr>
          <w:rFonts w:eastAsia="Arial" w:cs="Arial"/>
          <w:sz w:val="20"/>
          <w:szCs w:val="20"/>
        </w:rPr>
        <w:t>Criminal indictments or material civil litigation or government investigations</w:t>
      </w:r>
    </w:p>
    <w:p>
      <w:pPr>
        <w:numPr>
          <w:ilvl w:val="0"/>
          <w:numId w:val="582"/>
        </w:numPr>
        <w:ind w:left="720" w:hanging="192"/>
        <w:jc w:val="left"/>
        <w:rPr>
          <w:rFonts w:eastAsia="Arial" w:cs="Arial"/>
          <w:sz w:val="20"/>
          <w:szCs w:val="20"/>
        </w:rPr>
      </w:pPr>
      <w:r>
        <w:rPr>
          <w:rFonts w:eastAsia="Arial" w:cs="Arial"/>
          <w:sz w:val="20"/>
          <w:szCs w:val="20"/>
        </w:rPr>
        <w:t>Labor disputes including strikes or lockouts</w:t>
      </w:r>
    </w:p>
    <w:p>
      <w:pPr>
        <w:numPr>
          <w:ilvl w:val="0"/>
          <w:numId w:val="582"/>
        </w:numPr>
        <w:ind w:left="720" w:hanging="192"/>
        <w:jc w:val="left"/>
        <w:rPr>
          <w:rFonts w:eastAsia="Arial" w:cs="Arial"/>
          <w:sz w:val="20"/>
          <w:szCs w:val="20"/>
        </w:rPr>
      </w:pPr>
      <w:r>
        <w:rPr>
          <w:rFonts w:eastAsia="Arial" w:cs="Arial"/>
          <w:sz w:val="20"/>
          <w:szCs w:val="20"/>
        </w:rPr>
        <w:t>Substantial changes in accounting methods</w:t>
      </w:r>
    </w:p>
    <w:p>
      <w:pPr>
        <w:numPr>
          <w:ilvl w:val="0"/>
          <w:numId w:val="582"/>
        </w:numPr>
        <w:ind w:left="720" w:hanging="192"/>
        <w:jc w:val="left"/>
        <w:rPr>
          <w:rFonts w:eastAsia="Arial" w:cs="Arial"/>
          <w:sz w:val="20"/>
          <w:szCs w:val="20"/>
        </w:rPr>
      </w:pPr>
      <w:r>
        <w:rPr>
          <w:rFonts w:eastAsia="Arial" w:cs="Arial"/>
          <w:sz w:val="20"/>
          <w:szCs w:val="20"/>
        </w:rPr>
        <w:t>Debt service or liquidity problems</w:t>
      </w:r>
    </w:p>
    <w:p>
      <w:pPr>
        <w:numPr>
          <w:ilvl w:val="0"/>
          <w:numId w:val="582"/>
        </w:numPr>
        <w:ind w:left="720" w:hanging="192"/>
        <w:jc w:val="left"/>
        <w:rPr>
          <w:rFonts w:eastAsia="Arial" w:cs="Arial"/>
          <w:sz w:val="20"/>
          <w:szCs w:val="20"/>
        </w:rPr>
      </w:pPr>
      <w:r>
        <w:rPr>
          <w:rFonts w:eastAsia="Arial" w:cs="Arial"/>
          <w:sz w:val="20"/>
          <w:szCs w:val="20"/>
        </w:rPr>
        <w:t>Bankruptcy or insolvency</w:t>
      </w:r>
    </w:p>
    <w:p>
      <w:pPr>
        <w:numPr>
          <w:ilvl w:val="0"/>
          <w:numId w:val="582"/>
        </w:numPr>
        <w:ind w:left="720" w:hanging="192"/>
        <w:jc w:val="left"/>
        <w:rPr>
          <w:rFonts w:eastAsia="Arial" w:cs="Arial"/>
          <w:sz w:val="20"/>
          <w:szCs w:val="20"/>
        </w:rPr>
      </w:pPr>
      <w:r>
        <w:rPr>
          <w:rFonts w:eastAsia="Arial" w:cs="Arial"/>
          <w:sz w:val="20"/>
          <w:szCs w:val="20"/>
        </w:rPr>
        <w:t>Extraordinary management developments</w:t>
      </w:r>
    </w:p>
    <w:p>
      <w:pPr>
        <w:numPr>
          <w:ilvl w:val="0"/>
          <w:numId w:val="582"/>
        </w:numPr>
        <w:ind w:left="720" w:hanging="192"/>
        <w:jc w:val="left"/>
        <w:rPr>
          <w:rFonts w:eastAsia="Arial" w:cs="Arial"/>
          <w:sz w:val="20"/>
          <w:szCs w:val="20"/>
        </w:rPr>
      </w:pPr>
      <w:r>
        <w:rPr>
          <w:rFonts w:eastAsia="Arial" w:cs="Arial"/>
          <w:sz w:val="20"/>
          <w:szCs w:val="20"/>
        </w:rPr>
        <w:t xml:space="preserve">Public offerings or private sales of debt or equity securities </w:t>
      </w:r>
    </w:p>
    <w:p>
      <w:pPr>
        <w:numPr>
          <w:ilvl w:val="0"/>
          <w:numId w:val="582"/>
        </w:numPr>
        <w:spacing w:after="200"/>
        <w:ind w:left="720" w:hanging="192"/>
        <w:jc w:val="left"/>
        <w:rPr>
          <w:rFonts w:eastAsia="Arial" w:cs="Arial"/>
          <w:sz w:val="20"/>
          <w:szCs w:val="20"/>
        </w:rPr>
      </w:pPr>
      <w:r>
        <w:rPr>
          <w:rFonts w:eastAsia="Arial" w:cs="Arial"/>
          <w:sz w:val="20"/>
          <w:szCs w:val="20"/>
        </w:rPr>
        <w:t>Calls, redemptions or purchases of securities</w:t>
      </w:r>
    </w:p>
    <w:p>
      <w:pPr>
        <w:pStyle w:val="normal0"/>
        <w:spacing w:before="200" w:after="200"/>
        <w:rPr>
          <w:rFonts w:eastAsia="Arial" w:cs="Arial"/>
          <w:sz w:val="20"/>
          <w:szCs w:val="20"/>
        </w:rPr>
      </w:pPr>
      <w:r>
        <w:rPr>
          <w:rFonts w:eastAsia="Arial" w:cs="Arial"/>
          <w:sz w:val="20"/>
          <w:szCs w:val="20"/>
        </w:rPr>
        <w:t>"Inside" information could be material because of its expected effect on the price of the issuer's securities, the securities of another company, or the securities of several companies. Moreover, the resulting prohibition against the misuse of "inside" information includes not only restrictions on trading in the issuer's securities, but restrictions on trading in the securities of other companies affected by the inside information as well (e.g., in the event the issuer was in negotiations to acquire a public company).</w:t>
      </w:r>
    </w:p>
    <w:p>
      <w:bookmarkEnd w:id="671"/>
      <w:bookmarkStart w:id="672" w:name="Sec_Chp_061016102255750_06101610335"/>
    </w:p>
    <w:p>
      <w:pPr>
        <w:pStyle w:val="Heading4"/>
      </w:pPr>
      <w:r>
        <w:t>10.3.3.6 Non-Public (Inside)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Information qualifies as "non-public" or "inside" information if it is information that has not been made available to investors generally. This includes information received from sources or in circumstances indicating that the information has not been circulated generally.</w:t>
      </w:r>
    </w:p>
    <w:p>
      <w:pPr>
        <w:pStyle w:val="normal0"/>
        <w:spacing w:before="200" w:after="200"/>
        <w:rPr>
          <w:rFonts w:eastAsia="Arial" w:cs="Arial"/>
          <w:sz w:val="20"/>
          <w:szCs w:val="20"/>
        </w:rPr>
      </w:pPr>
      <w:r>
        <w:rPr>
          <w:rFonts w:eastAsia="Arial" w:cs="Arial"/>
          <w:sz w:val="20"/>
          <w:szCs w:val="20"/>
        </w:rPr>
        <w:t>At such time as material, non-public information is released to the investing public, it loses its status as "inside" information. For "non-public" information to become public information, however, it must be disseminated through recognized channels of distribution designed to reach the securities marketplace, and sufficient time must pass for the information to become available in the market.</w:t>
      </w:r>
    </w:p>
    <w:p>
      <w:pPr>
        <w:pStyle w:val="normal0"/>
        <w:spacing w:before="200" w:after="200"/>
        <w:rPr>
          <w:rFonts w:eastAsia="Arial" w:cs="Arial"/>
          <w:sz w:val="20"/>
          <w:szCs w:val="20"/>
        </w:rPr>
      </w:pPr>
      <w:r>
        <w:rPr>
          <w:rFonts w:eastAsia="Arial" w:cs="Arial"/>
          <w:sz w:val="20"/>
          <w:szCs w:val="20"/>
        </w:rPr>
        <w:t>To show that information is public, it generally is necessary to point to some fact that establishes that the information has become generally available, such as disclosure by the filing of a definitive proxy statement, Form 10-Q, Form 10-K, Form 8-K or other report with the SEC or disclosure by release to a national business and financial wire service (e.g., Dow Jones or Reuters), a national news service or a national newspaper (e.g., The Wall Street Journal or The New York Times). The circulation of rumors or "talk on the street," even if accurate, widespread and reported in the media, may not constitute the requisite public disclosure.</w:t>
      </w:r>
    </w:p>
    <w:p>
      <w:pPr>
        <w:pStyle w:val="normal0"/>
        <w:spacing w:before="200" w:after="200"/>
        <w:rPr>
          <w:rFonts w:eastAsia="Arial" w:cs="Arial"/>
          <w:sz w:val="20"/>
          <w:szCs w:val="20"/>
        </w:rPr>
      </w:pPr>
      <w:r>
        <w:rPr>
          <w:rFonts w:eastAsia="Arial" w:cs="Arial"/>
          <w:sz w:val="20"/>
          <w:szCs w:val="20"/>
        </w:rPr>
        <w:t>Non-public information disclosed only to institutional investors or to an analyst or a favored group of analysts may retain its status as "non-public" information, the use of which is subject to insider trading laws. Similarly, partial disclosure does not constitute public dissemination. So long as any material component of the "inside" information has yet to be publicly disclosed, the information is deemed "non-public" and may not be traded upon.</w:t>
      </w:r>
    </w:p>
    <w:p>
      <w:bookmarkEnd w:id="672"/>
      <w:bookmarkStart w:id="673" w:name="Sec_Chp_061016102255750_06101610336"/>
    </w:p>
    <w:p>
      <w:pPr>
        <w:pStyle w:val="Heading4"/>
      </w:pPr>
      <w:r>
        <w:t>10.3.3.7 Tender Offers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Covered Person while in possession of material, nonpublic information regarding a tender offer (usually related to a merger or acquisition involving an acquiring company and a target company) received from the tender offeror or anyone acting on behalf of the tender offeror or tender offeree may trade on such information until the information is publicly disclosed.</w:t>
      </w:r>
    </w:p>
    <w:p>
      <w:bookmarkEnd w:id="673"/>
      <w:bookmarkStart w:id="674" w:name="Sec_Chp_061016102255750_061016102256171"/>
    </w:p>
    <w:p>
      <w:pPr>
        <w:pStyle w:val="Heading4"/>
      </w:pPr>
      <w:r>
        <w:t>10.3.3.8 Restricted Lists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 restricted list is a current list of securities in which proprietary, employee and certain solicited customer transactions are restricted or prohibited. At his or her discretion, the Chief Compliance Officer will place certain securities on a "restricted list" by completing the Restricted List Form and circulating it to employees. Securities that KCD or its investment staff have or expected to regularly have material, nonpublic information will be placed on the restricted list. </w:t>
      </w:r>
    </w:p>
    <w:p>
      <w:pPr>
        <w:pStyle w:val="normal0"/>
        <w:spacing w:before="200" w:after="200"/>
        <w:rPr>
          <w:rFonts w:eastAsia="Arial" w:cs="Arial"/>
          <w:sz w:val="20"/>
          <w:szCs w:val="20"/>
        </w:rPr>
      </w:pPr>
      <w:r>
        <w:rPr>
          <w:rFonts w:eastAsia="Arial" w:cs="Arial"/>
          <w:sz w:val="20"/>
          <w:szCs w:val="20"/>
        </w:rPr>
        <w:t>Employees are prohibited from personally, or on behalf of an advisory account, purchasing or selling securities during any period they are listed. If KCD or any of its investment staff have non-public information about an issuer of public securities, the Chief Compliance Officer shall take steps to immediately inform all employees of the securities listed on the Restricted List.</w:t>
      </w:r>
    </w:p>
    <w:p>
      <w:pPr>
        <w:pStyle w:val="normal0"/>
        <w:spacing w:before="200" w:after="200"/>
        <w:rPr>
          <w:rFonts w:eastAsia="Arial" w:cs="Arial"/>
          <w:sz w:val="20"/>
          <w:szCs w:val="20"/>
        </w:rPr>
      </w:pPr>
      <w:r>
        <w:rPr>
          <w:rFonts w:eastAsia="Arial" w:cs="Arial"/>
          <w:sz w:val="20"/>
          <w:szCs w:val="20"/>
        </w:rPr>
        <w:t>With respect to the Restricted List, the Chief Compliance Officer will create and maintain documentation that includes:</w:t>
      </w:r>
    </w:p>
    <w:p>
      <w:pPr>
        <w:numPr>
          <w:ilvl w:val="0"/>
          <w:numId w:val="583"/>
        </w:numPr>
        <w:spacing w:before="200"/>
        <w:ind w:left="720" w:hanging="192"/>
        <w:jc w:val="left"/>
        <w:rPr>
          <w:rFonts w:eastAsia="Arial" w:cs="Arial"/>
          <w:sz w:val="20"/>
          <w:szCs w:val="20"/>
        </w:rPr>
      </w:pPr>
      <w:r>
        <w:rPr>
          <w:rFonts w:eastAsia="Arial" w:cs="Arial"/>
          <w:sz w:val="20"/>
          <w:szCs w:val="20"/>
        </w:rPr>
        <w:t>the date and time the security was added to and deleted from the Restricted List;</w:t>
      </w:r>
    </w:p>
    <w:p>
      <w:pPr>
        <w:numPr>
          <w:ilvl w:val="0"/>
          <w:numId w:val="583"/>
        </w:numPr>
        <w:ind w:left="720" w:hanging="192"/>
        <w:jc w:val="left"/>
        <w:rPr>
          <w:rFonts w:eastAsia="Arial" w:cs="Arial"/>
          <w:sz w:val="20"/>
          <w:szCs w:val="20"/>
        </w:rPr>
      </w:pPr>
      <w:r>
        <w:rPr>
          <w:rFonts w:eastAsia="Arial" w:cs="Arial"/>
          <w:sz w:val="20"/>
          <w:szCs w:val="20"/>
        </w:rPr>
        <w:t>the name of each contact person (such as the applicable research analyst) who was responsible for the addition or deletion on the Restricted List; and</w:t>
      </w:r>
    </w:p>
    <w:p>
      <w:pPr>
        <w:numPr>
          <w:ilvl w:val="0"/>
          <w:numId w:val="583"/>
        </w:numPr>
        <w:spacing w:after="200"/>
        <w:ind w:left="720" w:hanging="192"/>
        <w:jc w:val="left"/>
        <w:rPr>
          <w:rFonts w:eastAsia="Arial" w:cs="Arial"/>
          <w:sz w:val="20"/>
          <w:szCs w:val="20"/>
        </w:rPr>
      </w:pPr>
      <w:r>
        <w:rPr>
          <w:rFonts w:eastAsia="Arial" w:cs="Arial"/>
          <w:sz w:val="20"/>
          <w:szCs w:val="20"/>
        </w:rPr>
        <w:t>rationale for placing or deleting the security on the Restricted List (optional).</w:t>
      </w:r>
    </w:p>
    <w:p>
      <w:bookmarkEnd w:id="674"/>
      <w:bookmarkStart w:id="675" w:name="Sec_Chp_061016102255750_061016102256187"/>
    </w:p>
    <w:p>
      <w:pPr>
        <w:pStyle w:val="Heading4"/>
      </w:pPr>
      <w:r>
        <w:t xml:space="preserve">10.3.3.9 Watch Lists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 watch list (also called a "grey list") is a current list of securities that generally do not carry trading restrictions, but whose trading is subject to close scrutiny by KCD's compliance personnel. At his or her discretion, the Chief Compliance Officer will place certain securities on a "watch list" by completing the Watch List Form and circulating it to the appropriate compliance personnel. Candidates of securities placed on the Watch List may include securities that KCD is intending to recommend to clients to purchase or sell, and securities that are the subject of a soon-to-be-published research analyst report. The placement of a security on a Watch List can have the unintended consequence of communicating to a wide audience at KCD that something is going on at the issuer of that security, including possible client trades in that security. Accordingly, the Watch List will be disclosed only to the Chief Compliance Officer and a limited number of other persons who are deemed to be necessary recipients of the Watch List because of their roles in compliance. </w:t>
      </w:r>
    </w:p>
    <w:p>
      <w:pPr>
        <w:pStyle w:val="normal0"/>
        <w:spacing w:before="200" w:after="200"/>
        <w:rPr>
          <w:rFonts w:eastAsia="Arial" w:cs="Arial"/>
          <w:sz w:val="20"/>
          <w:szCs w:val="20"/>
        </w:rPr>
      </w:pPr>
      <w:r>
        <w:rPr>
          <w:rFonts w:eastAsia="Arial" w:cs="Arial"/>
          <w:sz w:val="20"/>
          <w:szCs w:val="20"/>
        </w:rPr>
        <w:t>With respect to the Watch List, the Chief Compliance Officer will create and maintain documentation that includes:</w:t>
      </w:r>
    </w:p>
    <w:p>
      <w:pPr>
        <w:numPr>
          <w:ilvl w:val="0"/>
          <w:numId w:val="584"/>
        </w:numPr>
        <w:spacing w:before="200"/>
        <w:ind w:left="720" w:hanging="192"/>
        <w:jc w:val="left"/>
        <w:rPr>
          <w:rFonts w:eastAsia="Arial" w:cs="Arial"/>
          <w:sz w:val="20"/>
          <w:szCs w:val="20"/>
        </w:rPr>
      </w:pPr>
      <w:r>
        <w:rPr>
          <w:rFonts w:eastAsia="Arial" w:cs="Arial"/>
          <w:sz w:val="20"/>
          <w:szCs w:val="20"/>
        </w:rPr>
        <w:t>the date and time the security was added to and deleted from the Watch List;</w:t>
      </w:r>
    </w:p>
    <w:p>
      <w:pPr>
        <w:numPr>
          <w:ilvl w:val="0"/>
          <w:numId w:val="584"/>
        </w:numPr>
        <w:ind w:left="720" w:hanging="192"/>
        <w:jc w:val="left"/>
        <w:rPr>
          <w:rFonts w:eastAsia="Arial" w:cs="Arial"/>
          <w:sz w:val="20"/>
          <w:szCs w:val="20"/>
        </w:rPr>
      </w:pPr>
      <w:r>
        <w:rPr>
          <w:rFonts w:eastAsia="Arial" w:cs="Arial"/>
          <w:sz w:val="20"/>
          <w:szCs w:val="20"/>
        </w:rPr>
        <w:t>the name of each contact person (such as the involved research analyst) who was responsible for the addition or deletion on the Watch List; and</w:t>
      </w:r>
    </w:p>
    <w:p>
      <w:pPr>
        <w:numPr>
          <w:ilvl w:val="0"/>
          <w:numId w:val="584"/>
        </w:numPr>
        <w:spacing w:after="200"/>
        <w:ind w:left="720" w:hanging="192"/>
        <w:jc w:val="left"/>
        <w:rPr>
          <w:rFonts w:eastAsia="Arial" w:cs="Arial"/>
          <w:sz w:val="20"/>
          <w:szCs w:val="20"/>
        </w:rPr>
      </w:pPr>
      <w:r>
        <w:rPr>
          <w:rFonts w:eastAsia="Arial" w:cs="Arial"/>
          <w:sz w:val="20"/>
          <w:szCs w:val="20"/>
        </w:rPr>
        <w:t>rationale for placing or deleting the security on the Watch List.</w:t>
      </w:r>
    </w:p>
    <w:p>
      <w:bookmarkEnd w:id="675"/>
      <w:bookmarkStart w:id="676" w:name="Sec_Chp_061016102255750_061016102256203"/>
    </w:p>
    <w:p>
      <w:pPr>
        <w:pStyle w:val="Heading4"/>
      </w:pPr>
      <w:r>
        <w:t xml:space="preserve">10.3.3.10 Private Placement Memoranda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Upon the receipt of every private placement memorandum, the Chief Compliance Officer shall: </w:t>
      </w:r>
    </w:p>
    <w:p>
      <w:pPr>
        <w:numPr>
          <w:ilvl w:val="0"/>
          <w:numId w:val="585"/>
        </w:numPr>
        <w:spacing w:before="200"/>
        <w:ind w:left="720" w:hanging="267"/>
        <w:jc w:val="left"/>
        <w:rPr>
          <w:rFonts w:eastAsia="Arial" w:cs="Arial"/>
          <w:sz w:val="20"/>
          <w:szCs w:val="20"/>
        </w:rPr>
      </w:pPr>
      <w:r>
        <w:rPr>
          <w:rFonts w:eastAsia="Arial" w:cs="Arial"/>
          <w:sz w:val="20"/>
          <w:szCs w:val="20"/>
        </w:rPr>
        <w:t xml:space="preserve">log in the name of the issuer, the date the memorandum was received, and the name(s) of the addressee(s) and sender(s) of the memorandum; </w:t>
      </w:r>
    </w:p>
    <w:p>
      <w:pPr>
        <w:numPr>
          <w:ilvl w:val="0"/>
          <w:numId w:val="585"/>
        </w:numPr>
        <w:ind w:left="720" w:hanging="267"/>
        <w:jc w:val="left"/>
        <w:rPr>
          <w:rFonts w:eastAsia="Arial" w:cs="Arial"/>
          <w:sz w:val="20"/>
          <w:szCs w:val="20"/>
        </w:rPr>
      </w:pPr>
      <w:r>
        <w:rPr>
          <w:rFonts w:eastAsia="Arial" w:cs="Arial"/>
          <w:sz w:val="20"/>
          <w:szCs w:val="20"/>
        </w:rPr>
        <w:t xml:space="preserve">file the memorandum in a locked file cabinet; </w:t>
      </w:r>
    </w:p>
    <w:p>
      <w:pPr>
        <w:numPr>
          <w:ilvl w:val="0"/>
          <w:numId w:val="585"/>
        </w:numPr>
        <w:ind w:left="720" w:hanging="267"/>
        <w:jc w:val="left"/>
        <w:rPr>
          <w:rFonts w:eastAsia="Arial" w:cs="Arial"/>
          <w:sz w:val="20"/>
          <w:szCs w:val="20"/>
        </w:rPr>
      </w:pPr>
      <w:r>
        <w:rPr>
          <w:rFonts w:eastAsia="Arial" w:cs="Arial"/>
          <w:sz w:val="20"/>
          <w:szCs w:val="20"/>
        </w:rPr>
        <w:t xml:space="preserve">notify the addressee(s) of the arrival of the memorandum; </w:t>
      </w:r>
    </w:p>
    <w:p>
      <w:pPr>
        <w:numPr>
          <w:ilvl w:val="0"/>
          <w:numId w:val="585"/>
        </w:numPr>
        <w:ind w:left="720" w:hanging="267"/>
        <w:jc w:val="left"/>
        <w:rPr>
          <w:rFonts w:eastAsia="Arial" w:cs="Arial"/>
          <w:sz w:val="20"/>
          <w:szCs w:val="20"/>
        </w:rPr>
      </w:pPr>
      <w:r>
        <w:rPr>
          <w:rFonts w:eastAsia="Arial" w:cs="Arial"/>
          <w:sz w:val="20"/>
          <w:szCs w:val="20"/>
        </w:rPr>
        <w:t xml:space="preserve">place the name of the issuer of the securities on the Watch List; </w:t>
      </w:r>
    </w:p>
    <w:p>
      <w:pPr>
        <w:numPr>
          <w:ilvl w:val="0"/>
          <w:numId w:val="585"/>
        </w:numPr>
        <w:ind w:left="720" w:hanging="267"/>
        <w:jc w:val="left"/>
        <w:rPr>
          <w:rFonts w:eastAsia="Arial" w:cs="Arial"/>
          <w:sz w:val="20"/>
          <w:szCs w:val="20"/>
        </w:rPr>
      </w:pPr>
      <w:r>
        <w:rPr>
          <w:rFonts w:eastAsia="Arial" w:cs="Arial"/>
          <w:sz w:val="20"/>
          <w:szCs w:val="20"/>
        </w:rPr>
        <w:t xml:space="preserve">require anyone desiring to review the memorandum to log out the memorandum and instruct that person to not make copies of it; and </w:t>
      </w:r>
    </w:p>
    <w:p>
      <w:pPr>
        <w:numPr>
          <w:ilvl w:val="0"/>
          <w:numId w:val="585"/>
        </w:numPr>
        <w:spacing w:after="200"/>
        <w:ind w:left="720" w:hanging="267"/>
        <w:jc w:val="left"/>
        <w:rPr>
          <w:rFonts w:eastAsia="Arial" w:cs="Arial"/>
          <w:sz w:val="20"/>
          <w:szCs w:val="20"/>
        </w:rPr>
      </w:pPr>
      <w:r>
        <w:rPr>
          <w:rFonts w:eastAsia="Arial" w:cs="Arial"/>
          <w:sz w:val="20"/>
          <w:szCs w:val="20"/>
        </w:rPr>
        <w:t xml:space="preserve">continue the above procedures until 3 days after the next public earnings release by the issuer. </w:t>
      </w:r>
    </w:p>
    <w:p>
      <w:bookmarkEnd w:id="676"/>
      <w:bookmarkStart w:id="677" w:name="Sec_Chp_061016102255750_061016102256218"/>
    </w:p>
    <w:p>
      <w:pPr>
        <w:pStyle w:val="Heading4"/>
      </w:pPr>
      <w:r>
        <w:t>10.3.3.11 Contacts with Corporate Officers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an Adviser Representative contacts an officer of any publicly traded company regarding matters that may relate to any investment advisory account of KCD, he or she shall: </w:t>
      </w:r>
    </w:p>
    <w:p>
      <w:pPr>
        <w:numPr>
          <w:ilvl w:val="0"/>
          <w:numId w:val="586"/>
        </w:numPr>
        <w:spacing w:before="200"/>
        <w:ind w:left="720" w:hanging="267"/>
        <w:jc w:val="left"/>
        <w:rPr>
          <w:rFonts w:eastAsia="Arial" w:cs="Arial"/>
          <w:sz w:val="20"/>
          <w:szCs w:val="20"/>
        </w:rPr>
      </w:pPr>
      <w:r>
        <w:rPr>
          <w:rFonts w:eastAsia="Arial" w:cs="Arial"/>
          <w:sz w:val="20"/>
          <w:szCs w:val="20"/>
        </w:rPr>
        <w:t xml:space="preserve">maintain a log of all meetings with or calls to the corporation's insiders; and </w:t>
      </w:r>
    </w:p>
    <w:p>
      <w:pPr>
        <w:numPr>
          <w:ilvl w:val="0"/>
          <w:numId w:val="586"/>
        </w:numPr>
        <w:spacing w:after="200"/>
        <w:ind w:left="720" w:hanging="267"/>
        <w:jc w:val="left"/>
        <w:rPr>
          <w:rFonts w:eastAsia="Arial" w:cs="Arial"/>
          <w:sz w:val="20"/>
          <w:szCs w:val="20"/>
        </w:rPr>
      </w:pPr>
      <w:r>
        <w:rPr>
          <w:rFonts w:eastAsia="Arial" w:cs="Arial"/>
          <w:sz w:val="20"/>
          <w:szCs w:val="20"/>
        </w:rPr>
        <w:t>if uncertain whether he or she may trade or recommend trading based on information obtained in the course of any conversations, contact the Chief Compliance Officer, who, if appropriate, will consult with KCD's inside or outside legal counsel.</w:t>
      </w:r>
    </w:p>
    <w:p>
      <w:bookmarkEnd w:id="677"/>
      <w:bookmarkStart w:id="678" w:name="Sec_Chp_061016102255750_061016102256234"/>
    </w:p>
    <w:p>
      <w:pPr>
        <w:pStyle w:val="Heading4"/>
      </w:pPr>
      <w:r>
        <w:t>10.3.3.12 Monitoring Insider Trading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periodically will review employee trades and Firm trades on behalf of clients to verify compliance with KCD's insider trading procedures, and attempt to detect insider trading. KCD recognizes that insider trading may occur both at the employee-level and the firm-level, with the latter type of activity occurring because of KCD's (or individual portfolio manager's) desire to increase the performance of his or her advisory accounts.</w:t>
      </w:r>
    </w:p>
    <w:p>
      <w:pPr>
        <w:pStyle w:val="normal0"/>
        <w:spacing w:before="200" w:after="200"/>
        <w:rPr>
          <w:rFonts w:eastAsia="Arial" w:cs="Arial"/>
          <w:sz w:val="20"/>
          <w:szCs w:val="20"/>
        </w:rPr>
      </w:pPr>
      <w:r>
        <w:rPr>
          <w:rFonts w:eastAsia="Arial" w:cs="Arial"/>
          <w:sz w:val="20"/>
          <w:szCs w:val="20"/>
        </w:rPr>
        <w:t>Monitoring for insider trading shall include:</w:t>
      </w:r>
    </w:p>
    <w:p>
      <w:pPr>
        <w:numPr>
          <w:ilvl w:val="0"/>
          <w:numId w:val="587"/>
        </w:numPr>
        <w:spacing w:before="200"/>
        <w:ind w:left="720" w:hanging="192"/>
        <w:jc w:val="left"/>
        <w:rPr>
          <w:rFonts w:eastAsia="Arial" w:cs="Arial"/>
          <w:sz w:val="20"/>
          <w:szCs w:val="20"/>
        </w:rPr>
      </w:pPr>
      <w:r>
        <w:rPr>
          <w:rFonts w:eastAsia="Arial" w:cs="Arial"/>
          <w:sz w:val="20"/>
          <w:szCs w:val="20"/>
        </w:rPr>
        <w:t>Comparing employee trades with trades by KCD's advisory accounts and securities listed on "Restricted" and "Watch" lists;</w:t>
      </w:r>
    </w:p>
    <w:p>
      <w:pPr>
        <w:numPr>
          <w:ilvl w:val="0"/>
          <w:numId w:val="587"/>
        </w:numPr>
        <w:ind w:left="720" w:hanging="192"/>
        <w:jc w:val="left"/>
        <w:rPr>
          <w:rFonts w:eastAsia="Arial" w:cs="Arial"/>
          <w:sz w:val="20"/>
          <w:szCs w:val="20"/>
        </w:rPr>
      </w:pPr>
      <w:r>
        <w:rPr>
          <w:rFonts w:eastAsia="Arial" w:cs="Arial"/>
          <w:sz w:val="20"/>
          <w:szCs w:val="20"/>
        </w:rPr>
        <w:t>Periodically, the Chief Compliance Officer, by visiting Internet sites or by other means, will create a list of the top ten or more financial news stories involving publicly-traded shares of issuers and determine whether any of the employees or advisory accounts traded in those securities of issuers that were the subject of the news stories; and</w:t>
      </w:r>
    </w:p>
    <w:p>
      <w:pPr>
        <w:numPr>
          <w:ilvl w:val="0"/>
          <w:numId w:val="587"/>
        </w:numPr>
        <w:spacing w:after="200"/>
        <w:ind w:left="720" w:hanging="192"/>
        <w:jc w:val="left"/>
        <w:rPr>
          <w:rFonts w:eastAsia="Arial" w:cs="Arial"/>
          <w:sz w:val="20"/>
          <w:szCs w:val="20"/>
        </w:rPr>
      </w:pPr>
      <w:r>
        <w:rPr>
          <w:rFonts w:eastAsia="Arial" w:cs="Arial"/>
          <w:sz w:val="20"/>
          <w:szCs w:val="20"/>
        </w:rPr>
        <w:t>At least quarterly, generate a list of the top ten most profitable trades made by KCD on behalf of clients, KCD's own account and an employee's account and determine whether any of the issuers whose securities were traded were: (1) the subject of any of the news stories; or (2) had issued press releases during the relevant period.</w:t>
      </w:r>
    </w:p>
    <w:p>
      <w:pPr>
        <w:pStyle w:val="normal0"/>
        <w:spacing w:before="200" w:after="200"/>
        <w:rPr>
          <w:rFonts w:eastAsia="Arial" w:cs="Arial"/>
          <w:sz w:val="20"/>
          <w:szCs w:val="20"/>
        </w:rPr>
      </w:pPr>
      <w:r>
        <w:rPr>
          <w:rFonts w:eastAsia="Arial" w:cs="Arial"/>
          <w:sz w:val="20"/>
          <w:szCs w:val="20"/>
        </w:rPr>
        <w:t>KCD will make reasonable inquiries into and investigate for possible misuse of material, non-public information transactions by any employee or KCD's proprietary accounts, particularly those transactions in restricted list or watch list securities. The need for or extent of such an inquiry or investigation of an employee transaction will be determined by reasonable criteria, including consideration of the timing or unusual nature of the transaction, such as whether the employee traded on a short-term basis or in a size or dollar amount larger than his normal trading pattern.</w:t>
      </w:r>
    </w:p>
    <w:p>
      <w:pPr>
        <w:pStyle w:val="normal0"/>
        <w:spacing w:before="200" w:after="200"/>
        <w:rPr>
          <w:rFonts w:eastAsia="Arial" w:cs="Arial"/>
          <w:sz w:val="20"/>
          <w:szCs w:val="20"/>
        </w:rPr>
      </w:pPr>
      <w:r>
        <w:rPr>
          <w:rFonts w:eastAsia="Arial" w:cs="Arial"/>
          <w:sz w:val="20"/>
          <w:szCs w:val="20"/>
        </w:rPr>
        <w:t>Any investigations initiated will be documented. At a minimum, the investigation record shall include:</w:t>
      </w:r>
    </w:p>
    <w:p>
      <w:pPr>
        <w:numPr>
          <w:ilvl w:val="0"/>
          <w:numId w:val="588"/>
        </w:numPr>
        <w:spacing w:before="200"/>
        <w:ind w:left="720" w:hanging="192"/>
        <w:jc w:val="left"/>
        <w:rPr>
          <w:rFonts w:eastAsia="Arial" w:cs="Arial"/>
          <w:sz w:val="20"/>
          <w:szCs w:val="20"/>
        </w:rPr>
      </w:pPr>
      <w:r>
        <w:rPr>
          <w:rFonts w:eastAsia="Arial" w:cs="Arial"/>
          <w:sz w:val="20"/>
          <w:szCs w:val="20"/>
        </w:rPr>
        <w:t>the name of the security;</w:t>
      </w:r>
    </w:p>
    <w:p>
      <w:pPr>
        <w:numPr>
          <w:ilvl w:val="0"/>
          <w:numId w:val="588"/>
        </w:numPr>
        <w:ind w:left="720" w:hanging="192"/>
        <w:jc w:val="left"/>
        <w:rPr>
          <w:rFonts w:eastAsia="Arial" w:cs="Arial"/>
          <w:sz w:val="20"/>
          <w:szCs w:val="20"/>
        </w:rPr>
      </w:pPr>
      <w:r>
        <w:rPr>
          <w:rFonts w:eastAsia="Arial" w:cs="Arial"/>
          <w:sz w:val="20"/>
          <w:szCs w:val="20"/>
        </w:rPr>
        <w:t>the date the investigation commenced;</w:t>
      </w:r>
    </w:p>
    <w:p>
      <w:pPr>
        <w:numPr>
          <w:ilvl w:val="0"/>
          <w:numId w:val="588"/>
        </w:numPr>
        <w:ind w:left="720" w:hanging="192"/>
        <w:jc w:val="left"/>
        <w:rPr>
          <w:rFonts w:eastAsia="Arial" w:cs="Arial"/>
          <w:sz w:val="20"/>
          <w:szCs w:val="20"/>
        </w:rPr>
      </w:pPr>
      <w:r>
        <w:rPr>
          <w:rFonts w:eastAsia="Arial" w:cs="Arial"/>
          <w:sz w:val="20"/>
          <w:szCs w:val="20"/>
        </w:rPr>
        <w:t>an identification of the accounts involved;</w:t>
      </w:r>
    </w:p>
    <w:p>
      <w:pPr>
        <w:numPr>
          <w:ilvl w:val="0"/>
          <w:numId w:val="588"/>
        </w:numPr>
        <w:ind w:left="720" w:hanging="192"/>
        <w:jc w:val="left"/>
        <w:rPr>
          <w:rFonts w:eastAsia="Arial" w:cs="Arial"/>
          <w:sz w:val="20"/>
          <w:szCs w:val="20"/>
        </w:rPr>
      </w:pPr>
      <w:r>
        <w:rPr>
          <w:rFonts w:eastAsia="Arial" w:cs="Arial"/>
          <w:sz w:val="20"/>
          <w:szCs w:val="20"/>
        </w:rPr>
        <w:t>underlying investigative records (</w:t>
      </w:r>
      <w:r>
        <w:rPr>
          <w:rFonts w:eastAsia="Arial" w:cs="Arial"/>
          <w:i/>
          <w:iCs/>
          <w:sz w:val="20"/>
          <w:szCs w:val="20"/>
        </w:rPr>
        <w:t>e.g.,</w:t>
      </w:r>
      <w:r>
        <w:rPr>
          <w:rFonts w:eastAsia="Arial" w:cs="Arial"/>
          <w:sz w:val="20"/>
          <w:szCs w:val="20"/>
        </w:rPr>
        <w:t xml:space="preserve"> any analyses, interoffice memorandums and employee statements); and</w:t>
      </w:r>
    </w:p>
    <w:p>
      <w:pPr>
        <w:numPr>
          <w:ilvl w:val="0"/>
          <w:numId w:val="588"/>
        </w:numPr>
        <w:spacing w:after="200"/>
        <w:ind w:left="720" w:hanging="192"/>
        <w:jc w:val="left"/>
        <w:rPr>
          <w:rFonts w:eastAsia="Arial" w:cs="Arial"/>
          <w:sz w:val="20"/>
          <w:szCs w:val="20"/>
        </w:rPr>
      </w:pPr>
      <w:r>
        <w:rPr>
          <w:rFonts w:eastAsia="Arial" w:cs="Arial"/>
          <w:sz w:val="20"/>
          <w:szCs w:val="20"/>
        </w:rPr>
        <w:t>a summary of the investigation disposition.</w:t>
      </w:r>
    </w:p>
    <w:p>
      <w:bookmarkEnd w:id="678"/>
      <w:bookmarkStart w:id="679" w:name="Sec_Chp_061016102255750_061016102256250"/>
    </w:p>
    <w:p>
      <w:pPr>
        <w:pStyle w:val="Heading4"/>
      </w:pPr>
      <w:r>
        <w:t>10.3.3.13 Insider Trading Employee Training/Education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shall provide all employees of KCD with a copy of these procedures. All employees shall annually attend seminars or meetings providing education and training with respect to KCD's insider trading policies and procedures and insider trading in general. Periodically, KCD shall provide employees with written materials discussing these procedures and insider trading in general. </w:t>
      </w:r>
    </w:p>
    <w:p>
      <w:bookmarkEnd w:id="679"/>
      <w:bookmarkStart w:id="680" w:name="Sec_Chp_061016102255750_061016102256281"/>
    </w:p>
    <w:p>
      <w:pPr>
        <w:pStyle w:val="Heading4"/>
      </w:pPr>
      <w:r>
        <w:t xml:space="preserve">10.3.3.14 Reports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Periodically, the Chief Compliance Officer shall prepare a report reviewing the procedures implemented during the period covered and any deficiencies or noteworthy events occurring during the execution of the procedures. </w:t>
      </w:r>
    </w:p>
    <w:p>
      <w:bookmarkEnd w:id="680"/>
      <w:bookmarkStart w:id="681" w:name="Sec_Chp_061016102255750_061016103311"/>
    </w:p>
    <w:p>
      <w:pPr>
        <w:pStyle w:val="Heading4"/>
      </w:pPr>
      <w:r>
        <w:t>10.3.3.15 Expert Networks</w:t>
      </w:r>
    </w:p>
    <w:p/>
    <w:p>
      <w:pPr>
        <w:rPr>
          <w:rFonts w:eastAsia="Arial" w:cs="Arial"/>
          <w:sz w:val="16"/>
          <w:szCs w:val="16"/>
        </w:rPr>
      </w:pPr>
    </w:p>
    <w:p>
      <w:pPr>
        <w:pStyle w:val="normal0"/>
        <w:spacing w:after="200"/>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term "expert network" refers to firms that are in the business of connecting clients, principally institutional investors, with persons who are deemed to have special expertise in the client's area of interest. Experts can include academics, scientists, engineers, doctors, lawyers, suppliers, and professional participants in the relevant industry, including in some cases even former employees of the company of interest. The SEC is concerned that investment advisers might become exposed to material non-public information that can lead to insider trading. </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shall enter into arrangements with expert network consultants only pursuant to the following procedures:</w:t>
      </w:r>
    </w:p>
    <w:p>
      <w:pPr>
        <w:numPr>
          <w:ilvl w:val="0"/>
          <w:numId w:val="589"/>
        </w:numPr>
        <w:spacing w:before="200"/>
        <w:ind w:left="720" w:hanging="192"/>
        <w:jc w:val="left"/>
        <w:rPr>
          <w:rFonts w:eastAsia="Arial" w:cs="Arial"/>
          <w:sz w:val="20"/>
          <w:szCs w:val="20"/>
        </w:rPr>
      </w:pPr>
      <w:r>
        <w:rPr>
          <w:rFonts w:eastAsia="Arial" w:cs="Arial"/>
          <w:sz w:val="20"/>
          <w:szCs w:val="20"/>
        </w:rPr>
        <w:t>KCD and any of its employees may not seek material, non-public information from an expert network consultant;</w:t>
      </w:r>
    </w:p>
    <w:p>
      <w:pPr>
        <w:numPr>
          <w:ilvl w:val="0"/>
          <w:numId w:val="589"/>
        </w:numPr>
        <w:ind w:left="720" w:hanging="192"/>
        <w:jc w:val="left"/>
        <w:rPr>
          <w:rFonts w:eastAsia="Arial" w:cs="Arial"/>
          <w:sz w:val="20"/>
          <w:szCs w:val="20"/>
        </w:rPr>
      </w:pPr>
      <w:r>
        <w:rPr>
          <w:rFonts w:eastAsia="Arial" w:cs="Arial"/>
          <w:sz w:val="20"/>
          <w:szCs w:val="20"/>
        </w:rPr>
        <w:t>Prior to communicating with an expert network consultant, KCD will: (i) confirm that such expert network consultant has procedures governing its expert network activities, request a copy of such procedures and review such procedures; (ii) request a copy of and review the biographies of each non-clerical employee of the expert network consultant and consider the time frame since the expert network consultant was employed at a company where KCD is considering investing; (iii) inquire who at the expert network consultant approves experts and what processes are employed for checking the backgrounds of experts; and (iv) ascertain the contractual arrangements between the expert network consultants and their experts, including the compensation arrangement;</w:t>
      </w:r>
    </w:p>
    <w:p>
      <w:pPr>
        <w:numPr>
          <w:ilvl w:val="0"/>
          <w:numId w:val="589"/>
        </w:numPr>
        <w:ind w:left="720" w:hanging="192"/>
        <w:jc w:val="left"/>
        <w:rPr>
          <w:rFonts w:eastAsia="Arial" w:cs="Arial"/>
          <w:sz w:val="20"/>
          <w:szCs w:val="20"/>
        </w:rPr>
      </w:pPr>
      <w:r>
        <w:rPr>
          <w:rFonts w:eastAsia="Arial" w:cs="Arial"/>
          <w:sz w:val="20"/>
          <w:szCs w:val="20"/>
        </w:rPr>
        <w:t>Any engagement with an expert network consultant shall be approved only if KCD concludes that such network employs reasonable practices and compliance efforts, including a strong screening process with respect to employees;</w:t>
      </w:r>
    </w:p>
    <w:p>
      <w:pPr>
        <w:numPr>
          <w:ilvl w:val="0"/>
          <w:numId w:val="589"/>
        </w:numPr>
        <w:ind w:left="720" w:hanging="192"/>
        <w:jc w:val="left"/>
        <w:rPr>
          <w:rFonts w:eastAsia="Arial" w:cs="Arial"/>
          <w:sz w:val="20"/>
          <w:szCs w:val="20"/>
        </w:rPr>
      </w:pPr>
      <w:r>
        <w:rPr>
          <w:rFonts w:eastAsia="Arial" w:cs="Arial"/>
          <w:sz w:val="20"/>
          <w:szCs w:val="20"/>
        </w:rPr>
        <w:t>Prior to KCD employee meeting or otherwise communicating with the expert network consultant, KCD will inform the representative of the expert network consultant the following:</w:t>
      </w:r>
    </w:p>
    <w:p>
      <w:pPr>
        <w:numPr>
          <w:ilvl w:val="1"/>
          <w:numId w:val="589"/>
        </w:numPr>
        <w:ind w:left="1440" w:hanging="220"/>
        <w:jc w:val="left"/>
        <w:rPr>
          <w:rFonts w:eastAsia="Arial" w:cs="Arial"/>
          <w:sz w:val="20"/>
          <w:szCs w:val="20"/>
        </w:rPr>
      </w:pPr>
      <w:r>
        <w:rPr>
          <w:rFonts w:eastAsia="Arial" w:cs="Arial"/>
          <w:sz w:val="20"/>
          <w:szCs w:val="20"/>
        </w:rPr>
        <w:t>that the expert network consultant understands that KCD does not wish to receive material, nonpublic information;</w:t>
      </w:r>
    </w:p>
    <w:p>
      <w:pPr>
        <w:numPr>
          <w:ilvl w:val="1"/>
          <w:numId w:val="589"/>
        </w:numPr>
        <w:ind w:left="1440" w:hanging="220"/>
        <w:jc w:val="left"/>
        <w:rPr>
          <w:rFonts w:eastAsia="Arial" w:cs="Arial"/>
          <w:sz w:val="20"/>
          <w:szCs w:val="20"/>
        </w:rPr>
      </w:pPr>
      <w:r>
        <w:rPr>
          <w:rFonts w:eastAsia="Arial" w:cs="Arial"/>
          <w:sz w:val="20"/>
          <w:szCs w:val="20"/>
        </w:rPr>
        <w:t>that the expert network consultant has not breached, and will not breach, any confidential agreement or legal duty that the expert network consultant has to any party;</w:t>
      </w:r>
    </w:p>
    <w:p>
      <w:pPr>
        <w:numPr>
          <w:ilvl w:val="1"/>
          <w:numId w:val="589"/>
        </w:numPr>
        <w:ind w:left="1440" w:hanging="220"/>
        <w:jc w:val="left"/>
        <w:rPr>
          <w:rFonts w:eastAsia="Arial" w:cs="Arial"/>
          <w:sz w:val="20"/>
          <w:szCs w:val="20"/>
        </w:rPr>
      </w:pPr>
      <w:r>
        <w:rPr>
          <w:rFonts w:eastAsia="Arial" w:cs="Arial"/>
          <w:sz w:val="20"/>
          <w:szCs w:val="20"/>
        </w:rPr>
        <w:t>that no one else has breached a legal duty in providing the information to the expert network consultant;</w:t>
      </w:r>
    </w:p>
    <w:p>
      <w:pPr>
        <w:numPr>
          <w:ilvl w:val="1"/>
          <w:numId w:val="589"/>
        </w:numPr>
        <w:ind w:left="1440" w:hanging="220"/>
        <w:jc w:val="left"/>
        <w:rPr>
          <w:rFonts w:eastAsia="Arial" w:cs="Arial"/>
          <w:sz w:val="20"/>
          <w:szCs w:val="20"/>
        </w:rPr>
      </w:pPr>
      <w:r>
        <w:rPr>
          <w:rFonts w:eastAsia="Arial" w:cs="Arial"/>
          <w:sz w:val="20"/>
          <w:szCs w:val="20"/>
        </w:rPr>
        <w:t>that the expert network consultant is not an employee, affiliate or supplier of the issuer that will be discussed on the call;</w:t>
      </w:r>
    </w:p>
    <w:p>
      <w:pPr>
        <w:numPr>
          <w:ilvl w:val="1"/>
          <w:numId w:val="589"/>
        </w:numPr>
        <w:ind w:left="1440" w:hanging="220"/>
        <w:jc w:val="left"/>
        <w:rPr>
          <w:rFonts w:eastAsia="Arial" w:cs="Arial"/>
          <w:sz w:val="20"/>
          <w:szCs w:val="20"/>
        </w:rPr>
      </w:pPr>
      <w:r>
        <w:rPr>
          <w:rFonts w:eastAsia="Arial" w:cs="Arial"/>
          <w:sz w:val="20"/>
          <w:szCs w:val="20"/>
        </w:rPr>
        <w:t>that the expert network consultant did not pay an employee, affiliate or supplier of the relevant issuer in order to obtain the information; and</w:t>
      </w:r>
    </w:p>
    <w:p>
      <w:pPr>
        <w:numPr>
          <w:ilvl w:val="1"/>
          <w:numId w:val="589"/>
        </w:numPr>
        <w:ind w:left="1440" w:hanging="220"/>
        <w:jc w:val="left"/>
        <w:rPr>
          <w:rFonts w:eastAsia="Arial" w:cs="Arial"/>
          <w:sz w:val="20"/>
          <w:szCs w:val="20"/>
        </w:rPr>
      </w:pPr>
      <w:r>
        <w:rPr>
          <w:rFonts w:eastAsia="Arial" w:cs="Arial"/>
          <w:sz w:val="20"/>
          <w:szCs w:val="20"/>
        </w:rPr>
        <w:t>that the information the expert network consultant plans to provide was not obtained directly or indirectly by anyone who would not be able to assent to each of the foregoing representations;</w:t>
      </w:r>
    </w:p>
    <w:p>
      <w:pPr>
        <w:numPr>
          <w:ilvl w:val="0"/>
          <w:numId w:val="589"/>
        </w:numPr>
        <w:ind w:left="720" w:hanging="192"/>
        <w:jc w:val="left"/>
        <w:rPr>
          <w:rFonts w:eastAsia="Arial" w:cs="Arial"/>
          <w:sz w:val="20"/>
          <w:szCs w:val="20"/>
        </w:rPr>
      </w:pPr>
      <w:r>
        <w:rPr>
          <w:rFonts w:eastAsia="Arial" w:cs="Arial"/>
          <w:sz w:val="20"/>
          <w:szCs w:val="20"/>
        </w:rPr>
        <w:t>A Firm employee will not meet or communicate with an expert network consultant: (i) until he or she has received pre-clearance from the [Chief Compliance Officer] of KCD; and (ii) he or she has received training from KCD on expert network consultants within a year of the proposed meeting;</w:t>
      </w:r>
    </w:p>
    <w:p>
      <w:pPr>
        <w:numPr>
          <w:ilvl w:val="0"/>
          <w:numId w:val="589"/>
        </w:numPr>
        <w:ind w:left="720" w:hanging="192"/>
        <w:jc w:val="left"/>
        <w:rPr>
          <w:rFonts w:eastAsia="Arial" w:cs="Arial"/>
          <w:sz w:val="20"/>
          <w:szCs w:val="20"/>
        </w:rPr>
      </w:pPr>
      <w:r>
        <w:rPr>
          <w:rFonts w:eastAsia="Arial" w:cs="Arial"/>
          <w:sz w:val="20"/>
          <w:szCs w:val="20"/>
        </w:rPr>
        <w:t>If an employee believes he or she has obtained material, non-public information from an expert network consultant, he or she shall promptly notify the [Chief Compliance Officer] and KCD and such employee will refrain from trading any securities that are related to such information; and</w:t>
      </w:r>
    </w:p>
    <w:p>
      <w:pPr>
        <w:numPr>
          <w:ilvl w:val="0"/>
          <w:numId w:val="589"/>
        </w:numPr>
        <w:spacing w:after="200"/>
        <w:ind w:left="720" w:hanging="192"/>
        <w:jc w:val="left"/>
        <w:rPr>
          <w:rFonts w:eastAsia="Arial" w:cs="Arial"/>
          <w:sz w:val="20"/>
          <w:szCs w:val="20"/>
        </w:rPr>
      </w:pPr>
      <w:r>
        <w:rPr>
          <w:rFonts w:eastAsia="Arial" w:cs="Arial"/>
          <w:sz w:val="20"/>
          <w:szCs w:val="20"/>
        </w:rPr>
        <w:t>KCD employee meeting with the expert network consultant will create and maintain written records of: (i) the interaction with the expert network consultant, (ii) identification of personnel the firm employee interacted with, (iii) the expert network consultant's primary scope or source of knowledge, (iv) logs of telephone calls with the expert network consultant, and (v) summary of all the topics covered.</w:t>
      </w:r>
    </w:p>
    <w:p>
      <w:pPr>
        <w:pStyle w:val="normal0"/>
        <w:spacing w:before="200" w:after="200"/>
        <w:rPr>
          <w:rFonts w:eastAsia="Arial" w:cs="Arial"/>
          <w:sz w:val="20"/>
          <w:szCs w:val="20"/>
        </w:rPr>
      </w:pPr>
      <w:r>
        <w:rPr>
          <w:rFonts w:eastAsia="Arial" w:cs="Arial"/>
          <w:sz w:val="20"/>
          <w:szCs w:val="20"/>
        </w:rPr>
        <w:t xml:space="preserve">These procedures supplement and are in addition to KCD's insider trading procedures that appear in this manual, including the monitoring and surveillance that is designed to detect anyone trading a security on the basis of material, non-public information. </w:t>
      </w:r>
    </w:p>
    <w:p>
      <w:pPr>
        <w:pStyle w:val="normal0"/>
        <w:spacing w:before="200" w:after="200"/>
        <w:rPr>
          <w:rFonts w:eastAsia="Arial" w:cs="Arial"/>
          <w:sz w:val="20"/>
          <w:szCs w:val="20"/>
        </w:rPr>
      </w:pPr>
      <w:r>
        <w:rPr>
          <w:rFonts w:eastAsia="Arial" w:cs="Arial"/>
          <w:sz w:val="20"/>
          <w:szCs w:val="20"/>
        </w:rPr>
        <w:t>Periodically, the Chief Compliance Officer shall review the personal trading activity of each Firm employee who has interacted with an expert network with special emphasis on ascertaining and reviewing such employee's trades in issuers that the expert network provided information about.</w:t>
      </w:r>
    </w:p>
    <w:p>
      <w:bookmarkEnd w:id="681"/>
      <w:bookmarkStart w:id="682" w:name="Sec_Chp_061016102255750_06101103316"/>
    </w:p>
    <w:p>
      <w:pPr>
        <w:pStyle w:val="Heading4"/>
      </w:pPr>
      <w:r>
        <w:t>10.3.3.16 Contacts with Financial Analysts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Firm personnel may meet with financial analysts who cover particular corporate issuers. Areas covered may include management, competitive position, earnings and other analysts' views. This information may be packaged in a variety of formats. Firm personnel may acquire such information in a variety of formats, including surveys.</w:t>
      </w:r>
    </w:p>
    <w:p>
      <w:pPr>
        <w:pStyle w:val="normal0"/>
        <w:spacing w:before="200" w:after="200"/>
        <w:rPr>
          <w:rFonts w:eastAsia="Arial" w:cs="Arial"/>
          <w:sz w:val="20"/>
          <w:szCs w:val="20"/>
        </w:rPr>
      </w:pPr>
      <w:r>
        <w:rPr>
          <w:rFonts w:eastAsia="Arial" w:cs="Arial"/>
          <w:sz w:val="20"/>
          <w:szCs w:val="20"/>
        </w:rPr>
        <w:t xml:space="preserve">No advisory personnel will trade or otherwise act on information about an analyst's sentiment until such information has been publicly disseminated. </w:t>
      </w:r>
    </w:p>
    <w:p>
      <w:bookmarkEnd w:id="682"/>
      <w:bookmarkStart w:id="683" w:name="Sec_Chp_061016102255750_103318"/>
    </w:p>
    <w:p>
      <w:pPr>
        <w:pStyle w:val="Heading4"/>
      </w:pPr>
      <w:r>
        <w:t>10.3.3.17 Employee Training/Education</w:t>
      </w:r>
    </w:p>
    <w:p/>
    <w:p>
      <w:pPr>
        <w:rPr>
          <w:rFonts w:eastAsia="Arial" w:cs="Arial"/>
          <w:sz w:val="16"/>
          <w:szCs w:val="16"/>
        </w:rPr>
      </w:pPr>
    </w:p>
    <w:p>
      <w:pPr>
        <w:spacing w:after="200"/>
        <w:rPr>
          <w:rFonts w:eastAsia="Arial" w:cs="Arial"/>
          <w:sz w:val="20"/>
          <w:szCs w:val="20"/>
        </w:rPr>
      </w:pPr>
      <w:r>
        <w:rPr>
          <w:rFonts w:eastAsia="Arial" w:cs="Arial"/>
          <w:sz w:val="20"/>
          <w:szCs w:val="20"/>
        </w:rPr>
        <w:t>KCD has an overall goal to ensure that its Investment Adviser Representatives (IARs) receive continuing education and training on investment advisory regulations and related compliance topics relevant to their duties and obligations. In addition, certain IARs depending on their location and the location of the clients they serve may be subject to state initial and continuing education requirements. In such cases, KCD will take steps to ensure that IARs complete the required number of credits of continuing education during each applicable reporting period (</w:t>
      </w:r>
      <w:r>
        <w:rPr>
          <w:rFonts w:eastAsia="Arial" w:cs="Arial"/>
          <w:i/>
          <w:iCs/>
          <w:sz w:val="20"/>
          <w:szCs w:val="20"/>
        </w:rPr>
        <w:t>e.g.,</w:t>
      </w:r>
      <w:r>
        <w:rPr>
          <w:rFonts w:eastAsia="Arial" w:cs="Arial"/>
          <w:sz w:val="20"/>
          <w:szCs w:val="20"/>
        </w:rPr>
        <w:t xml:space="preserve"> one year). KCD believes that continuing education and training are vital so that IARs can competently and ethically serve Firm clients with whom they interact.</w:t>
      </w:r>
    </w:p>
    <w:p>
      <w:pPr>
        <w:spacing w:before="200" w:after="200"/>
        <w:rPr>
          <w:rFonts w:eastAsia="Arial" w:cs="Arial"/>
          <w:sz w:val="20"/>
          <w:szCs w:val="20"/>
        </w:rPr>
      </w:pPr>
      <w:r>
        <w:rPr>
          <w:rFonts w:eastAsia="Arial" w:cs="Arial"/>
          <w:sz w:val="20"/>
          <w:szCs w:val="20"/>
        </w:rPr>
        <w:t>KCD will retain only credible and professional competent vendors to provide employee training and education including verifying that they are deemed qualified by the North America Securities Administrators Association, Inc. (NASAA). When reviewing vendors, KCD shall consider a number of factors including:</w:t>
      </w:r>
    </w:p>
    <w:p>
      <w:pPr>
        <w:numPr>
          <w:ilvl w:val="0"/>
          <w:numId w:val="590"/>
        </w:numPr>
        <w:spacing w:before="200"/>
        <w:ind w:left="720" w:hanging="192"/>
        <w:jc w:val="left"/>
        <w:rPr>
          <w:rFonts w:eastAsia="Arial" w:cs="Arial"/>
          <w:sz w:val="20"/>
          <w:szCs w:val="20"/>
        </w:rPr>
      </w:pPr>
      <w:r>
        <w:rPr>
          <w:rFonts w:eastAsia="Arial" w:cs="Arial"/>
          <w:sz w:val="20"/>
          <w:szCs w:val="20"/>
        </w:rPr>
        <w:t>Ability to meet the learning objectives and goals of KCD's compliance training and education objectives;</w:t>
      </w:r>
    </w:p>
    <w:p>
      <w:pPr>
        <w:numPr>
          <w:ilvl w:val="0"/>
          <w:numId w:val="590"/>
        </w:numPr>
        <w:ind w:left="720" w:hanging="192"/>
        <w:jc w:val="left"/>
        <w:rPr>
          <w:rFonts w:eastAsia="Arial" w:cs="Arial"/>
          <w:sz w:val="20"/>
          <w:szCs w:val="20"/>
        </w:rPr>
      </w:pPr>
      <w:r>
        <w:rPr>
          <w:rFonts w:eastAsia="Arial" w:cs="Arial"/>
          <w:sz w:val="20"/>
          <w:szCs w:val="20"/>
        </w:rPr>
        <w:t>Quality of instructors and materials;</w:t>
      </w:r>
    </w:p>
    <w:p>
      <w:pPr>
        <w:numPr>
          <w:ilvl w:val="0"/>
          <w:numId w:val="590"/>
        </w:numPr>
        <w:ind w:left="720" w:hanging="192"/>
        <w:jc w:val="left"/>
        <w:rPr>
          <w:rFonts w:eastAsia="Arial" w:cs="Arial"/>
          <w:sz w:val="20"/>
          <w:szCs w:val="20"/>
        </w:rPr>
      </w:pPr>
      <w:r>
        <w:rPr>
          <w:rFonts w:eastAsia="Arial" w:cs="Arial"/>
          <w:sz w:val="20"/>
          <w:szCs w:val="20"/>
        </w:rPr>
        <w:t>Qualifications of instructors;</w:t>
      </w:r>
    </w:p>
    <w:p>
      <w:pPr>
        <w:numPr>
          <w:ilvl w:val="0"/>
          <w:numId w:val="590"/>
        </w:numPr>
        <w:ind w:left="720" w:hanging="192"/>
        <w:jc w:val="left"/>
        <w:rPr>
          <w:rFonts w:eastAsia="Arial" w:cs="Arial"/>
          <w:sz w:val="20"/>
          <w:szCs w:val="20"/>
        </w:rPr>
      </w:pPr>
      <w:r>
        <w:rPr>
          <w:rFonts w:eastAsia="Arial" w:cs="Arial"/>
          <w:sz w:val="20"/>
          <w:szCs w:val="20"/>
        </w:rPr>
        <w:t>Experience in delivering educational content, such as training or continuing education;</w:t>
      </w:r>
    </w:p>
    <w:p>
      <w:pPr>
        <w:numPr>
          <w:ilvl w:val="0"/>
          <w:numId w:val="590"/>
        </w:numPr>
        <w:ind w:left="720" w:hanging="192"/>
        <w:jc w:val="left"/>
        <w:rPr>
          <w:rFonts w:eastAsia="Arial" w:cs="Arial"/>
          <w:sz w:val="20"/>
          <w:szCs w:val="20"/>
        </w:rPr>
      </w:pPr>
      <w:r>
        <w:rPr>
          <w:rFonts w:eastAsia="Arial" w:cs="Arial"/>
          <w:sz w:val="20"/>
          <w:szCs w:val="20"/>
        </w:rPr>
        <w:t>Prior customer/student evaluations;</w:t>
      </w:r>
    </w:p>
    <w:p>
      <w:pPr>
        <w:numPr>
          <w:ilvl w:val="0"/>
          <w:numId w:val="590"/>
        </w:numPr>
        <w:ind w:left="720" w:hanging="192"/>
        <w:jc w:val="left"/>
        <w:rPr>
          <w:rFonts w:eastAsia="Arial" w:cs="Arial"/>
          <w:sz w:val="20"/>
          <w:szCs w:val="20"/>
        </w:rPr>
      </w:pPr>
      <w:r>
        <w:rPr>
          <w:rFonts w:eastAsia="Arial" w:cs="Arial"/>
          <w:sz w:val="20"/>
          <w:szCs w:val="20"/>
        </w:rPr>
        <w:t>Timeliness of content;</w:t>
      </w:r>
    </w:p>
    <w:p>
      <w:pPr>
        <w:numPr>
          <w:ilvl w:val="0"/>
          <w:numId w:val="590"/>
        </w:numPr>
        <w:ind w:left="720" w:hanging="192"/>
        <w:jc w:val="left"/>
        <w:rPr>
          <w:rFonts w:eastAsia="Arial" w:cs="Arial"/>
          <w:sz w:val="20"/>
          <w:szCs w:val="20"/>
        </w:rPr>
      </w:pPr>
      <w:r>
        <w:rPr>
          <w:rFonts w:eastAsia="Arial" w:cs="Arial"/>
          <w:sz w:val="20"/>
          <w:szCs w:val="20"/>
        </w:rPr>
        <w:t>Ability to track and report course/content completion; and</w:t>
      </w:r>
    </w:p>
    <w:p>
      <w:pPr>
        <w:numPr>
          <w:ilvl w:val="0"/>
          <w:numId w:val="590"/>
        </w:numPr>
        <w:spacing w:after="200"/>
        <w:ind w:left="720" w:hanging="192"/>
        <w:jc w:val="left"/>
        <w:rPr>
          <w:rFonts w:eastAsia="Arial" w:cs="Arial"/>
          <w:sz w:val="20"/>
          <w:szCs w:val="20"/>
        </w:rPr>
      </w:pPr>
      <w:r>
        <w:rPr>
          <w:rFonts w:eastAsia="Arial" w:cs="Arial"/>
          <w:sz w:val="20"/>
          <w:szCs w:val="20"/>
        </w:rPr>
        <w:t>Prior experience in the financial services industry.</w:t>
      </w:r>
    </w:p>
    <w:p>
      <w:bookmarkEnd w:id="683"/>
      <w:bookmarkStart w:id="684" w:name="Sec_Chp_061016102255750_061016102256296"/>
    </w:p>
    <w:p>
      <w:pPr>
        <w:pStyle w:val="Heading3"/>
      </w:pPr>
      <w:bookmarkStart w:id="685" w:name="_Toc256000186"/>
      <w:r>
        <w:t>10.3.4 Outside Business Activities</w:t>
      </w:r>
      <w:bookmarkEnd w:id="685"/>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An Adviser Representative or employee of KCD will be engaged in an outside business activity if he or she: </w:t>
      </w:r>
    </w:p>
    <w:p>
      <w:pPr>
        <w:numPr>
          <w:ilvl w:val="0"/>
          <w:numId w:val="591"/>
        </w:numPr>
        <w:spacing w:before="200"/>
        <w:ind w:left="720" w:hanging="192"/>
        <w:jc w:val="left"/>
        <w:rPr>
          <w:rFonts w:eastAsia="Arial" w:cs="Arial"/>
          <w:sz w:val="20"/>
          <w:szCs w:val="20"/>
        </w:rPr>
      </w:pPr>
      <w:r>
        <w:rPr>
          <w:rFonts w:eastAsia="Arial" w:cs="Arial"/>
          <w:sz w:val="20"/>
          <w:szCs w:val="20"/>
        </w:rPr>
        <w:t xml:space="preserve">serves as general partner, officer or employee of any business organization; </w:t>
      </w:r>
    </w:p>
    <w:p>
      <w:pPr>
        <w:numPr>
          <w:ilvl w:val="0"/>
          <w:numId w:val="591"/>
        </w:numPr>
        <w:ind w:left="720" w:hanging="192"/>
        <w:jc w:val="left"/>
        <w:rPr>
          <w:rFonts w:eastAsia="Arial" w:cs="Arial"/>
          <w:sz w:val="20"/>
          <w:szCs w:val="20"/>
        </w:rPr>
      </w:pPr>
      <w:r>
        <w:rPr>
          <w:rFonts w:eastAsia="Arial" w:cs="Arial"/>
          <w:sz w:val="20"/>
          <w:szCs w:val="20"/>
        </w:rPr>
        <w:t xml:space="preserve">receives compensation in any form from a business organization; or </w:t>
      </w:r>
    </w:p>
    <w:p>
      <w:pPr>
        <w:numPr>
          <w:ilvl w:val="0"/>
          <w:numId w:val="591"/>
        </w:numPr>
        <w:spacing w:after="200"/>
        <w:ind w:left="720" w:hanging="192"/>
        <w:jc w:val="left"/>
        <w:rPr>
          <w:rFonts w:eastAsia="Arial" w:cs="Arial"/>
          <w:sz w:val="20"/>
          <w:szCs w:val="20"/>
        </w:rPr>
      </w:pPr>
      <w:r>
        <w:rPr>
          <w:rFonts w:eastAsia="Arial" w:cs="Arial"/>
          <w:sz w:val="20"/>
          <w:szCs w:val="20"/>
        </w:rPr>
        <w:t xml:space="preserve">serves as a director of any business organization. </w:t>
      </w:r>
    </w:p>
    <w:p>
      <w:bookmarkEnd w:id="684"/>
      <w:bookmarkStart w:id="686" w:name="Sec_Chp_061016102255750_061016102256312"/>
    </w:p>
    <w:p>
      <w:pPr>
        <w:pStyle w:val="Heading4"/>
      </w:pPr>
      <w:r>
        <w:t>10.3.4.1 Adviser Representatives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the policy of KCD to require all investment adviser representatives to notify KCD in writing of any employment or receipt of compensation outside their relationship with KCD. The investment adviser representative may not proceed with the outside business activity until he or she receives written approval from KCD.</w:t>
      </w:r>
    </w:p>
    <w:p>
      <w:pPr>
        <w:pStyle w:val="normal0"/>
        <w:spacing w:before="200" w:after="200"/>
        <w:rPr>
          <w:rFonts w:eastAsia="Arial" w:cs="Arial"/>
          <w:sz w:val="20"/>
          <w:szCs w:val="20"/>
        </w:rPr>
      </w:pPr>
      <w:r>
        <w:rPr>
          <w:rFonts w:eastAsia="Arial" w:cs="Arial"/>
          <w:sz w:val="20"/>
          <w:szCs w:val="20"/>
        </w:rPr>
        <w:t xml:space="preserve">To engage in an outside employment activity, an Adviser Representative and any other employee must complete an Outside Business Activity Form and submit the form to the Chief Compliance Officer. In the Outside Business Activity Form, the Adviser Representative or employee will provide: </w:t>
      </w:r>
    </w:p>
    <w:p>
      <w:pPr>
        <w:numPr>
          <w:ilvl w:val="0"/>
          <w:numId w:val="592"/>
        </w:numPr>
        <w:spacing w:before="200"/>
        <w:ind w:left="720" w:hanging="267"/>
        <w:jc w:val="left"/>
        <w:rPr>
          <w:rFonts w:eastAsia="Arial" w:cs="Arial"/>
          <w:sz w:val="20"/>
          <w:szCs w:val="20"/>
        </w:rPr>
      </w:pPr>
      <w:r>
        <w:rPr>
          <w:rFonts w:eastAsia="Arial" w:cs="Arial"/>
          <w:sz w:val="20"/>
          <w:szCs w:val="20"/>
        </w:rPr>
        <w:t xml:space="preserve">the name and address of the outside business organization; </w:t>
      </w:r>
    </w:p>
    <w:p>
      <w:pPr>
        <w:numPr>
          <w:ilvl w:val="0"/>
          <w:numId w:val="592"/>
        </w:numPr>
        <w:ind w:left="720" w:hanging="267"/>
        <w:jc w:val="left"/>
        <w:rPr>
          <w:rFonts w:eastAsia="Arial" w:cs="Arial"/>
          <w:sz w:val="20"/>
          <w:szCs w:val="20"/>
        </w:rPr>
      </w:pPr>
      <w:r>
        <w:rPr>
          <w:rFonts w:eastAsia="Arial" w:cs="Arial"/>
          <w:sz w:val="20"/>
          <w:szCs w:val="20"/>
        </w:rPr>
        <w:t xml:space="preserve">a description of the business of the organization; </w:t>
      </w:r>
    </w:p>
    <w:p>
      <w:pPr>
        <w:numPr>
          <w:ilvl w:val="0"/>
          <w:numId w:val="592"/>
        </w:numPr>
        <w:ind w:left="720" w:hanging="267"/>
        <w:jc w:val="left"/>
        <w:rPr>
          <w:rFonts w:eastAsia="Arial" w:cs="Arial"/>
          <w:sz w:val="20"/>
          <w:szCs w:val="20"/>
        </w:rPr>
      </w:pPr>
      <w:r>
        <w:rPr>
          <w:rFonts w:eastAsia="Arial" w:cs="Arial"/>
          <w:sz w:val="20"/>
          <w:szCs w:val="20"/>
        </w:rPr>
        <w:t xml:space="preserve">the reasons why approval should be granted; </w:t>
      </w:r>
    </w:p>
    <w:p>
      <w:pPr>
        <w:numPr>
          <w:ilvl w:val="0"/>
          <w:numId w:val="592"/>
        </w:numPr>
        <w:ind w:left="720" w:hanging="267"/>
        <w:jc w:val="left"/>
        <w:rPr>
          <w:rFonts w:eastAsia="Arial" w:cs="Arial"/>
          <w:sz w:val="20"/>
          <w:szCs w:val="20"/>
        </w:rPr>
      </w:pPr>
      <w:r>
        <w:rPr>
          <w:rFonts w:eastAsia="Arial" w:cs="Arial"/>
          <w:sz w:val="20"/>
          <w:szCs w:val="20"/>
        </w:rPr>
        <w:t xml:space="preserve">compensation (if any) to be received; </w:t>
      </w:r>
    </w:p>
    <w:p>
      <w:pPr>
        <w:numPr>
          <w:ilvl w:val="0"/>
          <w:numId w:val="592"/>
        </w:numPr>
        <w:ind w:left="720" w:hanging="267"/>
        <w:jc w:val="left"/>
        <w:rPr>
          <w:rFonts w:eastAsia="Arial" w:cs="Arial"/>
          <w:sz w:val="20"/>
          <w:szCs w:val="20"/>
        </w:rPr>
      </w:pPr>
      <w:r>
        <w:rPr>
          <w:rFonts w:eastAsia="Arial" w:cs="Arial"/>
          <w:sz w:val="20"/>
          <w:szCs w:val="20"/>
        </w:rPr>
        <w:t xml:space="preserve">a description of the activities that will be performed; and </w:t>
      </w:r>
    </w:p>
    <w:p>
      <w:pPr>
        <w:numPr>
          <w:ilvl w:val="0"/>
          <w:numId w:val="592"/>
        </w:numPr>
        <w:spacing w:after="200"/>
        <w:ind w:left="720" w:hanging="267"/>
        <w:jc w:val="left"/>
        <w:rPr>
          <w:rFonts w:eastAsia="Arial" w:cs="Arial"/>
          <w:sz w:val="20"/>
          <w:szCs w:val="20"/>
        </w:rPr>
      </w:pPr>
      <w:r>
        <w:rPr>
          <w:rFonts w:eastAsia="Arial" w:cs="Arial"/>
          <w:sz w:val="20"/>
          <w:szCs w:val="20"/>
        </w:rPr>
        <w:t xml:space="preserve">the amount of time per month that will be spent at the outside organization. </w:t>
      </w:r>
    </w:p>
    <w:p>
      <w:pPr>
        <w:pStyle w:val="normal0"/>
        <w:spacing w:before="200" w:after="200"/>
        <w:rPr>
          <w:rFonts w:eastAsia="Arial" w:cs="Arial"/>
          <w:sz w:val="20"/>
          <w:szCs w:val="20"/>
        </w:rPr>
      </w:pPr>
      <w:r>
        <w:rPr>
          <w:rFonts w:eastAsia="Arial" w:cs="Arial"/>
          <w:sz w:val="20"/>
          <w:szCs w:val="20"/>
        </w:rPr>
        <w:t>Each investment adviser representative must confirm, on an annual basis, any outside business activities with the Chief Compliance Officer.</w:t>
      </w:r>
    </w:p>
    <w:p>
      <w:bookmarkEnd w:id="686"/>
      <w:bookmarkStart w:id="687" w:name="Sec_Chp_061016102255750_061016102256328"/>
    </w:p>
    <w:p>
      <w:pPr>
        <w:pStyle w:val="Heading4"/>
      </w:pPr>
      <w:r>
        <w:t xml:space="preserve">10.3.4.2 Investment Clubs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An Adviser Representative may neither become a member of an investment club nor make recommendations regarding securities for any investment club. </w:t>
      </w:r>
    </w:p>
    <w:p>
      <w:bookmarkEnd w:id="687"/>
      <w:bookmarkStart w:id="688" w:name="Sec_Chp_061016102255750_061016102256343"/>
    </w:p>
    <w:p>
      <w:pPr>
        <w:pStyle w:val="Heading4"/>
      </w:pPr>
      <w:r>
        <w:t xml:space="preserve">10.3.4.3 Review Procedures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will review the information supplied by each employee engaging in an outside business activity and independently verify that the information is correct, including the nature and the extent of the outside business activities and the employee's outside sources of income. </w:t>
      </w:r>
    </w:p>
    <w:p>
      <w:bookmarkEnd w:id="688"/>
      <w:bookmarkStart w:id="689" w:name="Sec_Chp_061016102255750_061016102256344"/>
    </w:p>
    <w:p>
      <w:pPr>
        <w:pStyle w:val="Heading4"/>
      </w:pPr>
      <w:r>
        <w:t>10.3.4.4 Employees Serving as Officers or Directors of Portfolio Companies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under the following conditions grant permission to an employee to serve as a director, officer or in a similar capacity of a company the securities of which KCD is considering to acquire or has acquired for one or more clients ("Portfolio Companies"):</w:t>
      </w:r>
    </w:p>
    <w:p>
      <w:pPr>
        <w:numPr>
          <w:ilvl w:val="0"/>
          <w:numId w:val="593"/>
        </w:numPr>
        <w:spacing w:before="200"/>
        <w:ind w:left="720" w:hanging="192"/>
        <w:jc w:val="left"/>
        <w:rPr>
          <w:rFonts w:eastAsia="Arial" w:cs="Arial"/>
          <w:sz w:val="20"/>
          <w:szCs w:val="20"/>
        </w:rPr>
      </w:pPr>
      <w:r>
        <w:rPr>
          <w:rFonts w:eastAsia="Arial" w:cs="Arial"/>
          <w:sz w:val="20"/>
          <w:szCs w:val="20"/>
        </w:rPr>
        <w:t>KCD determines that it is in the best interests of a client for an employee to serve as an outside officer, director or in a similar capacity such as the case when a Portfolio Company is being reorganized or is in bankruptcy;</w:t>
      </w:r>
    </w:p>
    <w:p>
      <w:pPr>
        <w:numPr>
          <w:ilvl w:val="0"/>
          <w:numId w:val="593"/>
        </w:numPr>
        <w:ind w:left="720" w:hanging="192"/>
        <w:jc w:val="left"/>
        <w:rPr>
          <w:rFonts w:eastAsia="Arial" w:cs="Arial"/>
          <w:sz w:val="20"/>
          <w:szCs w:val="20"/>
        </w:rPr>
      </w:pPr>
      <w:r>
        <w:rPr>
          <w:rFonts w:eastAsia="Arial" w:cs="Arial"/>
          <w:sz w:val="20"/>
          <w:szCs w:val="20"/>
        </w:rPr>
        <w:t>KCD seeks to establish a business relationship with the Portfolio Company; and</w:t>
      </w:r>
    </w:p>
    <w:p>
      <w:pPr>
        <w:numPr>
          <w:ilvl w:val="0"/>
          <w:numId w:val="593"/>
        </w:numPr>
        <w:spacing w:after="200"/>
        <w:ind w:left="720" w:hanging="192"/>
        <w:jc w:val="left"/>
        <w:rPr>
          <w:rFonts w:eastAsia="Arial" w:cs="Arial"/>
          <w:sz w:val="20"/>
          <w:szCs w:val="20"/>
        </w:rPr>
      </w:pPr>
      <w:r>
        <w:rPr>
          <w:rFonts w:eastAsia="Arial" w:cs="Arial"/>
          <w:sz w:val="20"/>
          <w:szCs w:val="20"/>
        </w:rPr>
        <w:t>KCD concludes that an employee holding such a position will not harm or otherwise not be in the best interests of KCD or its client.</w:t>
      </w:r>
    </w:p>
    <w:p>
      <w:pPr>
        <w:pStyle w:val="normal0"/>
        <w:spacing w:before="200" w:after="200"/>
        <w:rPr>
          <w:rFonts w:eastAsia="Arial" w:cs="Arial"/>
          <w:sz w:val="20"/>
          <w:szCs w:val="20"/>
        </w:rPr>
      </w:pPr>
      <w:r>
        <w:rPr>
          <w:rFonts w:eastAsia="Arial" w:cs="Arial"/>
          <w:sz w:val="20"/>
          <w:szCs w:val="20"/>
        </w:rPr>
        <w:t>Prior to accepting a position as an outside officer, director or in a similar capacity of a Portfolio Company, an employee will notify senior management of KCD and request KCD's approval in writing of the employee holding such a position.</w:t>
      </w:r>
    </w:p>
    <w:p>
      <w:bookmarkEnd w:id="689"/>
      <w:bookmarkStart w:id="690" w:name="Sec_Chp_061016102255750_061016102256359"/>
    </w:p>
    <w:p>
      <w:pPr>
        <w:pStyle w:val="Heading3"/>
      </w:pPr>
      <w:bookmarkStart w:id="691" w:name="_Toc256000187"/>
      <w:r>
        <w:t>10.3.5 Designations</w:t>
      </w:r>
      <w:bookmarkEnd w:id="691"/>
      <w:r>
        <w:t xml:space="preserve"> </w:t>
      </w:r>
    </w:p>
    <w:p/>
    <w:p>
      <w:pPr>
        <w:rPr>
          <w:rFonts w:eastAsia="Arial" w:cs="Arial"/>
          <w:sz w:val="16"/>
          <w:szCs w:val="16"/>
        </w:rPr>
      </w:pPr>
    </w:p>
    <w:p>
      <w:bookmarkEnd w:id="690"/>
      <w:bookmarkStart w:id="692" w:name="Sec_Chp_061016102255750_061016102256375"/>
    </w:p>
    <w:p>
      <w:pPr>
        <w:pStyle w:val="Heading4"/>
      </w:pPr>
      <w:r>
        <w:t>10.3.5.1 Adviser Representative Responsibilities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Adviser Representatives desiring to use designations must meet all requirements of the sponsor of such designations, including any continuing education responsibilities and fees. An Adviser Representative shall immediately inform the Chief Compliance Officer if he or she no longer meets the requirements of a particular designation or is no longer in good standing with the sponsor of any designation.</w:t>
      </w:r>
    </w:p>
    <w:p>
      <w:bookmarkEnd w:id="692"/>
      <w:bookmarkStart w:id="693" w:name="Sec_Chp_061016102255750_061016102256390"/>
    </w:p>
    <w:p>
      <w:pPr>
        <w:pStyle w:val="Heading4"/>
      </w:pPr>
      <w:r>
        <w:t>10.3.5.2 Monitoring of Adviser Representative Use of Designations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an Adviser Representative elects to hold himself or herself out as having achieved a particular designation, the Chief Compliance Officer shall: </w:t>
      </w:r>
    </w:p>
    <w:p>
      <w:pPr>
        <w:numPr>
          <w:ilvl w:val="0"/>
          <w:numId w:val="594"/>
        </w:numPr>
        <w:spacing w:before="200"/>
        <w:ind w:left="720" w:hanging="267"/>
        <w:jc w:val="left"/>
        <w:rPr>
          <w:rFonts w:eastAsia="Arial" w:cs="Arial"/>
          <w:sz w:val="20"/>
          <w:szCs w:val="20"/>
        </w:rPr>
      </w:pPr>
      <w:r>
        <w:rPr>
          <w:rFonts w:eastAsia="Arial" w:cs="Arial"/>
          <w:sz w:val="20"/>
          <w:szCs w:val="20"/>
        </w:rPr>
        <w:t>inform the Adviser Representative that he or she may not hold himself or herself out as achieving a particular designation unless he or she has received prior approval from the Chief Compliance Officer;</w:t>
      </w:r>
    </w:p>
    <w:p>
      <w:pPr>
        <w:numPr>
          <w:ilvl w:val="0"/>
          <w:numId w:val="594"/>
        </w:numPr>
        <w:ind w:left="720" w:hanging="267"/>
        <w:jc w:val="left"/>
        <w:rPr>
          <w:rFonts w:eastAsia="Arial" w:cs="Arial"/>
          <w:sz w:val="20"/>
          <w:szCs w:val="20"/>
        </w:rPr>
      </w:pPr>
      <w:r>
        <w:rPr>
          <w:rFonts w:eastAsia="Arial" w:cs="Arial"/>
          <w:sz w:val="20"/>
          <w:szCs w:val="20"/>
        </w:rPr>
        <w:t xml:space="preserve">permit an Adviser Representative to use a particular designation only if the Chief Compliance Officer has verified that the Adviser Representative is authorized by the institution that sponsors such designation to use it; </w:t>
      </w:r>
    </w:p>
    <w:p>
      <w:pPr>
        <w:numPr>
          <w:ilvl w:val="0"/>
          <w:numId w:val="594"/>
        </w:numPr>
        <w:ind w:left="720" w:hanging="267"/>
        <w:jc w:val="left"/>
        <w:rPr>
          <w:rFonts w:eastAsia="Arial" w:cs="Arial"/>
          <w:sz w:val="20"/>
          <w:szCs w:val="20"/>
        </w:rPr>
      </w:pPr>
      <w:r>
        <w:rPr>
          <w:rFonts w:eastAsia="Arial" w:cs="Arial"/>
          <w:sz w:val="20"/>
          <w:szCs w:val="20"/>
        </w:rPr>
        <w:t>become familiar with the rules and regulations of the institutions that sponsor designations regarding the proper use of such designations;</w:t>
      </w:r>
    </w:p>
    <w:p>
      <w:pPr>
        <w:numPr>
          <w:ilvl w:val="0"/>
          <w:numId w:val="594"/>
        </w:numPr>
        <w:ind w:left="720" w:hanging="267"/>
        <w:jc w:val="left"/>
        <w:rPr>
          <w:rFonts w:eastAsia="Arial" w:cs="Arial"/>
          <w:sz w:val="20"/>
          <w:szCs w:val="20"/>
        </w:rPr>
      </w:pPr>
      <w:r>
        <w:rPr>
          <w:rFonts w:eastAsia="Arial" w:cs="Arial"/>
          <w:sz w:val="20"/>
          <w:szCs w:val="20"/>
        </w:rPr>
        <w:t>maintain a list of prohibited designations that shall include, but not be limited to, any designation with the word "senior" or "retirement" in it, as well as designations that are not permitted by federal or state law; and</w:t>
      </w:r>
    </w:p>
    <w:p>
      <w:pPr>
        <w:numPr>
          <w:ilvl w:val="0"/>
          <w:numId w:val="594"/>
        </w:numPr>
        <w:spacing w:after="200"/>
        <w:ind w:left="720" w:hanging="267"/>
        <w:jc w:val="left"/>
        <w:rPr>
          <w:rFonts w:eastAsia="Arial" w:cs="Arial"/>
          <w:sz w:val="20"/>
          <w:szCs w:val="20"/>
        </w:rPr>
      </w:pPr>
      <w:r>
        <w:rPr>
          <w:rFonts w:eastAsia="Arial" w:cs="Arial"/>
          <w:sz w:val="20"/>
          <w:szCs w:val="20"/>
        </w:rPr>
        <w:t xml:space="preserve">periodically verify with such institution that the Adviser Representative is in good standing with its rules and regulations and current on any annual registration or other fees. </w:t>
      </w:r>
    </w:p>
    <w:p>
      <w:pPr>
        <w:pStyle w:val="normal0"/>
        <w:spacing w:before="200" w:after="200"/>
        <w:rPr>
          <w:rFonts w:eastAsia="Arial" w:cs="Arial"/>
          <w:sz w:val="20"/>
          <w:szCs w:val="20"/>
        </w:rPr>
      </w:pPr>
      <w:r>
        <w:rPr>
          <w:rFonts w:eastAsia="Arial" w:cs="Arial"/>
          <w:sz w:val="20"/>
          <w:szCs w:val="20"/>
        </w:rPr>
        <w:t>Adviser Representatives must be familiar with the rules and regulations of the institutions that sponsor designations regarding the proper use of such designations.</w:t>
      </w:r>
    </w:p>
    <w:p>
      <w:bookmarkEnd w:id="693"/>
      <w:bookmarkStart w:id="694" w:name="Sec_Chp_061016102255750_061016102256421"/>
    </w:p>
    <w:p>
      <w:pPr>
        <w:pStyle w:val="Heading3"/>
      </w:pPr>
      <w:bookmarkStart w:id="695" w:name="_Toc256000188"/>
      <w:r>
        <w:t>10.3.6 Adviser Representative Prohibited Activities</w:t>
      </w:r>
      <w:bookmarkEnd w:id="695"/>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In rendering advice and other investment management services to clients, an Adviser Representative may not: </w:t>
      </w:r>
    </w:p>
    <w:p>
      <w:pPr>
        <w:numPr>
          <w:ilvl w:val="0"/>
          <w:numId w:val="595"/>
        </w:numPr>
        <w:spacing w:before="200"/>
        <w:ind w:left="720" w:hanging="192"/>
        <w:jc w:val="left"/>
        <w:rPr>
          <w:rFonts w:eastAsia="Arial" w:cs="Arial"/>
          <w:sz w:val="20"/>
          <w:szCs w:val="20"/>
        </w:rPr>
      </w:pPr>
      <w:r>
        <w:rPr>
          <w:rFonts w:eastAsia="Arial" w:cs="Arial"/>
          <w:sz w:val="20"/>
          <w:szCs w:val="20"/>
        </w:rPr>
        <w:t xml:space="preserve">Communicate non-public information to clients in violation of the firm's Insider Trading Procedures; </w:t>
      </w:r>
    </w:p>
    <w:p>
      <w:pPr>
        <w:numPr>
          <w:ilvl w:val="0"/>
          <w:numId w:val="595"/>
        </w:numPr>
        <w:ind w:left="720" w:hanging="192"/>
        <w:jc w:val="left"/>
        <w:rPr>
          <w:rFonts w:eastAsia="Arial" w:cs="Arial"/>
          <w:sz w:val="20"/>
          <w:szCs w:val="20"/>
        </w:rPr>
      </w:pPr>
      <w:r>
        <w:rPr>
          <w:rFonts w:eastAsia="Arial" w:cs="Arial"/>
          <w:sz w:val="20"/>
          <w:szCs w:val="20"/>
        </w:rPr>
        <w:t>Employ any device, scheme or artifice to defraud a client;</w:t>
      </w:r>
    </w:p>
    <w:p>
      <w:pPr>
        <w:numPr>
          <w:ilvl w:val="0"/>
          <w:numId w:val="595"/>
        </w:numPr>
        <w:ind w:left="720" w:hanging="192"/>
        <w:jc w:val="left"/>
        <w:rPr>
          <w:rFonts w:eastAsia="Arial" w:cs="Arial"/>
          <w:sz w:val="20"/>
          <w:szCs w:val="20"/>
        </w:rPr>
      </w:pPr>
      <w:r>
        <w:rPr>
          <w:rFonts w:eastAsia="Arial" w:cs="Arial"/>
          <w:sz w:val="20"/>
          <w:szCs w:val="20"/>
        </w:rPr>
        <w:t>Engage in any transaction, practice or course of business that operates as a fraud or deceit upon a client;</w:t>
      </w:r>
    </w:p>
    <w:p>
      <w:pPr>
        <w:numPr>
          <w:ilvl w:val="0"/>
          <w:numId w:val="595"/>
        </w:numPr>
        <w:ind w:left="720" w:hanging="192"/>
        <w:jc w:val="left"/>
        <w:rPr>
          <w:rFonts w:eastAsia="Arial" w:cs="Arial"/>
          <w:sz w:val="20"/>
          <w:szCs w:val="20"/>
        </w:rPr>
      </w:pPr>
      <w:r>
        <w:rPr>
          <w:rFonts w:eastAsia="Arial" w:cs="Arial"/>
          <w:sz w:val="20"/>
          <w:szCs w:val="20"/>
        </w:rPr>
        <w:t xml:space="preserve">Render investment advice to a client that is based on rumor or speculation; </w:t>
      </w:r>
    </w:p>
    <w:p>
      <w:pPr>
        <w:numPr>
          <w:ilvl w:val="0"/>
          <w:numId w:val="595"/>
        </w:numPr>
        <w:ind w:left="720" w:hanging="192"/>
        <w:jc w:val="left"/>
        <w:rPr>
          <w:rFonts w:eastAsia="Arial" w:cs="Arial"/>
          <w:sz w:val="20"/>
          <w:szCs w:val="20"/>
        </w:rPr>
      </w:pPr>
      <w:r>
        <w:rPr>
          <w:rFonts w:eastAsia="Arial" w:cs="Arial"/>
          <w:sz w:val="20"/>
          <w:szCs w:val="20"/>
        </w:rPr>
        <w:t xml:space="preserve">Render legal or tax advice to the client; </w:t>
      </w:r>
    </w:p>
    <w:p>
      <w:pPr>
        <w:numPr>
          <w:ilvl w:val="0"/>
          <w:numId w:val="595"/>
        </w:numPr>
        <w:ind w:left="720" w:hanging="192"/>
        <w:jc w:val="left"/>
        <w:rPr>
          <w:rFonts w:eastAsia="Arial" w:cs="Arial"/>
          <w:sz w:val="20"/>
          <w:szCs w:val="20"/>
        </w:rPr>
      </w:pPr>
      <w:r>
        <w:rPr>
          <w:rFonts w:eastAsia="Arial" w:cs="Arial"/>
          <w:sz w:val="20"/>
          <w:szCs w:val="20"/>
        </w:rPr>
        <w:t xml:space="preserve">Fail to disclose known material facts about an investment; </w:t>
      </w:r>
    </w:p>
    <w:p>
      <w:pPr>
        <w:numPr>
          <w:ilvl w:val="0"/>
          <w:numId w:val="595"/>
        </w:numPr>
        <w:ind w:left="720" w:hanging="192"/>
        <w:jc w:val="left"/>
        <w:rPr>
          <w:rFonts w:eastAsia="Arial" w:cs="Arial"/>
          <w:sz w:val="20"/>
          <w:szCs w:val="20"/>
        </w:rPr>
      </w:pPr>
      <w:r>
        <w:rPr>
          <w:rFonts w:eastAsia="Arial" w:cs="Arial"/>
          <w:sz w:val="20"/>
          <w:szCs w:val="20"/>
        </w:rPr>
        <w:t xml:space="preserve">Initiate unauthorized transactions for client accounts; </w:t>
      </w:r>
    </w:p>
    <w:p>
      <w:pPr>
        <w:numPr>
          <w:ilvl w:val="0"/>
          <w:numId w:val="595"/>
        </w:numPr>
        <w:ind w:left="720" w:hanging="192"/>
        <w:jc w:val="left"/>
        <w:rPr>
          <w:rFonts w:eastAsia="Arial" w:cs="Arial"/>
          <w:sz w:val="20"/>
          <w:szCs w:val="20"/>
        </w:rPr>
      </w:pPr>
      <w:r>
        <w:rPr>
          <w:rFonts w:eastAsia="Arial" w:cs="Arial"/>
          <w:sz w:val="20"/>
          <w:szCs w:val="20"/>
        </w:rPr>
        <w:t xml:space="preserve">Fail to disclose conflicts of interests; </w:t>
      </w:r>
    </w:p>
    <w:p>
      <w:pPr>
        <w:numPr>
          <w:ilvl w:val="0"/>
          <w:numId w:val="595"/>
        </w:numPr>
        <w:ind w:left="720" w:hanging="192"/>
        <w:jc w:val="left"/>
        <w:rPr>
          <w:rFonts w:eastAsia="Arial" w:cs="Arial"/>
          <w:sz w:val="20"/>
          <w:szCs w:val="20"/>
        </w:rPr>
      </w:pPr>
      <w:r>
        <w:rPr>
          <w:rFonts w:eastAsia="Arial" w:cs="Arial"/>
          <w:sz w:val="20"/>
          <w:szCs w:val="20"/>
        </w:rPr>
        <w:t xml:space="preserve">Recommend securities or investment products that are unsuitable for the client; </w:t>
      </w:r>
    </w:p>
    <w:p>
      <w:pPr>
        <w:numPr>
          <w:ilvl w:val="0"/>
          <w:numId w:val="595"/>
        </w:numPr>
        <w:ind w:left="720" w:hanging="192"/>
        <w:jc w:val="left"/>
        <w:rPr>
          <w:rFonts w:eastAsia="Arial" w:cs="Arial"/>
          <w:sz w:val="20"/>
          <w:szCs w:val="20"/>
        </w:rPr>
      </w:pPr>
      <w:r>
        <w:rPr>
          <w:rFonts w:eastAsia="Arial" w:cs="Arial"/>
          <w:sz w:val="20"/>
          <w:szCs w:val="20"/>
        </w:rPr>
        <w:t>Misrepresent pricing methodology or deliberately misprice a client's holdings;</w:t>
      </w:r>
    </w:p>
    <w:p>
      <w:pPr>
        <w:numPr>
          <w:ilvl w:val="0"/>
          <w:numId w:val="595"/>
        </w:numPr>
        <w:ind w:left="720" w:hanging="192"/>
        <w:jc w:val="left"/>
        <w:rPr>
          <w:rFonts w:eastAsia="Arial" w:cs="Arial"/>
          <w:sz w:val="20"/>
          <w:szCs w:val="20"/>
        </w:rPr>
      </w:pPr>
      <w:r>
        <w:rPr>
          <w:rFonts w:eastAsia="Arial" w:cs="Arial"/>
          <w:sz w:val="20"/>
          <w:szCs w:val="20"/>
        </w:rPr>
        <w:t>Appropriate investment opportunities that properly should be made available to a client;</w:t>
      </w:r>
    </w:p>
    <w:p>
      <w:pPr>
        <w:numPr>
          <w:ilvl w:val="0"/>
          <w:numId w:val="595"/>
        </w:numPr>
        <w:ind w:left="720" w:hanging="192"/>
        <w:jc w:val="left"/>
        <w:rPr>
          <w:rFonts w:eastAsia="Arial" w:cs="Arial"/>
          <w:sz w:val="20"/>
          <w:szCs w:val="20"/>
        </w:rPr>
      </w:pPr>
      <w:r>
        <w:rPr>
          <w:rFonts w:eastAsia="Arial" w:cs="Arial"/>
          <w:sz w:val="20"/>
          <w:szCs w:val="20"/>
        </w:rPr>
        <w:t>Maintain undisclosed brokerage or commission-splitting arrangements;</w:t>
      </w:r>
    </w:p>
    <w:p>
      <w:pPr>
        <w:numPr>
          <w:ilvl w:val="0"/>
          <w:numId w:val="595"/>
        </w:numPr>
        <w:ind w:left="720" w:hanging="192"/>
        <w:jc w:val="left"/>
        <w:rPr>
          <w:rFonts w:eastAsia="Arial" w:cs="Arial"/>
          <w:sz w:val="20"/>
          <w:szCs w:val="20"/>
        </w:rPr>
      </w:pPr>
      <w:r>
        <w:rPr>
          <w:rFonts w:eastAsia="Arial" w:cs="Arial"/>
          <w:sz w:val="20"/>
          <w:szCs w:val="20"/>
        </w:rPr>
        <w:t xml:space="preserve">Directly or indirectly participate in gains or losses of a client's account; </w:t>
      </w:r>
    </w:p>
    <w:p>
      <w:pPr>
        <w:numPr>
          <w:ilvl w:val="0"/>
          <w:numId w:val="595"/>
        </w:numPr>
        <w:ind w:left="720" w:hanging="192"/>
        <w:jc w:val="left"/>
        <w:rPr>
          <w:rFonts w:eastAsia="Arial" w:cs="Arial"/>
          <w:sz w:val="20"/>
          <w:szCs w:val="20"/>
        </w:rPr>
      </w:pPr>
      <w:r>
        <w:rPr>
          <w:rFonts w:eastAsia="Arial" w:cs="Arial"/>
          <w:sz w:val="20"/>
          <w:szCs w:val="20"/>
        </w:rPr>
        <w:t xml:space="preserve">Permit personal investments to influence advice to a client; </w:t>
      </w:r>
    </w:p>
    <w:p>
      <w:pPr>
        <w:numPr>
          <w:ilvl w:val="0"/>
          <w:numId w:val="595"/>
        </w:numPr>
        <w:ind w:left="720" w:hanging="192"/>
        <w:jc w:val="left"/>
        <w:rPr>
          <w:rFonts w:eastAsia="Arial" w:cs="Arial"/>
          <w:sz w:val="20"/>
          <w:szCs w:val="20"/>
        </w:rPr>
      </w:pPr>
      <w:r>
        <w:rPr>
          <w:rFonts w:eastAsia="Arial" w:cs="Arial"/>
          <w:sz w:val="20"/>
          <w:szCs w:val="20"/>
        </w:rPr>
        <w:t xml:space="preserve">Disclose information about a client and his or her account to persons outside KCD or its affiliates without the client's approval; </w:t>
      </w:r>
    </w:p>
    <w:p>
      <w:pPr>
        <w:numPr>
          <w:ilvl w:val="0"/>
          <w:numId w:val="595"/>
        </w:numPr>
        <w:ind w:left="720" w:hanging="192"/>
        <w:jc w:val="left"/>
        <w:rPr>
          <w:rFonts w:eastAsia="Arial" w:cs="Arial"/>
          <w:sz w:val="20"/>
          <w:szCs w:val="20"/>
        </w:rPr>
      </w:pPr>
      <w:r>
        <w:rPr>
          <w:rFonts w:eastAsia="Arial" w:cs="Arial"/>
          <w:sz w:val="20"/>
          <w:szCs w:val="20"/>
        </w:rPr>
        <w:t xml:space="preserve">Fail to notify the Chief Compliance Officer immediately about any client complaints; </w:t>
      </w:r>
    </w:p>
    <w:p>
      <w:pPr>
        <w:numPr>
          <w:ilvl w:val="0"/>
          <w:numId w:val="595"/>
        </w:numPr>
        <w:ind w:left="720" w:hanging="192"/>
        <w:jc w:val="left"/>
        <w:rPr>
          <w:rFonts w:eastAsia="Arial" w:cs="Arial"/>
          <w:sz w:val="20"/>
          <w:szCs w:val="20"/>
        </w:rPr>
      </w:pPr>
      <w:r>
        <w:rPr>
          <w:rFonts w:eastAsia="Arial" w:cs="Arial"/>
          <w:sz w:val="20"/>
          <w:szCs w:val="20"/>
        </w:rPr>
        <w:t xml:space="preserve">Provide advice or recommend a security or investment product to a client if the Adviser Representative does not have sufficient knowledge and information to support the advice or recommendation; </w:t>
      </w:r>
    </w:p>
    <w:p>
      <w:pPr>
        <w:numPr>
          <w:ilvl w:val="0"/>
          <w:numId w:val="595"/>
        </w:numPr>
        <w:ind w:left="720" w:hanging="192"/>
        <w:jc w:val="left"/>
        <w:rPr>
          <w:rFonts w:eastAsia="Arial" w:cs="Arial"/>
          <w:sz w:val="20"/>
          <w:szCs w:val="20"/>
        </w:rPr>
      </w:pPr>
      <w:r>
        <w:rPr>
          <w:rFonts w:eastAsia="Arial" w:cs="Arial"/>
          <w:sz w:val="20"/>
          <w:szCs w:val="20"/>
        </w:rPr>
        <w:t xml:space="preserve">Lend money to a client; </w:t>
      </w:r>
    </w:p>
    <w:p>
      <w:pPr>
        <w:numPr>
          <w:ilvl w:val="0"/>
          <w:numId w:val="595"/>
        </w:numPr>
        <w:ind w:left="720" w:hanging="192"/>
        <w:jc w:val="left"/>
        <w:rPr>
          <w:rFonts w:eastAsia="Arial" w:cs="Arial"/>
          <w:sz w:val="20"/>
          <w:szCs w:val="20"/>
        </w:rPr>
      </w:pPr>
      <w:r>
        <w:rPr>
          <w:rFonts w:eastAsia="Arial" w:cs="Arial"/>
          <w:sz w:val="20"/>
          <w:szCs w:val="20"/>
        </w:rPr>
        <w:t xml:space="preserve">Accept cash from a client for investment; </w:t>
      </w:r>
    </w:p>
    <w:p>
      <w:pPr>
        <w:numPr>
          <w:ilvl w:val="0"/>
          <w:numId w:val="595"/>
        </w:numPr>
        <w:ind w:left="720" w:hanging="192"/>
        <w:jc w:val="left"/>
        <w:rPr>
          <w:rFonts w:eastAsia="Arial" w:cs="Arial"/>
          <w:sz w:val="20"/>
          <w:szCs w:val="20"/>
        </w:rPr>
      </w:pPr>
      <w:r>
        <w:rPr>
          <w:rFonts w:eastAsia="Arial" w:cs="Arial"/>
          <w:sz w:val="20"/>
          <w:szCs w:val="20"/>
        </w:rPr>
        <w:t xml:space="preserve">Sign a client's name to any document, even if the client gives permission to do so; </w:t>
      </w:r>
    </w:p>
    <w:p>
      <w:pPr>
        <w:numPr>
          <w:ilvl w:val="0"/>
          <w:numId w:val="595"/>
        </w:numPr>
        <w:ind w:left="720" w:hanging="192"/>
        <w:jc w:val="left"/>
        <w:rPr>
          <w:rFonts w:eastAsia="Arial" w:cs="Arial"/>
          <w:sz w:val="20"/>
          <w:szCs w:val="20"/>
        </w:rPr>
      </w:pPr>
      <w:r>
        <w:rPr>
          <w:rFonts w:eastAsia="Arial" w:cs="Arial"/>
          <w:sz w:val="20"/>
          <w:szCs w:val="20"/>
        </w:rPr>
        <w:t xml:space="preserve">Settle client complaints independently; </w:t>
      </w:r>
    </w:p>
    <w:p>
      <w:pPr>
        <w:numPr>
          <w:ilvl w:val="0"/>
          <w:numId w:val="595"/>
        </w:numPr>
        <w:ind w:left="720" w:hanging="192"/>
        <w:jc w:val="left"/>
        <w:rPr>
          <w:rFonts w:eastAsia="Arial" w:cs="Arial"/>
          <w:sz w:val="20"/>
          <w:szCs w:val="20"/>
        </w:rPr>
      </w:pPr>
      <w:r>
        <w:rPr>
          <w:rFonts w:eastAsia="Arial" w:cs="Arial"/>
          <w:sz w:val="20"/>
          <w:szCs w:val="20"/>
        </w:rPr>
        <w:t xml:space="preserve">Accept money from a client as additional compensation for investment management services offered; </w:t>
      </w:r>
    </w:p>
    <w:p>
      <w:pPr>
        <w:numPr>
          <w:ilvl w:val="0"/>
          <w:numId w:val="595"/>
        </w:numPr>
        <w:ind w:left="720" w:hanging="192"/>
        <w:jc w:val="left"/>
        <w:rPr>
          <w:rFonts w:eastAsia="Arial" w:cs="Arial"/>
          <w:sz w:val="20"/>
          <w:szCs w:val="20"/>
        </w:rPr>
      </w:pPr>
      <w:r>
        <w:rPr>
          <w:rFonts w:eastAsia="Arial" w:cs="Arial"/>
          <w:sz w:val="20"/>
          <w:szCs w:val="20"/>
        </w:rPr>
        <w:t xml:space="preserve">Act as an agent for the client in a business transaction; </w:t>
      </w:r>
    </w:p>
    <w:p>
      <w:pPr>
        <w:numPr>
          <w:ilvl w:val="0"/>
          <w:numId w:val="595"/>
        </w:numPr>
        <w:ind w:left="720" w:hanging="192"/>
        <w:jc w:val="left"/>
        <w:rPr>
          <w:rFonts w:eastAsia="Arial" w:cs="Arial"/>
          <w:sz w:val="20"/>
          <w:szCs w:val="20"/>
        </w:rPr>
      </w:pPr>
      <w:r>
        <w:rPr>
          <w:rFonts w:eastAsia="Arial" w:cs="Arial"/>
          <w:sz w:val="20"/>
          <w:szCs w:val="20"/>
        </w:rPr>
        <w:t xml:space="preserve">Guarantee the performance of a client's investment or account or guarantee any security or investment product recommended to the client; </w:t>
      </w:r>
    </w:p>
    <w:p>
      <w:pPr>
        <w:numPr>
          <w:ilvl w:val="0"/>
          <w:numId w:val="595"/>
        </w:numPr>
        <w:ind w:left="720" w:hanging="192"/>
        <w:jc w:val="left"/>
        <w:rPr>
          <w:rFonts w:eastAsia="Arial" w:cs="Arial"/>
          <w:sz w:val="20"/>
          <w:szCs w:val="20"/>
        </w:rPr>
      </w:pPr>
      <w:r>
        <w:rPr>
          <w:rFonts w:eastAsia="Arial" w:cs="Arial"/>
          <w:sz w:val="20"/>
          <w:szCs w:val="20"/>
        </w:rPr>
        <w:t xml:space="preserve">Sign a client's name to any document; </w:t>
      </w:r>
    </w:p>
    <w:p>
      <w:pPr>
        <w:numPr>
          <w:ilvl w:val="0"/>
          <w:numId w:val="595"/>
        </w:numPr>
        <w:ind w:left="720" w:hanging="192"/>
        <w:jc w:val="left"/>
        <w:rPr>
          <w:rFonts w:eastAsia="Arial" w:cs="Arial"/>
          <w:sz w:val="20"/>
          <w:szCs w:val="20"/>
        </w:rPr>
      </w:pPr>
      <w:r>
        <w:rPr>
          <w:rFonts w:eastAsia="Arial" w:cs="Arial"/>
          <w:sz w:val="20"/>
          <w:szCs w:val="20"/>
        </w:rPr>
        <w:t xml:space="preserve">Borrow money or securities from a client; </w:t>
      </w:r>
    </w:p>
    <w:p>
      <w:pPr>
        <w:numPr>
          <w:ilvl w:val="0"/>
          <w:numId w:val="595"/>
        </w:numPr>
        <w:ind w:left="720" w:hanging="192"/>
        <w:jc w:val="left"/>
        <w:rPr>
          <w:rFonts w:eastAsia="Arial" w:cs="Arial"/>
          <w:sz w:val="20"/>
          <w:szCs w:val="20"/>
        </w:rPr>
      </w:pPr>
      <w:r>
        <w:rPr>
          <w:rFonts w:eastAsia="Arial" w:cs="Arial"/>
          <w:sz w:val="20"/>
          <w:szCs w:val="20"/>
        </w:rPr>
        <w:t xml:space="preserve">Agree to repurchase a security from a client; </w:t>
      </w:r>
    </w:p>
    <w:p>
      <w:pPr>
        <w:numPr>
          <w:ilvl w:val="0"/>
          <w:numId w:val="595"/>
        </w:numPr>
        <w:ind w:left="720" w:hanging="192"/>
        <w:jc w:val="left"/>
        <w:rPr>
          <w:rFonts w:eastAsia="Arial" w:cs="Arial"/>
          <w:sz w:val="20"/>
          <w:szCs w:val="20"/>
        </w:rPr>
      </w:pPr>
      <w:r>
        <w:rPr>
          <w:rFonts w:eastAsia="Arial" w:cs="Arial"/>
          <w:sz w:val="20"/>
          <w:szCs w:val="20"/>
        </w:rPr>
        <w:t xml:space="preserve">Share in a client's profits or losses of securities transactions through a joint account or otherwise; </w:t>
      </w:r>
    </w:p>
    <w:p>
      <w:pPr>
        <w:numPr>
          <w:ilvl w:val="0"/>
          <w:numId w:val="595"/>
        </w:numPr>
        <w:ind w:left="720" w:hanging="192"/>
        <w:jc w:val="left"/>
        <w:rPr>
          <w:rFonts w:eastAsia="Arial" w:cs="Arial"/>
          <w:sz w:val="20"/>
          <w:szCs w:val="20"/>
        </w:rPr>
      </w:pPr>
      <w:r>
        <w:rPr>
          <w:rFonts w:eastAsia="Arial" w:cs="Arial"/>
          <w:sz w:val="20"/>
          <w:szCs w:val="20"/>
        </w:rPr>
        <w:t xml:space="preserve">Assist a client in the borrowing of funds for investment, unless such assistance involves helping a client open up a margin account with a broker-dealer; </w:t>
      </w:r>
    </w:p>
    <w:p>
      <w:pPr>
        <w:numPr>
          <w:ilvl w:val="0"/>
          <w:numId w:val="595"/>
        </w:numPr>
        <w:ind w:left="720" w:hanging="192"/>
        <w:jc w:val="left"/>
        <w:rPr>
          <w:rFonts w:eastAsia="Arial" w:cs="Arial"/>
          <w:sz w:val="20"/>
          <w:szCs w:val="20"/>
        </w:rPr>
      </w:pPr>
      <w:r>
        <w:rPr>
          <w:rFonts w:eastAsia="Arial" w:cs="Arial"/>
          <w:sz w:val="20"/>
          <w:szCs w:val="20"/>
        </w:rPr>
        <w:t xml:space="preserve">Provide investment advice on a regular basis in a state where the Adviser Representative is not licensed; </w:t>
      </w:r>
    </w:p>
    <w:p>
      <w:pPr>
        <w:numPr>
          <w:ilvl w:val="0"/>
          <w:numId w:val="595"/>
        </w:numPr>
        <w:ind w:left="720" w:hanging="192"/>
        <w:jc w:val="left"/>
        <w:rPr>
          <w:rFonts w:eastAsia="Arial" w:cs="Arial"/>
          <w:sz w:val="20"/>
          <w:szCs w:val="20"/>
        </w:rPr>
      </w:pPr>
      <w:r>
        <w:rPr>
          <w:rFonts w:eastAsia="Arial" w:cs="Arial"/>
          <w:sz w:val="20"/>
          <w:szCs w:val="20"/>
        </w:rPr>
        <w:t xml:space="preserve">Make discretionary trades for a client who has not given KCD written authority to make such discretionary trades; </w:t>
      </w:r>
    </w:p>
    <w:p>
      <w:pPr>
        <w:numPr>
          <w:ilvl w:val="0"/>
          <w:numId w:val="595"/>
        </w:numPr>
        <w:ind w:left="720" w:hanging="192"/>
        <w:jc w:val="left"/>
        <w:rPr>
          <w:rFonts w:eastAsia="Arial" w:cs="Arial"/>
          <w:sz w:val="20"/>
          <w:szCs w:val="20"/>
        </w:rPr>
      </w:pPr>
      <w:r>
        <w:rPr>
          <w:rFonts w:eastAsia="Arial" w:cs="Arial"/>
          <w:sz w:val="20"/>
          <w:szCs w:val="20"/>
        </w:rPr>
        <w:t xml:space="preserve">Fail to disclose any and all conflicts of interests to a client that arise in a given securities transaction; </w:t>
      </w:r>
    </w:p>
    <w:p>
      <w:pPr>
        <w:numPr>
          <w:ilvl w:val="0"/>
          <w:numId w:val="595"/>
        </w:numPr>
        <w:ind w:left="720" w:hanging="192"/>
        <w:jc w:val="left"/>
        <w:rPr>
          <w:rFonts w:eastAsia="Arial" w:cs="Arial"/>
          <w:sz w:val="20"/>
          <w:szCs w:val="20"/>
        </w:rPr>
      </w:pPr>
      <w:r>
        <w:rPr>
          <w:rFonts w:eastAsia="Arial" w:cs="Arial"/>
          <w:sz w:val="20"/>
          <w:szCs w:val="20"/>
        </w:rPr>
        <w:t>Advertise his or her services or those of KCD without prior approval of the Chief Compliance Officer;</w:t>
      </w:r>
    </w:p>
    <w:p>
      <w:pPr>
        <w:numPr>
          <w:ilvl w:val="0"/>
          <w:numId w:val="595"/>
        </w:numPr>
        <w:ind w:left="720" w:hanging="192"/>
        <w:jc w:val="left"/>
        <w:rPr>
          <w:rFonts w:eastAsia="Arial" w:cs="Arial"/>
          <w:sz w:val="20"/>
          <w:szCs w:val="20"/>
        </w:rPr>
      </w:pPr>
      <w:r>
        <w:rPr>
          <w:rFonts w:eastAsia="Arial" w:cs="Arial"/>
          <w:sz w:val="20"/>
          <w:szCs w:val="20"/>
        </w:rPr>
        <w:t>Raise money for charitable or political organizations without prior approval from the Chief Compliance Officer;</w:t>
      </w:r>
    </w:p>
    <w:p>
      <w:pPr>
        <w:numPr>
          <w:ilvl w:val="0"/>
          <w:numId w:val="595"/>
        </w:numPr>
        <w:ind w:left="720" w:hanging="192"/>
        <w:jc w:val="left"/>
        <w:rPr>
          <w:rFonts w:eastAsia="Arial" w:cs="Arial"/>
          <w:sz w:val="20"/>
          <w:szCs w:val="20"/>
        </w:rPr>
      </w:pPr>
      <w:r>
        <w:rPr>
          <w:rFonts w:eastAsia="Arial" w:cs="Arial"/>
          <w:sz w:val="20"/>
          <w:szCs w:val="20"/>
        </w:rPr>
        <w:t>Become employed with another company or serve as a director of another company without prior approval from the Chief Compliance Officer;</w:t>
      </w:r>
    </w:p>
    <w:p>
      <w:pPr>
        <w:numPr>
          <w:ilvl w:val="0"/>
          <w:numId w:val="595"/>
        </w:numPr>
        <w:ind w:left="720" w:hanging="192"/>
        <w:jc w:val="left"/>
        <w:rPr>
          <w:rFonts w:eastAsia="Arial" w:cs="Arial"/>
          <w:sz w:val="20"/>
          <w:szCs w:val="20"/>
        </w:rPr>
      </w:pPr>
      <w:r>
        <w:rPr>
          <w:rFonts w:eastAsia="Arial" w:cs="Arial"/>
          <w:sz w:val="20"/>
          <w:szCs w:val="20"/>
        </w:rPr>
        <w:t xml:space="preserve">Purchase or sell securities while in possession of inside information about the issuer of such securities; or </w:t>
      </w:r>
    </w:p>
    <w:p>
      <w:pPr>
        <w:numPr>
          <w:ilvl w:val="0"/>
          <w:numId w:val="595"/>
        </w:numPr>
        <w:spacing w:after="200"/>
        <w:ind w:left="720" w:hanging="192"/>
        <w:jc w:val="left"/>
        <w:rPr>
          <w:rFonts w:eastAsia="Arial" w:cs="Arial"/>
          <w:sz w:val="20"/>
          <w:szCs w:val="20"/>
        </w:rPr>
      </w:pPr>
      <w:r>
        <w:rPr>
          <w:rFonts w:eastAsia="Arial" w:cs="Arial"/>
          <w:sz w:val="20"/>
          <w:szCs w:val="20"/>
        </w:rPr>
        <w:t xml:space="preserve">Give gifts to clients or receive gifts from clients, unless such gifts are of nominal value. </w:t>
      </w:r>
    </w:p>
    <w:p>
      <w:bookmarkEnd w:id="694"/>
      <w:bookmarkStart w:id="696" w:name="Sec_Chp_061016102255750_061016102256437"/>
    </w:p>
    <w:p>
      <w:pPr>
        <w:pStyle w:val="Heading3"/>
      </w:pPr>
      <w:bookmarkStart w:id="697" w:name="_Toc256000189"/>
      <w:r>
        <w:t>10.3.7 Legal or Regulatory Proceedings</w:t>
      </w:r>
      <w:bookmarkEnd w:id="697"/>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Any Adviser Representative shall immediately notify the Chief Compliance Officer if he or she becomes the subject of an investment advisory-related action involving: </w:t>
      </w:r>
    </w:p>
    <w:p>
      <w:pPr>
        <w:numPr>
          <w:ilvl w:val="0"/>
          <w:numId w:val="596"/>
        </w:numPr>
        <w:spacing w:before="200"/>
        <w:ind w:left="720" w:hanging="192"/>
        <w:jc w:val="left"/>
        <w:rPr>
          <w:rFonts w:eastAsia="Arial" w:cs="Arial"/>
          <w:sz w:val="20"/>
          <w:szCs w:val="20"/>
        </w:rPr>
      </w:pPr>
      <w:r>
        <w:rPr>
          <w:rFonts w:eastAsia="Arial" w:cs="Arial"/>
          <w:sz w:val="20"/>
          <w:szCs w:val="20"/>
        </w:rPr>
        <w:t xml:space="preserve">an investigation or governmental proceeding; </w:t>
      </w:r>
    </w:p>
    <w:p>
      <w:pPr>
        <w:numPr>
          <w:ilvl w:val="0"/>
          <w:numId w:val="596"/>
        </w:numPr>
        <w:ind w:left="720" w:hanging="192"/>
        <w:jc w:val="left"/>
        <w:rPr>
          <w:rFonts w:eastAsia="Arial" w:cs="Arial"/>
          <w:sz w:val="20"/>
          <w:szCs w:val="20"/>
        </w:rPr>
      </w:pPr>
      <w:r>
        <w:rPr>
          <w:rFonts w:eastAsia="Arial" w:cs="Arial"/>
          <w:sz w:val="20"/>
          <w:szCs w:val="20"/>
        </w:rPr>
        <w:t xml:space="preserve">any refusal of registration or injunction, censure, fine or other disciplinary action imposed by a regulatory body; </w:t>
      </w:r>
    </w:p>
    <w:p>
      <w:pPr>
        <w:numPr>
          <w:ilvl w:val="0"/>
          <w:numId w:val="596"/>
        </w:numPr>
        <w:ind w:left="720" w:hanging="192"/>
        <w:jc w:val="left"/>
        <w:rPr>
          <w:rFonts w:eastAsia="Arial" w:cs="Arial"/>
          <w:sz w:val="20"/>
          <w:szCs w:val="20"/>
        </w:rPr>
      </w:pPr>
      <w:r>
        <w:rPr>
          <w:rFonts w:eastAsia="Arial" w:cs="Arial"/>
          <w:sz w:val="20"/>
          <w:szCs w:val="20"/>
        </w:rPr>
        <w:t xml:space="preserve">any litigation or arbitration; </w:t>
      </w:r>
    </w:p>
    <w:p>
      <w:pPr>
        <w:numPr>
          <w:ilvl w:val="0"/>
          <w:numId w:val="596"/>
        </w:numPr>
        <w:ind w:left="720" w:hanging="192"/>
        <w:jc w:val="left"/>
        <w:rPr>
          <w:rFonts w:eastAsia="Arial" w:cs="Arial"/>
          <w:sz w:val="20"/>
          <w:szCs w:val="20"/>
        </w:rPr>
      </w:pPr>
      <w:r>
        <w:rPr>
          <w:rFonts w:eastAsia="Arial" w:cs="Arial"/>
          <w:sz w:val="20"/>
          <w:szCs w:val="20"/>
        </w:rPr>
        <w:t xml:space="preserve">any bankruptcy proceedings; </w:t>
      </w:r>
    </w:p>
    <w:p>
      <w:pPr>
        <w:numPr>
          <w:ilvl w:val="0"/>
          <w:numId w:val="596"/>
        </w:numPr>
        <w:ind w:left="720" w:hanging="192"/>
        <w:jc w:val="left"/>
        <w:rPr>
          <w:rFonts w:eastAsia="Arial" w:cs="Arial"/>
          <w:sz w:val="20"/>
          <w:szCs w:val="20"/>
        </w:rPr>
      </w:pPr>
      <w:r>
        <w:rPr>
          <w:rFonts w:eastAsia="Arial" w:cs="Arial"/>
          <w:sz w:val="20"/>
          <w:szCs w:val="20"/>
        </w:rPr>
        <w:t>any civil litigation;</w:t>
      </w:r>
    </w:p>
    <w:p>
      <w:pPr>
        <w:numPr>
          <w:ilvl w:val="0"/>
          <w:numId w:val="596"/>
        </w:numPr>
        <w:ind w:left="720" w:hanging="192"/>
        <w:jc w:val="left"/>
        <w:rPr>
          <w:rFonts w:eastAsia="Arial" w:cs="Arial"/>
          <w:sz w:val="20"/>
          <w:szCs w:val="20"/>
        </w:rPr>
      </w:pPr>
      <w:r>
        <w:rPr>
          <w:rFonts w:eastAsia="Arial" w:cs="Arial"/>
          <w:sz w:val="20"/>
          <w:szCs w:val="20"/>
        </w:rPr>
        <w:t>any arrest, summons, subpoena, indictment or conviction for a criminal offense; or</w:t>
      </w:r>
    </w:p>
    <w:p>
      <w:pPr>
        <w:numPr>
          <w:ilvl w:val="0"/>
          <w:numId w:val="596"/>
        </w:numPr>
        <w:spacing w:after="200"/>
        <w:ind w:left="720" w:hanging="192"/>
        <w:jc w:val="left"/>
        <w:rPr>
          <w:rFonts w:eastAsia="Arial" w:cs="Arial"/>
          <w:sz w:val="20"/>
          <w:szCs w:val="20"/>
        </w:rPr>
      </w:pPr>
      <w:r>
        <w:rPr>
          <w:rFonts w:eastAsia="Arial" w:cs="Arial"/>
          <w:sz w:val="20"/>
          <w:szCs w:val="20"/>
        </w:rPr>
        <w:t>any other event that might require disclosure to clients or disclosure on Form ADV.</w:t>
      </w:r>
    </w:p>
    <w:p>
      <w:pPr>
        <w:pStyle w:val="normal0"/>
        <w:spacing w:before="200" w:after="200"/>
        <w:rPr>
          <w:rFonts w:eastAsia="Arial" w:cs="Arial"/>
          <w:sz w:val="20"/>
          <w:szCs w:val="20"/>
        </w:rPr>
      </w:pPr>
      <w:r>
        <w:rPr>
          <w:rFonts w:eastAsia="Arial" w:cs="Arial"/>
          <w:sz w:val="20"/>
          <w:szCs w:val="20"/>
        </w:rPr>
        <w:t xml:space="preserve">When giving notice of a legal or regulatory proceeding, the Adviser Representative shall provide, at a minimum, the following information: </w:t>
      </w:r>
    </w:p>
    <w:p>
      <w:pPr>
        <w:numPr>
          <w:ilvl w:val="0"/>
          <w:numId w:val="597"/>
        </w:numPr>
        <w:spacing w:before="200"/>
        <w:ind w:left="720" w:hanging="192"/>
        <w:jc w:val="left"/>
        <w:rPr>
          <w:rFonts w:eastAsia="Arial" w:cs="Arial"/>
          <w:sz w:val="20"/>
          <w:szCs w:val="20"/>
        </w:rPr>
      </w:pPr>
      <w:r>
        <w:rPr>
          <w:rFonts w:eastAsia="Arial" w:cs="Arial"/>
          <w:sz w:val="20"/>
          <w:szCs w:val="20"/>
        </w:rPr>
        <w:t xml:space="preserve">Parties involved; </w:t>
      </w:r>
    </w:p>
    <w:p>
      <w:pPr>
        <w:numPr>
          <w:ilvl w:val="0"/>
          <w:numId w:val="597"/>
        </w:numPr>
        <w:ind w:left="720" w:hanging="192"/>
        <w:jc w:val="left"/>
        <w:rPr>
          <w:rFonts w:eastAsia="Arial" w:cs="Arial"/>
          <w:sz w:val="20"/>
          <w:szCs w:val="20"/>
        </w:rPr>
      </w:pPr>
      <w:r>
        <w:rPr>
          <w:rFonts w:eastAsia="Arial" w:cs="Arial"/>
          <w:sz w:val="20"/>
          <w:szCs w:val="20"/>
        </w:rPr>
        <w:t xml:space="preserve">Court or arbitration forum; and </w:t>
      </w:r>
    </w:p>
    <w:p>
      <w:pPr>
        <w:numPr>
          <w:ilvl w:val="0"/>
          <w:numId w:val="597"/>
        </w:numPr>
        <w:spacing w:after="200"/>
        <w:ind w:left="720" w:hanging="192"/>
        <w:jc w:val="left"/>
        <w:rPr>
          <w:rFonts w:eastAsia="Arial" w:cs="Arial"/>
          <w:sz w:val="20"/>
          <w:szCs w:val="20"/>
        </w:rPr>
      </w:pPr>
      <w:r>
        <w:rPr>
          <w:rFonts w:eastAsia="Arial" w:cs="Arial"/>
          <w:sz w:val="20"/>
          <w:szCs w:val="20"/>
        </w:rPr>
        <w:t xml:space="preserve">Nature of the proceeding. </w:t>
      </w:r>
    </w:p>
    <w:p>
      <w:bookmarkEnd w:id="696"/>
      <w:bookmarkStart w:id="698" w:name="Sec_Chp_061016102255750_061016102256453"/>
    </w:p>
    <w:p>
      <w:pPr>
        <w:pStyle w:val="Heading3"/>
      </w:pPr>
      <w:bookmarkStart w:id="699" w:name="_Toc256000190"/>
      <w:r>
        <w:t>10.3.8 Unregistered Employees</w:t>
      </w:r>
      <w:bookmarkEnd w:id="699"/>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periodically review the responsibilities of each employee to verify whether such employee meets the definition of investment adviser representative. Any employee that does not meet the definition of "adviser representative" or is otherwise not registered as such shall be classified as an "Unregistered Employee."</w:t>
      </w:r>
    </w:p>
    <w:p>
      <w:bookmarkEnd w:id="698"/>
      <w:bookmarkStart w:id="700" w:name="Sec_Chp_061016102255750_061016102256468"/>
    </w:p>
    <w:p>
      <w:pPr>
        <w:pStyle w:val="Heading4"/>
      </w:pPr>
      <w:r>
        <w:t xml:space="preserve">10.3.8.1 Permissible Activities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Unregistered Employees may engage in the following investment-related activities: </w:t>
      </w:r>
    </w:p>
    <w:p>
      <w:pPr>
        <w:numPr>
          <w:ilvl w:val="0"/>
          <w:numId w:val="598"/>
        </w:numPr>
        <w:spacing w:before="200"/>
        <w:ind w:left="720" w:hanging="192"/>
        <w:jc w:val="left"/>
        <w:rPr>
          <w:rFonts w:eastAsia="Arial" w:cs="Arial"/>
          <w:sz w:val="20"/>
          <w:szCs w:val="20"/>
        </w:rPr>
      </w:pPr>
      <w:r>
        <w:rPr>
          <w:rFonts w:eastAsia="Arial" w:cs="Arial"/>
          <w:sz w:val="20"/>
          <w:szCs w:val="20"/>
        </w:rPr>
        <w:t xml:space="preserve">Contacting existing clients regarding clerical or administrative matters affecting the client's account; </w:t>
      </w:r>
    </w:p>
    <w:p>
      <w:pPr>
        <w:numPr>
          <w:ilvl w:val="0"/>
          <w:numId w:val="598"/>
        </w:numPr>
        <w:ind w:left="720" w:hanging="192"/>
        <w:jc w:val="left"/>
        <w:rPr>
          <w:rFonts w:eastAsia="Arial" w:cs="Arial"/>
          <w:sz w:val="20"/>
          <w:szCs w:val="20"/>
        </w:rPr>
      </w:pPr>
      <w:r>
        <w:rPr>
          <w:rFonts w:eastAsia="Arial" w:cs="Arial"/>
          <w:sz w:val="20"/>
          <w:szCs w:val="20"/>
        </w:rPr>
        <w:t xml:space="preserve">Extending invitations to presentations conducted by Adviser Representatives; </w:t>
      </w:r>
    </w:p>
    <w:p>
      <w:pPr>
        <w:numPr>
          <w:ilvl w:val="0"/>
          <w:numId w:val="598"/>
        </w:numPr>
        <w:ind w:left="720" w:hanging="192"/>
        <w:jc w:val="left"/>
        <w:rPr>
          <w:rFonts w:eastAsia="Arial" w:cs="Arial"/>
          <w:sz w:val="20"/>
          <w:szCs w:val="20"/>
        </w:rPr>
      </w:pPr>
      <w:r>
        <w:rPr>
          <w:rFonts w:eastAsia="Arial" w:cs="Arial"/>
          <w:sz w:val="20"/>
          <w:szCs w:val="20"/>
        </w:rPr>
        <w:t xml:space="preserve">Inquiring whether a prospective or existing client would like to discuss investments with an Adviser Representative; </w:t>
      </w:r>
    </w:p>
    <w:p>
      <w:pPr>
        <w:numPr>
          <w:ilvl w:val="0"/>
          <w:numId w:val="598"/>
        </w:numPr>
        <w:ind w:left="720" w:hanging="192"/>
        <w:jc w:val="left"/>
        <w:rPr>
          <w:rFonts w:eastAsia="Arial" w:cs="Arial"/>
          <w:sz w:val="20"/>
          <w:szCs w:val="20"/>
        </w:rPr>
      </w:pPr>
      <w:r>
        <w:rPr>
          <w:rFonts w:eastAsia="Arial" w:cs="Arial"/>
          <w:sz w:val="20"/>
          <w:szCs w:val="20"/>
        </w:rPr>
        <w:t xml:space="preserve">Discussing in general terms the types of investment management services offered by KCD; and </w:t>
      </w:r>
    </w:p>
    <w:p>
      <w:pPr>
        <w:numPr>
          <w:ilvl w:val="0"/>
          <w:numId w:val="598"/>
        </w:numPr>
        <w:spacing w:after="200"/>
        <w:ind w:left="720" w:hanging="192"/>
        <w:jc w:val="left"/>
        <w:rPr>
          <w:rFonts w:eastAsia="Arial" w:cs="Arial"/>
          <w:sz w:val="20"/>
          <w:szCs w:val="20"/>
        </w:rPr>
      </w:pPr>
      <w:r>
        <w:rPr>
          <w:rFonts w:eastAsia="Arial" w:cs="Arial"/>
          <w:sz w:val="20"/>
          <w:szCs w:val="20"/>
        </w:rPr>
        <w:t xml:space="preserve">Asking prospective clients whether they wish to receive KCD brochures and marketing materials. </w:t>
      </w:r>
    </w:p>
    <w:p>
      <w:bookmarkEnd w:id="700"/>
      <w:bookmarkStart w:id="701" w:name="Sec_Chp_061016102255750_061016102256484"/>
    </w:p>
    <w:p>
      <w:pPr>
        <w:pStyle w:val="Heading4"/>
      </w:pPr>
      <w:r>
        <w:t xml:space="preserve">10.3.8.2 Unregistered Employee Prohibited Activities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Unregistered Employees may not discuss:</w:t>
      </w:r>
    </w:p>
    <w:p>
      <w:pPr>
        <w:numPr>
          <w:ilvl w:val="0"/>
          <w:numId w:val="599"/>
        </w:numPr>
        <w:spacing w:before="200"/>
        <w:ind w:left="720" w:hanging="192"/>
        <w:jc w:val="left"/>
        <w:rPr>
          <w:rFonts w:eastAsia="Arial" w:cs="Arial"/>
          <w:sz w:val="20"/>
          <w:szCs w:val="20"/>
        </w:rPr>
      </w:pPr>
      <w:r>
        <w:rPr>
          <w:rFonts w:eastAsia="Arial" w:cs="Arial"/>
          <w:sz w:val="20"/>
          <w:szCs w:val="20"/>
        </w:rPr>
        <w:t xml:space="preserve">investment products or services with clients; </w:t>
      </w:r>
    </w:p>
    <w:p>
      <w:pPr>
        <w:numPr>
          <w:ilvl w:val="0"/>
          <w:numId w:val="599"/>
        </w:numPr>
        <w:ind w:left="720" w:hanging="192"/>
        <w:jc w:val="left"/>
        <w:rPr>
          <w:rFonts w:eastAsia="Arial" w:cs="Arial"/>
          <w:sz w:val="20"/>
          <w:szCs w:val="20"/>
        </w:rPr>
      </w:pPr>
      <w:r>
        <w:rPr>
          <w:rFonts w:eastAsia="Arial" w:cs="Arial"/>
          <w:sz w:val="20"/>
          <w:szCs w:val="20"/>
        </w:rPr>
        <w:t xml:space="preserve">solicit clients; or </w:t>
      </w:r>
    </w:p>
    <w:p>
      <w:pPr>
        <w:numPr>
          <w:ilvl w:val="0"/>
          <w:numId w:val="599"/>
        </w:numPr>
        <w:spacing w:after="200"/>
        <w:ind w:left="720" w:hanging="192"/>
        <w:jc w:val="left"/>
        <w:rPr>
          <w:rFonts w:eastAsia="Arial" w:cs="Arial"/>
          <w:sz w:val="20"/>
          <w:szCs w:val="20"/>
        </w:rPr>
      </w:pPr>
      <w:r>
        <w:rPr>
          <w:rFonts w:eastAsia="Arial" w:cs="Arial"/>
          <w:sz w:val="20"/>
          <w:szCs w:val="20"/>
        </w:rPr>
        <w:t xml:space="preserve">make suitability determinations about clients. </w:t>
      </w:r>
    </w:p>
    <w:p>
      <w:bookmarkEnd w:id="701"/>
      <w:bookmarkStart w:id="702" w:name="Sec_Chp_061016102255750_061016102256500"/>
    </w:p>
    <w:p>
      <w:pPr>
        <w:pStyle w:val="Heading4"/>
      </w:pPr>
      <w:r>
        <w:t xml:space="preserve">10.3.8.3 Monitoring Unregistered Employees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With respect to Unregistered Employees and their immediate supervisors, the Chief Compliance Officer will: </w:t>
      </w:r>
    </w:p>
    <w:p>
      <w:pPr>
        <w:numPr>
          <w:ilvl w:val="0"/>
          <w:numId w:val="600"/>
        </w:numPr>
        <w:spacing w:before="200"/>
        <w:ind w:left="720" w:hanging="192"/>
        <w:jc w:val="left"/>
        <w:rPr>
          <w:rFonts w:eastAsia="Arial" w:cs="Arial"/>
          <w:sz w:val="20"/>
          <w:szCs w:val="20"/>
        </w:rPr>
      </w:pPr>
      <w:r>
        <w:rPr>
          <w:rFonts w:eastAsia="Arial" w:cs="Arial"/>
          <w:sz w:val="20"/>
          <w:szCs w:val="20"/>
        </w:rPr>
        <w:t xml:space="preserve">Periodically monitor Unregistered Employees to ensure that they do not engage in prohibited activities; </w:t>
      </w:r>
    </w:p>
    <w:p>
      <w:pPr>
        <w:numPr>
          <w:ilvl w:val="0"/>
          <w:numId w:val="600"/>
        </w:numPr>
        <w:ind w:left="720" w:hanging="192"/>
        <w:jc w:val="left"/>
        <w:rPr>
          <w:rFonts w:eastAsia="Arial" w:cs="Arial"/>
          <w:sz w:val="20"/>
          <w:szCs w:val="20"/>
        </w:rPr>
      </w:pPr>
      <w:r>
        <w:rPr>
          <w:rFonts w:eastAsia="Arial" w:cs="Arial"/>
          <w:sz w:val="20"/>
          <w:szCs w:val="20"/>
        </w:rPr>
        <w:t xml:space="preserve">Conduct a background investigation on each Unregistered Employee; </w:t>
      </w:r>
    </w:p>
    <w:p>
      <w:pPr>
        <w:numPr>
          <w:ilvl w:val="0"/>
          <w:numId w:val="600"/>
        </w:numPr>
        <w:ind w:left="720" w:hanging="192"/>
        <w:jc w:val="left"/>
        <w:rPr>
          <w:rFonts w:eastAsia="Arial" w:cs="Arial"/>
          <w:sz w:val="20"/>
          <w:szCs w:val="20"/>
        </w:rPr>
      </w:pPr>
      <w:r>
        <w:rPr>
          <w:rFonts w:eastAsia="Arial" w:cs="Arial"/>
          <w:sz w:val="20"/>
          <w:szCs w:val="20"/>
        </w:rPr>
        <w:t>Designate one or more supervisors in each department where Unregistered Employees work to supervise such unregistered employees;</w:t>
      </w:r>
    </w:p>
    <w:p>
      <w:pPr>
        <w:numPr>
          <w:ilvl w:val="0"/>
          <w:numId w:val="600"/>
        </w:numPr>
        <w:ind w:left="720" w:hanging="192"/>
        <w:jc w:val="left"/>
        <w:rPr>
          <w:rFonts w:eastAsia="Arial" w:cs="Arial"/>
          <w:sz w:val="20"/>
          <w:szCs w:val="20"/>
        </w:rPr>
      </w:pPr>
      <w:r>
        <w:rPr>
          <w:rFonts w:eastAsia="Arial" w:cs="Arial"/>
          <w:sz w:val="20"/>
          <w:szCs w:val="20"/>
        </w:rPr>
        <w:t xml:space="preserve">Provide periodic training and instruction to Unregistered Employees that specifically addresses the limitations of such persons' activities, the regulatory consequences of exceeding those limitations; and </w:t>
      </w:r>
    </w:p>
    <w:p>
      <w:pPr>
        <w:numPr>
          <w:ilvl w:val="0"/>
          <w:numId w:val="600"/>
        </w:numPr>
        <w:spacing w:after="200"/>
        <w:ind w:left="720" w:hanging="192"/>
        <w:jc w:val="left"/>
        <w:rPr>
          <w:rFonts w:eastAsia="Arial" w:cs="Arial"/>
          <w:sz w:val="20"/>
          <w:szCs w:val="20"/>
        </w:rPr>
      </w:pPr>
      <w:r>
        <w:rPr>
          <w:rFonts w:eastAsia="Arial" w:cs="Arial"/>
          <w:sz w:val="20"/>
          <w:szCs w:val="20"/>
        </w:rPr>
        <w:t xml:space="preserve">Compensate such Unregistered Employees only on the basis of salary or an hourly wage. </w:t>
      </w:r>
    </w:p>
    <w:p>
      <w:bookmarkEnd w:id="702"/>
      <w:bookmarkStart w:id="703" w:name="Sec_Chp_061016102255750_061016102256515"/>
    </w:p>
    <w:p>
      <w:pPr>
        <w:pStyle w:val="Heading4"/>
      </w:pPr>
      <w:r>
        <w:t>10.3.8.4 Part-Time Employment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An unregistered employee, with the approval of the Chief Compliance Officer, may engage in part-time employment for another organization, provided that such employment: </w:t>
      </w:r>
    </w:p>
    <w:p>
      <w:pPr>
        <w:numPr>
          <w:ilvl w:val="0"/>
          <w:numId w:val="601"/>
        </w:numPr>
        <w:spacing w:before="200"/>
        <w:ind w:left="720" w:hanging="267"/>
        <w:jc w:val="left"/>
        <w:rPr>
          <w:rFonts w:eastAsia="Arial" w:cs="Arial"/>
          <w:sz w:val="20"/>
          <w:szCs w:val="20"/>
        </w:rPr>
      </w:pPr>
      <w:r>
        <w:rPr>
          <w:rFonts w:eastAsia="Arial" w:cs="Arial"/>
          <w:sz w:val="20"/>
          <w:szCs w:val="20"/>
        </w:rPr>
        <w:t xml:space="preserve">is not related to investment management, securities or a similar business; </w:t>
      </w:r>
    </w:p>
    <w:p>
      <w:pPr>
        <w:numPr>
          <w:ilvl w:val="0"/>
          <w:numId w:val="601"/>
        </w:numPr>
        <w:ind w:left="720" w:hanging="267"/>
        <w:jc w:val="left"/>
        <w:rPr>
          <w:rFonts w:eastAsia="Arial" w:cs="Arial"/>
          <w:sz w:val="20"/>
          <w:szCs w:val="20"/>
        </w:rPr>
      </w:pPr>
      <w:r>
        <w:rPr>
          <w:rFonts w:eastAsia="Arial" w:cs="Arial"/>
          <w:sz w:val="20"/>
          <w:szCs w:val="20"/>
        </w:rPr>
        <w:t xml:space="preserve">is performed outside the normal hours of KCD; and </w:t>
      </w:r>
    </w:p>
    <w:p>
      <w:pPr>
        <w:numPr>
          <w:ilvl w:val="0"/>
          <w:numId w:val="601"/>
        </w:numPr>
        <w:spacing w:after="200"/>
        <w:ind w:left="720" w:hanging="267"/>
        <w:jc w:val="left"/>
        <w:rPr>
          <w:rFonts w:eastAsia="Arial" w:cs="Arial"/>
          <w:sz w:val="20"/>
          <w:szCs w:val="20"/>
        </w:rPr>
      </w:pPr>
      <w:r>
        <w:rPr>
          <w:rFonts w:eastAsia="Arial" w:cs="Arial"/>
          <w:sz w:val="20"/>
          <w:szCs w:val="20"/>
        </w:rPr>
        <w:t>does not conflict with the employee's duties for KCD.</w:t>
      </w:r>
    </w:p>
    <w:p>
      <w:bookmarkEnd w:id="703"/>
      <w:bookmarkStart w:id="704" w:name="Sec_Chp_061016102255750_061016102256531"/>
    </w:p>
    <w:p>
      <w:pPr>
        <w:pStyle w:val="Heading3"/>
      </w:pPr>
      <w:bookmarkStart w:id="705" w:name="_Toc256000191"/>
      <w:r>
        <w:t>10.3.9 Employees Who Are Registered Representatives of Broker-Dealers</w:t>
      </w:r>
      <w:bookmarkEnd w:id="705"/>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employee who is licensed as a registered representative ("Registered Representative Employee") of a broker-dealer ("Broker-Dealer") must follow the procedures set forth below:</w:t>
      </w:r>
    </w:p>
    <w:p>
      <w:pPr>
        <w:numPr>
          <w:ilvl w:val="0"/>
          <w:numId w:val="602"/>
        </w:numPr>
        <w:spacing w:before="200"/>
        <w:ind w:left="720" w:hanging="192"/>
        <w:jc w:val="left"/>
        <w:rPr>
          <w:rFonts w:eastAsia="Arial" w:cs="Arial"/>
          <w:sz w:val="20"/>
          <w:szCs w:val="20"/>
        </w:rPr>
      </w:pPr>
      <w:r>
        <w:rPr>
          <w:rFonts w:eastAsia="Arial" w:cs="Arial"/>
          <w:sz w:val="20"/>
          <w:szCs w:val="20"/>
        </w:rPr>
        <w:t>The Registered Representative Employee must disclose in writing to KCD his or her employment at the Broker-Dealer;</w:t>
      </w:r>
    </w:p>
    <w:p>
      <w:pPr>
        <w:numPr>
          <w:ilvl w:val="0"/>
          <w:numId w:val="602"/>
        </w:numPr>
        <w:ind w:left="720" w:hanging="192"/>
        <w:jc w:val="left"/>
        <w:rPr>
          <w:rFonts w:eastAsia="Arial" w:cs="Arial"/>
          <w:sz w:val="20"/>
          <w:szCs w:val="20"/>
        </w:rPr>
      </w:pPr>
      <w:r>
        <w:rPr>
          <w:rFonts w:eastAsia="Arial" w:cs="Arial"/>
          <w:sz w:val="20"/>
          <w:szCs w:val="20"/>
        </w:rPr>
        <w:t>The Registered Representative Employee must disclose in writing to the Broker-Dealer his or her employment at KCD;</w:t>
      </w:r>
    </w:p>
    <w:p>
      <w:pPr>
        <w:numPr>
          <w:ilvl w:val="0"/>
          <w:numId w:val="602"/>
        </w:numPr>
        <w:ind w:left="720" w:hanging="192"/>
        <w:jc w:val="left"/>
        <w:rPr>
          <w:rFonts w:eastAsia="Arial" w:cs="Arial"/>
          <w:sz w:val="20"/>
          <w:szCs w:val="20"/>
        </w:rPr>
      </w:pPr>
      <w:r>
        <w:rPr>
          <w:rFonts w:eastAsia="Arial" w:cs="Arial"/>
          <w:sz w:val="20"/>
          <w:szCs w:val="20"/>
        </w:rPr>
        <w:t>The Registered Representative will not act in such capacity until it has received written approval from KCD to engage in such activity;</w:t>
      </w:r>
    </w:p>
    <w:p>
      <w:pPr>
        <w:numPr>
          <w:ilvl w:val="0"/>
          <w:numId w:val="602"/>
        </w:numPr>
        <w:ind w:left="720" w:hanging="192"/>
        <w:jc w:val="left"/>
        <w:rPr>
          <w:rFonts w:eastAsia="Arial" w:cs="Arial"/>
          <w:sz w:val="20"/>
          <w:szCs w:val="20"/>
        </w:rPr>
      </w:pPr>
      <w:r>
        <w:rPr>
          <w:rFonts w:eastAsia="Arial" w:cs="Arial"/>
          <w:sz w:val="20"/>
          <w:szCs w:val="20"/>
        </w:rPr>
        <w:t>The Registered Representative and KCD understand that the Broker-Dealer will and must supervise all advisory activities of the Registered Representative in which the Registered Representative is participating in a transaction for an advisory client;</w:t>
      </w:r>
    </w:p>
    <w:p>
      <w:pPr>
        <w:numPr>
          <w:ilvl w:val="0"/>
          <w:numId w:val="602"/>
        </w:numPr>
        <w:ind w:left="720" w:hanging="192"/>
        <w:jc w:val="left"/>
        <w:rPr>
          <w:rFonts w:eastAsia="Arial" w:cs="Arial"/>
          <w:sz w:val="20"/>
          <w:szCs w:val="20"/>
        </w:rPr>
      </w:pPr>
      <w:r>
        <w:rPr>
          <w:rFonts w:eastAsia="Arial" w:cs="Arial"/>
          <w:sz w:val="20"/>
          <w:szCs w:val="20"/>
        </w:rPr>
        <w:t>KCD will confirm with the Broker-Dealer (</w:t>
      </w:r>
      <w:r>
        <w:rPr>
          <w:rFonts w:eastAsia="Arial" w:cs="Arial"/>
          <w:i/>
          <w:iCs/>
          <w:sz w:val="20"/>
          <w:szCs w:val="20"/>
        </w:rPr>
        <w:t>e.g.,</w:t>
      </w:r>
      <w:r>
        <w:rPr>
          <w:rFonts w:eastAsia="Arial" w:cs="Arial"/>
          <w:sz w:val="20"/>
          <w:szCs w:val="20"/>
        </w:rPr>
        <w:t xml:space="preserve"> earning a commission) that the Registered Representative Employee, pursuant to FINRA Conduct Rule 3040, has received written approval to be employed by KCD;</w:t>
      </w:r>
    </w:p>
    <w:p>
      <w:pPr>
        <w:numPr>
          <w:ilvl w:val="0"/>
          <w:numId w:val="602"/>
        </w:numPr>
        <w:ind w:left="720" w:hanging="192"/>
        <w:jc w:val="left"/>
        <w:rPr>
          <w:rFonts w:eastAsia="Arial" w:cs="Arial"/>
          <w:sz w:val="20"/>
          <w:szCs w:val="20"/>
        </w:rPr>
      </w:pPr>
      <w:r>
        <w:rPr>
          <w:rFonts w:eastAsia="Arial" w:cs="Arial"/>
          <w:sz w:val="20"/>
          <w:szCs w:val="20"/>
        </w:rPr>
        <w:t>KCD will assist the Broker-Dealer with its recordkeeping requirements of the Registered Representative with respect to advisory activities related to securities transactions made on behalf of the client; and</w:t>
      </w:r>
    </w:p>
    <w:p>
      <w:pPr>
        <w:numPr>
          <w:ilvl w:val="0"/>
          <w:numId w:val="602"/>
        </w:numPr>
        <w:spacing w:after="200"/>
        <w:ind w:left="720" w:hanging="192"/>
        <w:jc w:val="left"/>
        <w:rPr>
          <w:rFonts w:eastAsia="Arial" w:cs="Arial"/>
          <w:sz w:val="20"/>
          <w:szCs w:val="20"/>
        </w:rPr>
      </w:pPr>
      <w:r>
        <w:rPr>
          <w:rFonts w:eastAsia="Arial" w:cs="Arial"/>
          <w:sz w:val="20"/>
          <w:szCs w:val="20"/>
        </w:rPr>
        <w:t>KCD shall consult with compliance personnel at the Broker-Dealer regarding how each firm plans to fulfill their supervisory duties over the Registered Representative Employee's activities.</w:t>
      </w:r>
    </w:p>
    <w:p>
      <w:bookmarkEnd w:id="704"/>
      <w:bookmarkStart w:id="706" w:name="Sec_Chp_061016102255750_061016102256546"/>
    </w:p>
    <w:p>
      <w:pPr>
        <w:pStyle w:val="Heading3"/>
      </w:pPr>
      <w:bookmarkStart w:id="707" w:name="_Toc256000192"/>
      <w:r>
        <w:t>10.3.10 Electronic Communications</w:t>
      </w:r>
      <w:bookmarkEnd w:id="707"/>
    </w:p>
    <w:p/>
    <w:p>
      <w:pPr>
        <w:rPr>
          <w:rFonts w:eastAsia="Arial" w:cs="Arial"/>
          <w:sz w:val="16"/>
          <w:szCs w:val="16"/>
        </w:rPr>
      </w:pPr>
    </w:p>
    <w:p>
      <w:bookmarkEnd w:id="706"/>
      <w:bookmarkStart w:id="708" w:name="Sec_Chp_061016102255750_061016102256562"/>
    </w:p>
    <w:p>
      <w:pPr>
        <w:pStyle w:val="Heading4"/>
      </w:pPr>
      <w:r>
        <w:t>10.3.10.1 Business Purposes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Employees are to make electronic communications via KCD's e-mail and other electronic communication systems primarily for business purposes. A minimal amount of personal communications that is not directly related to the employee's role in KCD is acceptable. Employees are expected to use good judgment and limit the frequency of such use, including the files sent and received.</w:t>
      </w:r>
    </w:p>
    <w:p>
      <w:bookmarkEnd w:id="708"/>
      <w:bookmarkStart w:id="709" w:name="Sec_Chp_061016102255750_061016102256578"/>
    </w:p>
    <w:p>
      <w:pPr>
        <w:pStyle w:val="Heading4"/>
      </w:pPr>
      <w:r>
        <w:t>10.3.10.2 Definition of Electronic Communications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Electronic communications include:</w:t>
      </w:r>
    </w:p>
    <w:p>
      <w:pPr>
        <w:numPr>
          <w:ilvl w:val="0"/>
          <w:numId w:val="603"/>
        </w:numPr>
        <w:spacing w:before="200"/>
        <w:ind w:left="720" w:hanging="192"/>
        <w:jc w:val="left"/>
        <w:rPr>
          <w:rFonts w:eastAsia="Arial" w:cs="Arial"/>
          <w:sz w:val="20"/>
          <w:szCs w:val="20"/>
        </w:rPr>
      </w:pPr>
      <w:r>
        <w:rPr>
          <w:rFonts w:eastAsia="Arial" w:cs="Arial"/>
          <w:sz w:val="20"/>
          <w:szCs w:val="20"/>
        </w:rPr>
        <w:t>Electronic Mail (e-mail)</w:t>
      </w:r>
    </w:p>
    <w:p>
      <w:pPr>
        <w:numPr>
          <w:ilvl w:val="0"/>
          <w:numId w:val="603"/>
        </w:numPr>
        <w:ind w:left="720" w:hanging="192"/>
        <w:jc w:val="left"/>
        <w:rPr>
          <w:rFonts w:eastAsia="Arial" w:cs="Arial"/>
          <w:sz w:val="20"/>
          <w:szCs w:val="20"/>
        </w:rPr>
      </w:pPr>
      <w:r>
        <w:rPr>
          <w:rFonts w:eastAsia="Arial" w:cs="Arial"/>
          <w:sz w:val="20"/>
          <w:szCs w:val="20"/>
        </w:rPr>
        <w:t>Bloomberg E-Mail</w:t>
      </w:r>
    </w:p>
    <w:p>
      <w:pPr>
        <w:numPr>
          <w:ilvl w:val="0"/>
          <w:numId w:val="603"/>
        </w:numPr>
        <w:ind w:left="720" w:hanging="192"/>
        <w:jc w:val="left"/>
        <w:rPr>
          <w:rFonts w:eastAsia="Arial" w:cs="Arial"/>
          <w:sz w:val="20"/>
          <w:szCs w:val="20"/>
        </w:rPr>
      </w:pPr>
      <w:r>
        <w:rPr>
          <w:rFonts w:eastAsia="Arial" w:cs="Arial"/>
          <w:sz w:val="20"/>
          <w:szCs w:val="20"/>
        </w:rPr>
        <w:t>Texts</w:t>
      </w:r>
    </w:p>
    <w:p>
      <w:pPr>
        <w:numPr>
          <w:ilvl w:val="0"/>
          <w:numId w:val="603"/>
        </w:numPr>
        <w:ind w:left="720" w:hanging="192"/>
        <w:jc w:val="left"/>
        <w:rPr>
          <w:rFonts w:eastAsia="Arial" w:cs="Arial"/>
          <w:sz w:val="20"/>
          <w:szCs w:val="20"/>
        </w:rPr>
      </w:pPr>
      <w:r>
        <w:rPr>
          <w:rFonts w:eastAsia="Arial" w:cs="Arial"/>
          <w:sz w:val="20"/>
          <w:szCs w:val="20"/>
        </w:rPr>
        <w:t>Communicating via Social Media</w:t>
      </w:r>
    </w:p>
    <w:p>
      <w:pPr>
        <w:numPr>
          <w:ilvl w:val="0"/>
          <w:numId w:val="603"/>
        </w:numPr>
        <w:ind w:left="720" w:hanging="192"/>
        <w:jc w:val="left"/>
        <w:rPr>
          <w:rFonts w:eastAsia="Arial" w:cs="Arial"/>
          <w:sz w:val="20"/>
          <w:szCs w:val="20"/>
        </w:rPr>
      </w:pPr>
      <w:r>
        <w:rPr>
          <w:rFonts w:eastAsia="Arial" w:cs="Arial"/>
          <w:sz w:val="20"/>
          <w:szCs w:val="20"/>
        </w:rPr>
        <w:t>Video chat</w:t>
      </w:r>
    </w:p>
    <w:p>
      <w:pPr>
        <w:numPr>
          <w:ilvl w:val="0"/>
          <w:numId w:val="603"/>
        </w:numPr>
        <w:ind w:left="720" w:hanging="192"/>
        <w:jc w:val="left"/>
        <w:rPr>
          <w:rFonts w:eastAsia="Arial" w:cs="Arial"/>
          <w:sz w:val="20"/>
          <w:szCs w:val="20"/>
        </w:rPr>
      </w:pPr>
      <w:r>
        <w:rPr>
          <w:rFonts w:eastAsia="Arial" w:cs="Arial"/>
          <w:sz w:val="20"/>
          <w:szCs w:val="20"/>
        </w:rPr>
        <w:t>Internet Telephone</w:t>
      </w:r>
    </w:p>
    <w:p>
      <w:pPr>
        <w:numPr>
          <w:ilvl w:val="0"/>
          <w:numId w:val="603"/>
        </w:numPr>
        <w:ind w:left="720" w:hanging="192"/>
        <w:jc w:val="left"/>
        <w:rPr>
          <w:rFonts w:eastAsia="Arial" w:cs="Arial"/>
          <w:sz w:val="20"/>
          <w:szCs w:val="20"/>
        </w:rPr>
      </w:pPr>
      <w:r>
        <w:rPr>
          <w:rFonts w:eastAsia="Arial" w:cs="Arial"/>
          <w:sz w:val="20"/>
          <w:szCs w:val="20"/>
        </w:rPr>
        <w:t>Facsimile (Fax)</w:t>
      </w:r>
    </w:p>
    <w:p>
      <w:pPr>
        <w:numPr>
          <w:ilvl w:val="0"/>
          <w:numId w:val="603"/>
        </w:numPr>
        <w:ind w:left="720" w:hanging="192"/>
        <w:jc w:val="left"/>
        <w:rPr>
          <w:rFonts w:eastAsia="Arial" w:cs="Arial"/>
          <w:sz w:val="20"/>
          <w:szCs w:val="20"/>
        </w:rPr>
      </w:pPr>
      <w:r>
        <w:rPr>
          <w:rFonts w:eastAsia="Arial" w:cs="Arial"/>
          <w:sz w:val="20"/>
          <w:szCs w:val="20"/>
        </w:rPr>
        <w:t>File Transfer Protocol (FTP)</w:t>
      </w:r>
    </w:p>
    <w:p>
      <w:pPr>
        <w:numPr>
          <w:ilvl w:val="0"/>
          <w:numId w:val="603"/>
        </w:numPr>
        <w:ind w:left="720" w:hanging="192"/>
        <w:jc w:val="left"/>
        <w:rPr>
          <w:rFonts w:eastAsia="Arial" w:cs="Arial"/>
          <w:sz w:val="20"/>
          <w:szCs w:val="20"/>
        </w:rPr>
      </w:pPr>
      <w:r>
        <w:rPr>
          <w:rFonts w:eastAsia="Arial" w:cs="Arial"/>
          <w:sz w:val="20"/>
          <w:szCs w:val="20"/>
        </w:rPr>
        <w:t>Electronic Bulletin Boards</w:t>
      </w:r>
    </w:p>
    <w:p>
      <w:pPr>
        <w:numPr>
          <w:ilvl w:val="0"/>
          <w:numId w:val="603"/>
        </w:numPr>
        <w:ind w:left="720" w:hanging="192"/>
        <w:jc w:val="left"/>
        <w:rPr>
          <w:rFonts w:eastAsia="Arial" w:cs="Arial"/>
          <w:sz w:val="20"/>
          <w:szCs w:val="20"/>
        </w:rPr>
      </w:pPr>
      <w:r>
        <w:rPr>
          <w:rFonts w:eastAsia="Arial" w:cs="Arial"/>
          <w:sz w:val="20"/>
          <w:szCs w:val="20"/>
        </w:rPr>
        <w:t>Chat Rooms</w:t>
      </w:r>
    </w:p>
    <w:p>
      <w:pPr>
        <w:numPr>
          <w:ilvl w:val="0"/>
          <w:numId w:val="603"/>
        </w:numPr>
        <w:spacing w:after="200"/>
        <w:ind w:left="720" w:hanging="192"/>
        <w:jc w:val="left"/>
        <w:rPr>
          <w:rFonts w:eastAsia="Arial" w:cs="Arial"/>
          <w:sz w:val="20"/>
          <w:szCs w:val="20"/>
        </w:rPr>
      </w:pPr>
      <w:r>
        <w:rPr>
          <w:rFonts w:eastAsia="Arial" w:cs="Arial"/>
          <w:sz w:val="20"/>
          <w:szCs w:val="20"/>
        </w:rPr>
        <w:t>Instant Messaging</w:t>
      </w:r>
    </w:p>
    <w:p>
      <w:bookmarkEnd w:id="709"/>
      <w:bookmarkStart w:id="710" w:name="Sec_Chp_061016102255750_061016102256593"/>
    </w:p>
    <w:p>
      <w:pPr>
        <w:pStyle w:val="Heading4"/>
      </w:pPr>
      <w:r>
        <w:t>10.3.10.3 Business Communication Standards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Employees using KCD's electronic communication systems must follow appropriate business communication standards. Employees may not send or receive communications that are inappropriate, obscene, discriminatory, threatening or otherwise offensive. KCD shall permit employees to use a form of electronic communication or type of electronic communication device only if KCD is able to record or otherwise capture hard copies or electronic copies of all such electronic communications.</w:t>
      </w:r>
    </w:p>
    <w:p>
      <w:pPr>
        <w:pStyle w:val="normal0"/>
        <w:spacing w:before="200" w:after="200"/>
        <w:rPr>
          <w:rFonts w:eastAsia="Arial" w:cs="Arial"/>
          <w:sz w:val="20"/>
          <w:szCs w:val="20"/>
        </w:rPr>
      </w:pPr>
      <w:r>
        <w:rPr>
          <w:rFonts w:eastAsia="Arial" w:cs="Arial"/>
          <w:sz w:val="20"/>
          <w:szCs w:val="20"/>
        </w:rPr>
        <w:t>Prior to sending an e-mail, an employee of KCD shall consider the following:</w:t>
      </w:r>
    </w:p>
    <w:p>
      <w:pPr>
        <w:numPr>
          <w:ilvl w:val="0"/>
          <w:numId w:val="604"/>
        </w:numPr>
        <w:spacing w:before="200"/>
        <w:ind w:left="720" w:hanging="192"/>
        <w:jc w:val="left"/>
        <w:rPr>
          <w:rFonts w:eastAsia="Arial" w:cs="Arial"/>
          <w:sz w:val="20"/>
          <w:szCs w:val="20"/>
        </w:rPr>
      </w:pPr>
      <w:r>
        <w:rPr>
          <w:rFonts w:eastAsia="Arial" w:cs="Arial"/>
          <w:sz w:val="20"/>
          <w:szCs w:val="20"/>
        </w:rPr>
        <w:t>Put yourself in the position of the person receiving the electronic communication, ask yourself if there is language in the electronic communication that could be misinterpreted, offensive or embarrassing to the recipient or a future reader;</w:t>
      </w:r>
    </w:p>
    <w:p>
      <w:pPr>
        <w:numPr>
          <w:ilvl w:val="0"/>
          <w:numId w:val="604"/>
        </w:numPr>
        <w:ind w:left="720" w:hanging="192"/>
        <w:jc w:val="left"/>
        <w:rPr>
          <w:rFonts w:eastAsia="Arial" w:cs="Arial"/>
          <w:sz w:val="20"/>
          <w:szCs w:val="20"/>
        </w:rPr>
      </w:pPr>
      <w:r>
        <w:rPr>
          <w:rFonts w:eastAsia="Arial" w:cs="Arial"/>
          <w:sz w:val="20"/>
          <w:szCs w:val="20"/>
        </w:rPr>
        <w:t>Do not use emotional language in the electronic communication;</w:t>
      </w:r>
    </w:p>
    <w:p>
      <w:pPr>
        <w:numPr>
          <w:ilvl w:val="0"/>
          <w:numId w:val="604"/>
        </w:numPr>
        <w:ind w:left="720" w:hanging="192"/>
        <w:jc w:val="left"/>
        <w:rPr>
          <w:rFonts w:eastAsia="Arial" w:cs="Arial"/>
          <w:sz w:val="20"/>
          <w:szCs w:val="20"/>
        </w:rPr>
      </w:pPr>
      <w:r>
        <w:rPr>
          <w:rFonts w:eastAsia="Arial" w:cs="Arial"/>
          <w:sz w:val="20"/>
          <w:szCs w:val="20"/>
        </w:rPr>
        <w:t>Know your audience - only send your electronic communication to relevant parties;</w:t>
      </w:r>
    </w:p>
    <w:p>
      <w:pPr>
        <w:numPr>
          <w:ilvl w:val="0"/>
          <w:numId w:val="604"/>
        </w:numPr>
        <w:ind w:left="720" w:hanging="192"/>
        <w:jc w:val="left"/>
        <w:rPr>
          <w:rFonts w:eastAsia="Arial" w:cs="Arial"/>
          <w:sz w:val="20"/>
          <w:szCs w:val="20"/>
        </w:rPr>
      </w:pPr>
      <w:r>
        <w:rPr>
          <w:rFonts w:eastAsia="Arial" w:cs="Arial"/>
          <w:sz w:val="20"/>
          <w:szCs w:val="20"/>
        </w:rPr>
        <w:t>Be sure to know the consequences of hitting the "reply to all" selection;</w:t>
      </w:r>
    </w:p>
    <w:p>
      <w:pPr>
        <w:numPr>
          <w:ilvl w:val="0"/>
          <w:numId w:val="604"/>
        </w:numPr>
        <w:ind w:left="720" w:hanging="192"/>
        <w:jc w:val="left"/>
        <w:rPr>
          <w:rFonts w:eastAsia="Arial" w:cs="Arial"/>
          <w:sz w:val="20"/>
          <w:szCs w:val="20"/>
        </w:rPr>
      </w:pPr>
      <w:r>
        <w:rPr>
          <w:rFonts w:eastAsia="Arial" w:cs="Arial"/>
          <w:sz w:val="20"/>
          <w:szCs w:val="20"/>
        </w:rPr>
        <w:t>Assume that an unintended recipient will read your message;</w:t>
      </w:r>
    </w:p>
    <w:p>
      <w:pPr>
        <w:numPr>
          <w:ilvl w:val="0"/>
          <w:numId w:val="604"/>
        </w:numPr>
        <w:ind w:left="720" w:hanging="192"/>
        <w:jc w:val="left"/>
        <w:rPr>
          <w:rFonts w:eastAsia="Arial" w:cs="Arial"/>
          <w:sz w:val="20"/>
          <w:szCs w:val="20"/>
        </w:rPr>
      </w:pPr>
      <w:r>
        <w:rPr>
          <w:rFonts w:eastAsia="Arial" w:cs="Arial"/>
          <w:sz w:val="20"/>
          <w:szCs w:val="20"/>
        </w:rPr>
        <w:t>Always use spell check;</w:t>
      </w:r>
    </w:p>
    <w:p>
      <w:pPr>
        <w:numPr>
          <w:ilvl w:val="0"/>
          <w:numId w:val="604"/>
        </w:numPr>
        <w:ind w:left="720" w:hanging="192"/>
        <w:jc w:val="left"/>
        <w:rPr>
          <w:rFonts w:eastAsia="Arial" w:cs="Arial"/>
          <w:sz w:val="20"/>
          <w:szCs w:val="20"/>
        </w:rPr>
      </w:pPr>
      <w:r>
        <w:rPr>
          <w:rFonts w:eastAsia="Arial" w:cs="Arial"/>
          <w:sz w:val="20"/>
          <w:szCs w:val="20"/>
        </w:rPr>
        <w:t>Proofread your electronic communication prior to sending it;</w:t>
      </w:r>
    </w:p>
    <w:p>
      <w:pPr>
        <w:numPr>
          <w:ilvl w:val="0"/>
          <w:numId w:val="604"/>
        </w:numPr>
        <w:ind w:left="720" w:hanging="192"/>
        <w:jc w:val="left"/>
        <w:rPr>
          <w:rFonts w:eastAsia="Arial" w:cs="Arial"/>
          <w:sz w:val="20"/>
          <w:szCs w:val="20"/>
        </w:rPr>
      </w:pPr>
      <w:r>
        <w:rPr>
          <w:rFonts w:eastAsia="Arial" w:cs="Arial"/>
          <w:sz w:val="20"/>
          <w:szCs w:val="20"/>
        </w:rPr>
        <w:t>Refrain from gossip or participation in any destructive electronic communications;</w:t>
      </w:r>
    </w:p>
    <w:p>
      <w:pPr>
        <w:numPr>
          <w:ilvl w:val="0"/>
          <w:numId w:val="604"/>
        </w:numPr>
        <w:ind w:left="720" w:hanging="192"/>
        <w:jc w:val="left"/>
        <w:rPr>
          <w:rFonts w:eastAsia="Arial" w:cs="Arial"/>
          <w:sz w:val="20"/>
          <w:szCs w:val="20"/>
        </w:rPr>
      </w:pPr>
      <w:r>
        <w:rPr>
          <w:rFonts w:eastAsia="Arial" w:cs="Arial"/>
          <w:sz w:val="20"/>
          <w:szCs w:val="20"/>
        </w:rPr>
        <w:t>Refrain from engaging in debates in electronic communications; and</w:t>
      </w:r>
    </w:p>
    <w:p>
      <w:pPr>
        <w:numPr>
          <w:ilvl w:val="0"/>
          <w:numId w:val="604"/>
        </w:numPr>
        <w:spacing w:after="200"/>
        <w:ind w:left="720" w:hanging="192"/>
        <w:jc w:val="left"/>
        <w:rPr>
          <w:rFonts w:eastAsia="Arial" w:cs="Arial"/>
          <w:sz w:val="20"/>
          <w:szCs w:val="20"/>
        </w:rPr>
      </w:pPr>
      <w:r>
        <w:rPr>
          <w:rFonts w:eastAsia="Arial" w:cs="Arial"/>
          <w:sz w:val="20"/>
          <w:szCs w:val="20"/>
        </w:rPr>
        <w:t>Use your judgment if the conversation would be better continued in person.</w:t>
      </w:r>
    </w:p>
    <w:p>
      <w:bookmarkEnd w:id="710"/>
      <w:bookmarkStart w:id="711" w:name="Sec_Chp_061016102255750_061016102256609"/>
    </w:p>
    <w:p>
      <w:pPr>
        <w:pStyle w:val="Heading4"/>
      </w:pPr>
      <w:r>
        <w:t>10.3.10.4 Electronic Mail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All outgoing e-mail communications transmitted through KCD's e-mail system must automatically include a standard disclosure regarding KCD's identity and the following disclaimer:</w:t>
      </w:r>
    </w:p>
    <w:p>
      <w:pPr>
        <w:pStyle w:val="normal0"/>
        <w:spacing w:before="200" w:after="200"/>
        <w:rPr>
          <w:rFonts w:eastAsia="Arial" w:cs="Arial"/>
          <w:sz w:val="20"/>
          <w:szCs w:val="20"/>
        </w:rPr>
      </w:pPr>
      <w:r>
        <w:rPr>
          <w:rFonts w:eastAsia="Arial" w:cs="Arial"/>
          <w:sz w:val="20"/>
          <w:szCs w:val="20"/>
        </w:rPr>
        <w:t>"This message (including any attachment(s)) is intended only for the use of the individual or entity to which it is addressed and may contain private and confidential information. If you are not the intended recipient of this message, you are hereby notified that any dissemination, distribution or copying of this message (including any attachment(s)) is strictly prohibited. This message is for information purposes only and is not an investment recommendation or a solicitation to become a client of the firm. All information is subject to change without notice. Unless indicated, these views are the author's and may differ from those of the firm or others in the firm. We do not represent this is accurate or complete and we may not update this. Past performance is not indicative of future returns. For additional information and important disclosures, contact me or [Phone Number/Web Address]. You should not use message to request or authorize the investment in any security or instrument, or to effect any other transactions. We cannot guarantee that any such requests received via e-mail will be processed in a timely manner. This communication is solely for the addressee(s) and may contain confidential information. We do not waive confidentiality by mistransmission. Contact me if you do not wish to receive these communications."</w:t>
      </w:r>
    </w:p>
    <w:p>
      <w:bookmarkEnd w:id="711"/>
      <w:bookmarkStart w:id="712" w:name="Sec_Chp_061016102255750_061016102256625"/>
    </w:p>
    <w:p>
      <w:pPr>
        <w:pStyle w:val="Heading4"/>
      </w:pPr>
      <w:r>
        <w:t>10.3.10.5 Restrictions on Unsolicited E-Mails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Federal law imposes restrictions on commercial e-mail, particularly unsolicited "mass" e-mail messages. "Commercial electronic mail" includes any electronic mail message primarily for the purpose of sending a commercial advertisement or promotion of a commercial product or service. It does not include electronic mail relating to transactions or where there is a relationship between the sender and the recipient.</w:t>
      </w:r>
    </w:p>
    <w:p>
      <w:pPr>
        <w:pStyle w:val="normal0"/>
        <w:spacing w:before="200" w:after="200"/>
        <w:rPr>
          <w:rFonts w:eastAsia="Arial" w:cs="Arial"/>
          <w:sz w:val="20"/>
          <w:szCs w:val="20"/>
        </w:rPr>
      </w:pPr>
      <w:r>
        <w:rPr>
          <w:rFonts w:eastAsia="Arial" w:cs="Arial"/>
          <w:sz w:val="20"/>
          <w:szCs w:val="20"/>
        </w:rPr>
        <w:t>Recipients of commercial e-mail must be provided the opportunity to "opt-out" and not receive future e-mails. Anyone receiving notification from a customer or anyone else asking not to receive electronic mail, must forward that information to the Chief Compliance Officer for adding to KCD's "Do-Not-Email" list.</w:t>
      </w:r>
    </w:p>
    <w:p>
      <w:pPr>
        <w:pStyle w:val="normal0"/>
        <w:spacing w:before="200" w:after="200"/>
        <w:rPr>
          <w:rFonts w:eastAsia="Arial" w:cs="Arial"/>
          <w:sz w:val="20"/>
          <w:szCs w:val="20"/>
        </w:rPr>
      </w:pPr>
      <w:r>
        <w:rPr>
          <w:rFonts w:eastAsia="Arial" w:cs="Arial"/>
          <w:sz w:val="20"/>
          <w:szCs w:val="20"/>
        </w:rPr>
        <w:t>Senders of commercial e-mail may not:</w:t>
      </w:r>
    </w:p>
    <w:p>
      <w:pPr>
        <w:numPr>
          <w:ilvl w:val="0"/>
          <w:numId w:val="605"/>
        </w:numPr>
        <w:spacing w:before="200"/>
        <w:ind w:left="720" w:hanging="192"/>
        <w:jc w:val="left"/>
        <w:rPr>
          <w:rFonts w:eastAsia="Arial" w:cs="Arial"/>
          <w:sz w:val="20"/>
          <w:szCs w:val="20"/>
        </w:rPr>
      </w:pPr>
      <w:r>
        <w:rPr>
          <w:rFonts w:eastAsia="Arial" w:cs="Arial"/>
          <w:sz w:val="20"/>
          <w:szCs w:val="20"/>
        </w:rPr>
        <w:t xml:space="preserve">Use false or misleading e-mail header information or deceptive subject headings or otherwise deceive the recipient regarding the sender's address. </w:t>
      </w:r>
    </w:p>
    <w:p>
      <w:pPr>
        <w:numPr>
          <w:ilvl w:val="0"/>
          <w:numId w:val="605"/>
        </w:numPr>
        <w:ind w:left="720" w:hanging="192"/>
        <w:jc w:val="left"/>
        <w:rPr>
          <w:rFonts w:eastAsia="Arial" w:cs="Arial"/>
          <w:sz w:val="20"/>
          <w:szCs w:val="20"/>
        </w:rPr>
      </w:pPr>
      <w:r>
        <w:rPr>
          <w:rFonts w:eastAsia="Arial" w:cs="Arial"/>
          <w:sz w:val="20"/>
          <w:szCs w:val="20"/>
        </w:rPr>
        <w:t xml:space="preserve">Without prior authorization, use computers owned by others to transmit messages. </w:t>
      </w:r>
    </w:p>
    <w:p>
      <w:pPr>
        <w:numPr>
          <w:ilvl w:val="0"/>
          <w:numId w:val="605"/>
        </w:numPr>
        <w:ind w:left="720" w:hanging="192"/>
        <w:jc w:val="left"/>
        <w:rPr>
          <w:rFonts w:eastAsia="Arial" w:cs="Arial"/>
          <w:sz w:val="20"/>
          <w:szCs w:val="20"/>
        </w:rPr>
      </w:pPr>
      <w:r>
        <w:rPr>
          <w:rFonts w:eastAsia="Arial" w:cs="Arial"/>
          <w:sz w:val="20"/>
          <w:szCs w:val="20"/>
        </w:rPr>
        <w:t xml:space="preserve">Register for an e-mail address or domain name using materially false information or falsely represent themselves to be the registrants for Internet protocol addresses. </w:t>
      </w:r>
    </w:p>
    <w:p>
      <w:pPr>
        <w:numPr>
          <w:ilvl w:val="0"/>
          <w:numId w:val="605"/>
        </w:numPr>
        <w:ind w:left="720" w:hanging="192"/>
        <w:jc w:val="left"/>
        <w:rPr>
          <w:rFonts w:eastAsia="Arial" w:cs="Arial"/>
          <w:sz w:val="20"/>
          <w:szCs w:val="20"/>
        </w:rPr>
      </w:pPr>
      <w:r>
        <w:rPr>
          <w:rFonts w:eastAsia="Arial" w:cs="Arial"/>
          <w:sz w:val="20"/>
          <w:szCs w:val="20"/>
        </w:rPr>
        <w:t xml:space="preserve">Use "address harvesting" or "dictionary attacks" to obtain e-mail addresses from the Internet. </w:t>
      </w:r>
    </w:p>
    <w:p>
      <w:pPr>
        <w:numPr>
          <w:ilvl w:val="0"/>
          <w:numId w:val="605"/>
        </w:numPr>
        <w:spacing w:after="200"/>
        <w:ind w:left="720" w:hanging="192"/>
        <w:jc w:val="left"/>
        <w:rPr>
          <w:rFonts w:eastAsia="Arial" w:cs="Arial"/>
          <w:sz w:val="20"/>
          <w:szCs w:val="20"/>
        </w:rPr>
      </w:pPr>
      <w:r>
        <w:rPr>
          <w:rFonts w:eastAsia="Arial" w:cs="Arial"/>
          <w:sz w:val="20"/>
          <w:szCs w:val="20"/>
        </w:rPr>
        <w:t>Use automated means to create multiple e-mail addresses from which to send commercial e-mails.</w:t>
      </w:r>
    </w:p>
    <w:p>
      <w:pPr>
        <w:pStyle w:val="normal0"/>
        <w:spacing w:before="200" w:after="200"/>
        <w:rPr>
          <w:rFonts w:eastAsia="Arial" w:cs="Arial"/>
          <w:sz w:val="20"/>
          <w:szCs w:val="20"/>
        </w:rPr>
      </w:pPr>
      <w:r>
        <w:rPr>
          <w:rFonts w:eastAsia="Arial" w:cs="Arial"/>
          <w:sz w:val="20"/>
          <w:szCs w:val="20"/>
        </w:rPr>
        <w:t>Each commercial e-mail must include clear and conspicuous identification that the message is an advertisement or solicitation; a valid physical postal address of the sender; and a valid return address or other method for the recipient to "opt-out" from receiving further e-mails.</w:t>
      </w:r>
    </w:p>
    <w:p>
      <w:bookmarkEnd w:id="712"/>
      <w:bookmarkStart w:id="713" w:name="Sec_Chp_061016102255750_061016102256640"/>
    </w:p>
    <w:p>
      <w:pPr>
        <w:pStyle w:val="Heading4"/>
      </w:pPr>
      <w:r>
        <w:t>10.3.10.6 E-Mail Collection and Retention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Because KCD recognizes that many records it is required to maintain by law are in e-mail form, its employees will comply with the following e-mail collection and retention procedures.</w:t>
      </w:r>
    </w:p>
    <w:p>
      <w:bookmarkEnd w:id="713"/>
      <w:bookmarkStart w:id="714" w:name="Sec_Chp_061016102255750_061016102256656"/>
    </w:p>
    <w:p>
      <w:pPr>
        <w:pStyle w:val="Heading5"/>
      </w:pPr>
      <w:r>
        <w:t>10.3.10.6.1 E-Mail Definition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e-mail collected or maintained pursuant to these procedures shall include:</w:t>
      </w:r>
    </w:p>
    <w:p>
      <w:pPr>
        <w:numPr>
          <w:ilvl w:val="0"/>
          <w:numId w:val="606"/>
        </w:numPr>
        <w:spacing w:before="200"/>
        <w:ind w:left="720" w:hanging="192"/>
        <w:jc w:val="left"/>
        <w:rPr>
          <w:rFonts w:eastAsia="Arial" w:cs="Arial"/>
          <w:sz w:val="20"/>
          <w:szCs w:val="20"/>
        </w:rPr>
      </w:pPr>
      <w:r>
        <w:rPr>
          <w:rFonts w:eastAsia="Arial" w:cs="Arial"/>
          <w:sz w:val="20"/>
          <w:szCs w:val="20"/>
        </w:rPr>
        <w:t xml:space="preserve">Content of the e-mail, including text and e-mail addresses in the address fields; and </w:t>
      </w:r>
    </w:p>
    <w:p>
      <w:pPr>
        <w:numPr>
          <w:ilvl w:val="0"/>
          <w:numId w:val="606"/>
        </w:numPr>
        <w:spacing w:after="200"/>
        <w:ind w:left="720" w:hanging="192"/>
        <w:jc w:val="left"/>
        <w:rPr>
          <w:rFonts w:eastAsia="Arial" w:cs="Arial"/>
          <w:sz w:val="20"/>
          <w:szCs w:val="20"/>
        </w:rPr>
      </w:pPr>
      <w:r>
        <w:rPr>
          <w:rFonts w:eastAsia="Arial" w:cs="Arial"/>
          <w:sz w:val="20"/>
          <w:szCs w:val="20"/>
        </w:rPr>
        <w:t>Data format of the e-mail, including support to display any attachment.</w:t>
      </w:r>
    </w:p>
    <w:p>
      <w:bookmarkEnd w:id="714"/>
      <w:bookmarkStart w:id="715" w:name="Sec_Chp_061016102255750_061016102256671"/>
    </w:p>
    <w:p>
      <w:pPr>
        <w:pStyle w:val="Heading5"/>
      </w:pPr>
      <w:r>
        <w:t>10.3.10.6.2 E-Mail Capture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capture all internal (e.g., from one employee to another) and external (e.g., from a client to an employee) e-mail received and sent by employees by:</w:t>
      </w:r>
    </w:p>
    <w:p>
      <w:pPr>
        <w:numPr>
          <w:ilvl w:val="0"/>
          <w:numId w:val="607"/>
        </w:numPr>
        <w:spacing w:before="200"/>
        <w:ind w:left="720" w:hanging="192"/>
        <w:jc w:val="left"/>
        <w:rPr>
          <w:rFonts w:eastAsia="Arial" w:cs="Arial"/>
          <w:sz w:val="20"/>
          <w:szCs w:val="20"/>
        </w:rPr>
      </w:pPr>
      <w:r>
        <w:rPr>
          <w:rFonts w:eastAsia="Arial" w:cs="Arial"/>
          <w:sz w:val="20"/>
          <w:szCs w:val="20"/>
        </w:rPr>
        <w:t xml:space="preserve">Using software that automatically captures the messages from the server during the routing process; or </w:t>
      </w:r>
    </w:p>
    <w:p>
      <w:pPr>
        <w:numPr>
          <w:ilvl w:val="0"/>
          <w:numId w:val="607"/>
        </w:numPr>
        <w:spacing w:after="200"/>
        <w:ind w:left="720" w:hanging="192"/>
        <w:jc w:val="left"/>
        <w:rPr>
          <w:rFonts w:eastAsia="Arial" w:cs="Arial"/>
          <w:sz w:val="20"/>
          <w:szCs w:val="20"/>
        </w:rPr>
      </w:pPr>
      <w:r>
        <w:rPr>
          <w:rFonts w:eastAsia="Arial" w:cs="Arial"/>
          <w:sz w:val="20"/>
          <w:szCs w:val="20"/>
        </w:rPr>
        <w:t>Some other method that ensures the prompt and complete recapture of e-mails.</w:t>
      </w:r>
    </w:p>
    <w:p>
      <w:bookmarkEnd w:id="715"/>
      <w:bookmarkStart w:id="716" w:name="Sec_Chp_061016102255750_061016102256687"/>
    </w:p>
    <w:p>
      <w:pPr>
        <w:pStyle w:val="Heading5"/>
      </w:pPr>
      <w:r>
        <w:t>10.3.10.6.3 Archiving E-Mails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archive all internal and external e-mails received and sent by employees in an electronic storage medium that, at a minimum:</w:t>
      </w:r>
    </w:p>
    <w:p>
      <w:pPr>
        <w:numPr>
          <w:ilvl w:val="0"/>
          <w:numId w:val="608"/>
        </w:numPr>
        <w:spacing w:before="200"/>
        <w:ind w:left="720" w:hanging="192"/>
        <w:jc w:val="left"/>
        <w:rPr>
          <w:rFonts w:eastAsia="Arial" w:cs="Arial"/>
          <w:sz w:val="20"/>
          <w:szCs w:val="20"/>
        </w:rPr>
      </w:pPr>
      <w:r>
        <w:rPr>
          <w:rFonts w:eastAsia="Arial" w:cs="Arial"/>
          <w:sz w:val="20"/>
          <w:szCs w:val="20"/>
        </w:rPr>
        <w:t xml:space="preserve">Ensures that the e-mail is maintained in a non-rewritable and non-erasable media; and </w:t>
      </w:r>
    </w:p>
    <w:p>
      <w:pPr>
        <w:numPr>
          <w:ilvl w:val="0"/>
          <w:numId w:val="608"/>
        </w:numPr>
        <w:spacing w:after="200"/>
        <w:ind w:left="720" w:hanging="192"/>
        <w:jc w:val="left"/>
        <w:rPr>
          <w:rFonts w:eastAsia="Arial" w:cs="Arial"/>
          <w:sz w:val="20"/>
          <w:szCs w:val="20"/>
        </w:rPr>
      </w:pPr>
      <w:r>
        <w:rPr>
          <w:rFonts w:eastAsia="Arial" w:cs="Arial"/>
          <w:sz w:val="20"/>
          <w:szCs w:val="20"/>
        </w:rPr>
        <w:t>Assigns a unique ID to the original e-mail and any duplicates of the e-mail.</w:t>
      </w:r>
    </w:p>
    <w:p>
      <w:pPr>
        <w:pStyle w:val="normal0"/>
        <w:spacing w:before="200" w:after="200"/>
        <w:rPr>
          <w:rFonts w:eastAsia="Arial" w:cs="Arial"/>
          <w:sz w:val="20"/>
          <w:szCs w:val="20"/>
        </w:rPr>
      </w:pPr>
      <w:r>
        <w:rPr>
          <w:rFonts w:eastAsia="Arial" w:cs="Arial"/>
          <w:sz w:val="20"/>
          <w:szCs w:val="20"/>
        </w:rPr>
        <w:t>Archived e-mails shall be backed up and maintained to allow access and retrieval for a period of two years on-site and at an off-site location for an additional three years.</w:t>
      </w:r>
    </w:p>
    <w:p>
      <w:bookmarkEnd w:id="716"/>
      <w:bookmarkStart w:id="717" w:name="Sec_Chp_061016102255750_061016102256703"/>
    </w:p>
    <w:p>
      <w:pPr>
        <w:pStyle w:val="Heading5"/>
      </w:pPr>
      <w:r>
        <w:t>10.3.10.6.4 Indexing E-Mails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prepare an index or indexes of all archived e-mails.</w:t>
      </w:r>
    </w:p>
    <w:p>
      <w:bookmarkEnd w:id="717"/>
      <w:bookmarkStart w:id="718" w:name="Sec_Chp_061016102255750_061016102256718"/>
    </w:p>
    <w:p>
      <w:pPr>
        <w:pStyle w:val="Heading5"/>
      </w:pPr>
      <w:r>
        <w:t>10.3.10.6.5 Accessing E-Mails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archive e-mails on a system that:</w:t>
      </w:r>
    </w:p>
    <w:p>
      <w:pPr>
        <w:numPr>
          <w:ilvl w:val="0"/>
          <w:numId w:val="609"/>
        </w:numPr>
        <w:spacing w:before="200"/>
        <w:ind w:left="720" w:hanging="192"/>
        <w:jc w:val="left"/>
        <w:rPr>
          <w:rFonts w:eastAsia="Arial" w:cs="Arial"/>
          <w:sz w:val="20"/>
          <w:szCs w:val="20"/>
        </w:rPr>
      </w:pPr>
      <w:r>
        <w:rPr>
          <w:rFonts w:eastAsia="Arial" w:cs="Arial"/>
          <w:sz w:val="20"/>
          <w:szCs w:val="20"/>
        </w:rPr>
        <w:t xml:space="preserve">Allows immediate access to e-mails and indexes of e-mails and the ability to immediately download and produce copies of those e-mails and indexes; </w:t>
      </w:r>
    </w:p>
    <w:p>
      <w:pPr>
        <w:numPr>
          <w:ilvl w:val="0"/>
          <w:numId w:val="609"/>
        </w:numPr>
        <w:ind w:left="720" w:hanging="192"/>
        <w:jc w:val="left"/>
        <w:rPr>
          <w:rFonts w:eastAsia="Arial" w:cs="Arial"/>
          <w:sz w:val="20"/>
          <w:szCs w:val="20"/>
        </w:rPr>
      </w:pPr>
      <w:r>
        <w:rPr>
          <w:rFonts w:eastAsia="Arial" w:cs="Arial"/>
          <w:sz w:val="20"/>
          <w:szCs w:val="20"/>
        </w:rPr>
        <w:t xml:space="preserve">Facilitates the location of particular e-mails, categories of e-mails (e.g., a range of dates), or indexes for production to regulatory inspectors or other persons; </w:t>
      </w:r>
    </w:p>
    <w:p>
      <w:pPr>
        <w:numPr>
          <w:ilvl w:val="0"/>
          <w:numId w:val="609"/>
        </w:numPr>
        <w:ind w:left="720" w:hanging="192"/>
        <w:jc w:val="left"/>
        <w:rPr>
          <w:rFonts w:eastAsia="Arial" w:cs="Arial"/>
          <w:sz w:val="20"/>
          <w:szCs w:val="20"/>
        </w:rPr>
      </w:pPr>
      <w:r>
        <w:rPr>
          <w:rFonts w:eastAsia="Arial" w:cs="Arial"/>
          <w:sz w:val="20"/>
          <w:szCs w:val="20"/>
        </w:rPr>
        <w:t xml:space="preserve">Limits access to archived e-mails via passwords or other methods to a limited number of authorized employees ("Authorized Persons") so as to minimize the possibility of the destruction or corruption of archived e-mails; and </w:t>
      </w:r>
    </w:p>
    <w:p>
      <w:pPr>
        <w:numPr>
          <w:ilvl w:val="0"/>
          <w:numId w:val="609"/>
        </w:numPr>
        <w:spacing w:after="200"/>
        <w:ind w:left="720" w:hanging="192"/>
        <w:jc w:val="left"/>
        <w:rPr>
          <w:rFonts w:eastAsia="Arial" w:cs="Arial"/>
          <w:sz w:val="20"/>
          <w:szCs w:val="20"/>
        </w:rPr>
      </w:pPr>
      <w:r>
        <w:rPr>
          <w:rFonts w:eastAsia="Arial" w:cs="Arial"/>
          <w:sz w:val="20"/>
          <w:szCs w:val="20"/>
        </w:rPr>
        <w:t>Prohibits a non-Authorized Person from searching for, opening, viewing, deleting, or altering an archived e-mail without (i) the permission of an Authorized Person; and (ii) a legitimate business purpose for taking such action.</w:t>
      </w:r>
    </w:p>
    <w:p>
      <w:bookmarkEnd w:id="718"/>
      <w:bookmarkStart w:id="719" w:name="Sec_Chp_061016102255750_061016102256734"/>
    </w:p>
    <w:p>
      <w:pPr>
        <w:pStyle w:val="Heading5"/>
      </w:pPr>
      <w:r>
        <w:t>10.3.10.6.6 E-Mail Audit Trail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 system that is designed to preserve the integrity of the archived e-mails by, at a minimum, creating an audit trail or records of:</w:t>
      </w:r>
    </w:p>
    <w:p>
      <w:pPr>
        <w:numPr>
          <w:ilvl w:val="0"/>
          <w:numId w:val="610"/>
        </w:numPr>
        <w:spacing w:before="200"/>
        <w:ind w:left="720" w:hanging="192"/>
        <w:jc w:val="left"/>
        <w:rPr>
          <w:rFonts w:eastAsia="Arial" w:cs="Arial"/>
          <w:sz w:val="20"/>
          <w:szCs w:val="20"/>
        </w:rPr>
      </w:pPr>
      <w:r>
        <w:rPr>
          <w:rFonts w:eastAsia="Arial" w:cs="Arial"/>
          <w:sz w:val="20"/>
          <w:szCs w:val="20"/>
        </w:rPr>
        <w:t xml:space="preserve">Inputs of e-mails; </w:t>
      </w:r>
    </w:p>
    <w:p>
      <w:pPr>
        <w:numPr>
          <w:ilvl w:val="0"/>
          <w:numId w:val="610"/>
        </w:numPr>
        <w:ind w:left="720" w:hanging="192"/>
        <w:jc w:val="left"/>
        <w:rPr>
          <w:rFonts w:eastAsia="Arial" w:cs="Arial"/>
          <w:sz w:val="20"/>
          <w:szCs w:val="20"/>
        </w:rPr>
      </w:pPr>
      <w:r>
        <w:rPr>
          <w:rFonts w:eastAsia="Arial" w:cs="Arial"/>
          <w:sz w:val="20"/>
          <w:szCs w:val="20"/>
        </w:rPr>
        <w:t xml:space="preserve">Changes or alterations to archived e-mails; </w:t>
      </w:r>
    </w:p>
    <w:p>
      <w:pPr>
        <w:numPr>
          <w:ilvl w:val="0"/>
          <w:numId w:val="610"/>
        </w:numPr>
        <w:ind w:left="720" w:hanging="192"/>
        <w:jc w:val="left"/>
        <w:rPr>
          <w:rFonts w:eastAsia="Arial" w:cs="Arial"/>
          <w:sz w:val="20"/>
          <w:szCs w:val="20"/>
        </w:rPr>
      </w:pPr>
      <w:r>
        <w:rPr>
          <w:rFonts w:eastAsia="Arial" w:cs="Arial"/>
          <w:sz w:val="20"/>
          <w:szCs w:val="20"/>
        </w:rPr>
        <w:t xml:space="preserve">Access to archived e-mails (e.g., time, date and name of person accessing the e-mail); and </w:t>
      </w:r>
    </w:p>
    <w:p>
      <w:pPr>
        <w:numPr>
          <w:ilvl w:val="0"/>
          <w:numId w:val="610"/>
        </w:numPr>
        <w:spacing w:after="200"/>
        <w:ind w:left="720" w:hanging="192"/>
        <w:jc w:val="left"/>
        <w:rPr>
          <w:rFonts w:eastAsia="Arial" w:cs="Arial"/>
          <w:sz w:val="20"/>
          <w:szCs w:val="20"/>
        </w:rPr>
      </w:pPr>
      <w:r>
        <w:rPr>
          <w:rFonts w:eastAsia="Arial" w:cs="Arial"/>
          <w:sz w:val="20"/>
          <w:szCs w:val="20"/>
        </w:rPr>
        <w:t xml:space="preserve">Destruction of e-mails. </w:t>
      </w:r>
    </w:p>
    <w:p>
      <w:bookmarkEnd w:id="719"/>
      <w:bookmarkStart w:id="720" w:name="Sec_Chp_061016102255750_061016102256750"/>
    </w:p>
    <w:p>
      <w:pPr>
        <w:pStyle w:val="Heading5"/>
      </w:pPr>
      <w:r>
        <w:t>10.3.10.6.7 E-Mail Destruction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destroy e-mails and copies of e-mails promptly after the expiration of any applicable record-retention policy and requirements set forth in the Recordkeeping section of this manual. As described in that section of the manual, records related to governmental investigations, lawsuits and similar matters may not be destroyed.</w:t>
      </w:r>
    </w:p>
    <w:p>
      <w:bookmarkEnd w:id="720"/>
      <w:bookmarkStart w:id="721" w:name="Sec_Chp_061016102255750_061016102256765"/>
    </w:p>
    <w:p>
      <w:pPr>
        <w:pStyle w:val="Heading5"/>
      </w:pPr>
      <w:r>
        <w:t>10.3.10.6.8 E-Mail Review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an attempt to monitor the compliance of employees with KCD's e-mail policy and to detect possible fraudulent or other improper activities, the Chief Compliance Officer or reviewer appointed by the Chief Compliance Officer shall periodically:</w:t>
      </w:r>
    </w:p>
    <w:p>
      <w:pPr>
        <w:numPr>
          <w:ilvl w:val="0"/>
          <w:numId w:val="611"/>
        </w:numPr>
        <w:spacing w:before="200"/>
        <w:ind w:left="720" w:hanging="192"/>
        <w:jc w:val="left"/>
        <w:rPr>
          <w:rFonts w:eastAsia="Arial" w:cs="Arial"/>
          <w:sz w:val="20"/>
          <w:szCs w:val="20"/>
        </w:rPr>
      </w:pPr>
      <w:r>
        <w:rPr>
          <w:rFonts w:eastAsia="Arial" w:cs="Arial"/>
          <w:sz w:val="20"/>
          <w:szCs w:val="20"/>
        </w:rPr>
        <w:t xml:space="preserve">Pull random samples of incoming, outgoing and deleted e-mails from a cross-section of employees; </w:t>
      </w:r>
    </w:p>
    <w:p>
      <w:pPr>
        <w:numPr>
          <w:ilvl w:val="0"/>
          <w:numId w:val="611"/>
        </w:numPr>
        <w:ind w:left="720" w:hanging="192"/>
        <w:jc w:val="left"/>
        <w:rPr>
          <w:rFonts w:eastAsia="Arial" w:cs="Arial"/>
          <w:sz w:val="20"/>
          <w:szCs w:val="20"/>
        </w:rPr>
      </w:pPr>
      <w:r>
        <w:rPr>
          <w:rFonts w:eastAsia="Arial" w:cs="Arial"/>
          <w:sz w:val="20"/>
          <w:szCs w:val="20"/>
        </w:rPr>
        <w:t>Review e-mail communications in the sample group and identify potential and/or actual compliance issues;</w:t>
      </w:r>
    </w:p>
    <w:p>
      <w:pPr>
        <w:numPr>
          <w:ilvl w:val="0"/>
          <w:numId w:val="611"/>
        </w:numPr>
        <w:ind w:left="720" w:hanging="192"/>
        <w:jc w:val="left"/>
        <w:rPr>
          <w:rFonts w:eastAsia="Arial" w:cs="Arial"/>
          <w:sz w:val="20"/>
          <w:szCs w:val="20"/>
        </w:rPr>
      </w:pPr>
      <w:r>
        <w:rPr>
          <w:rFonts w:eastAsia="Arial" w:cs="Arial"/>
          <w:sz w:val="20"/>
          <w:szCs w:val="20"/>
        </w:rPr>
        <w:t>Review the selected e-mails for improper or irregular communications and communications suggesting improper or illegal activity on behalf of the employee; and</w:t>
      </w:r>
    </w:p>
    <w:p>
      <w:pPr>
        <w:numPr>
          <w:ilvl w:val="0"/>
          <w:numId w:val="611"/>
        </w:numPr>
        <w:spacing w:after="200"/>
        <w:ind w:left="720" w:hanging="192"/>
        <w:jc w:val="left"/>
        <w:rPr>
          <w:rFonts w:eastAsia="Arial" w:cs="Arial"/>
          <w:sz w:val="20"/>
          <w:szCs w:val="20"/>
        </w:rPr>
      </w:pPr>
      <w:r>
        <w:rPr>
          <w:rFonts w:eastAsia="Arial" w:cs="Arial"/>
          <w:sz w:val="20"/>
          <w:szCs w:val="20"/>
        </w:rPr>
        <w:t>Advise employees of KCD's policy to selectively review e-mails as a means of deterring the use of e-mails for unauthorized activities.</w:t>
      </w:r>
    </w:p>
    <w:p>
      <w:pPr>
        <w:pStyle w:val="normal0"/>
        <w:spacing w:before="200" w:after="200"/>
        <w:rPr>
          <w:rFonts w:eastAsia="Arial" w:cs="Arial"/>
          <w:sz w:val="20"/>
          <w:szCs w:val="20"/>
        </w:rPr>
      </w:pPr>
      <w:r>
        <w:rPr>
          <w:rFonts w:eastAsia="Arial" w:cs="Arial"/>
          <w:sz w:val="20"/>
          <w:szCs w:val="20"/>
        </w:rPr>
        <w:t>The reviewer should be familiar with all organization policies and procedures regarding compliance for e-mail communication use before conducting the review.</w:t>
      </w:r>
    </w:p>
    <w:p>
      <w:pPr>
        <w:pStyle w:val="normal0"/>
        <w:spacing w:before="200" w:after="200"/>
        <w:rPr>
          <w:rFonts w:eastAsia="Arial" w:cs="Arial"/>
          <w:sz w:val="20"/>
          <w:szCs w:val="20"/>
        </w:rPr>
      </w:pPr>
      <w:r>
        <w:rPr>
          <w:rFonts w:eastAsia="Arial" w:cs="Arial"/>
          <w:sz w:val="20"/>
          <w:szCs w:val="20"/>
        </w:rPr>
        <w:t>The scope of the review of e-mails shall be based on some or all of the following factors:</w:t>
      </w:r>
    </w:p>
    <w:p>
      <w:pPr>
        <w:numPr>
          <w:ilvl w:val="0"/>
          <w:numId w:val="612"/>
        </w:numPr>
        <w:spacing w:before="200"/>
        <w:ind w:left="720" w:hanging="192"/>
        <w:jc w:val="left"/>
        <w:rPr>
          <w:rFonts w:eastAsia="Arial" w:cs="Arial"/>
          <w:sz w:val="20"/>
          <w:szCs w:val="20"/>
        </w:rPr>
      </w:pPr>
      <w:r>
        <w:rPr>
          <w:rFonts w:eastAsia="Arial" w:cs="Arial"/>
          <w:sz w:val="20"/>
          <w:szCs w:val="20"/>
        </w:rPr>
        <w:t>particular types of employees or employee groups;</w:t>
      </w:r>
    </w:p>
    <w:p>
      <w:pPr>
        <w:numPr>
          <w:ilvl w:val="0"/>
          <w:numId w:val="612"/>
        </w:numPr>
        <w:ind w:left="720" w:hanging="192"/>
        <w:jc w:val="left"/>
        <w:rPr>
          <w:rFonts w:eastAsia="Arial" w:cs="Arial"/>
          <w:sz w:val="20"/>
          <w:szCs w:val="20"/>
        </w:rPr>
      </w:pPr>
      <w:r>
        <w:rPr>
          <w:rFonts w:eastAsia="Arial" w:cs="Arial"/>
          <w:sz w:val="20"/>
          <w:szCs w:val="20"/>
        </w:rPr>
        <w:t>specific subject areas including those deemed to be "hot" areas by regulators and high risk areas;</w:t>
      </w:r>
    </w:p>
    <w:p>
      <w:pPr>
        <w:numPr>
          <w:ilvl w:val="0"/>
          <w:numId w:val="612"/>
        </w:numPr>
        <w:ind w:left="720" w:hanging="192"/>
        <w:jc w:val="left"/>
        <w:rPr>
          <w:rFonts w:eastAsia="Arial" w:cs="Arial"/>
          <w:sz w:val="20"/>
          <w:szCs w:val="20"/>
        </w:rPr>
      </w:pPr>
      <w:r>
        <w:rPr>
          <w:rFonts w:eastAsia="Arial" w:cs="Arial"/>
          <w:sz w:val="20"/>
          <w:szCs w:val="20"/>
        </w:rPr>
        <w:t>what time periods will be reviewed;</w:t>
      </w:r>
    </w:p>
    <w:p>
      <w:pPr>
        <w:numPr>
          <w:ilvl w:val="0"/>
          <w:numId w:val="612"/>
        </w:numPr>
        <w:ind w:left="720" w:hanging="192"/>
        <w:jc w:val="left"/>
        <w:rPr>
          <w:rFonts w:eastAsia="Arial" w:cs="Arial"/>
          <w:sz w:val="20"/>
          <w:szCs w:val="20"/>
        </w:rPr>
      </w:pPr>
      <w:r>
        <w:rPr>
          <w:rFonts w:eastAsia="Arial" w:cs="Arial"/>
          <w:sz w:val="20"/>
          <w:szCs w:val="20"/>
        </w:rPr>
        <w:t>resources available from KCD; and</w:t>
      </w:r>
    </w:p>
    <w:p>
      <w:pPr>
        <w:numPr>
          <w:ilvl w:val="0"/>
          <w:numId w:val="612"/>
        </w:numPr>
        <w:spacing w:after="200"/>
        <w:ind w:left="720" w:hanging="192"/>
        <w:jc w:val="left"/>
        <w:rPr>
          <w:rFonts w:eastAsia="Arial" w:cs="Arial"/>
          <w:sz w:val="20"/>
          <w:szCs w:val="20"/>
        </w:rPr>
      </w:pPr>
      <w:r>
        <w:rPr>
          <w:rFonts w:eastAsia="Arial" w:cs="Arial"/>
          <w:sz w:val="20"/>
          <w:szCs w:val="20"/>
        </w:rPr>
        <w:t>larger e-mail review projects can take significant time, but will produce more thorough results.</w:t>
      </w:r>
    </w:p>
    <w:p>
      <w:pPr>
        <w:pStyle w:val="normal0"/>
        <w:spacing w:before="200" w:after="200"/>
        <w:rPr>
          <w:rFonts w:eastAsia="Arial" w:cs="Arial"/>
          <w:sz w:val="20"/>
          <w:szCs w:val="20"/>
        </w:rPr>
      </w:pPr>
      <w:r>
        <w:rPr>
          <w:rFonts w:eastAsia="Arial" w:cs="Arial"/>
          <w:sz w:val="20"/>
          <w:szCs w:val="20"/>
        </w:rPr>
        <w:t>In an attempt to detect possible fraudulent or other improper activities, KCD shall:</w:t>
      </w:r>
    </w:p>
    <w:p>
      <w:pPr>
        <w:numPr>
          <w:ilvl w:val="0"/>
          <w:numId w:val="613"/>
        </w:numPr>
        <w:spacing w:before="200"/>
        <w:ind w:left="720" w:hanging="192"/>
        <w:jc w:val="left"/>
        <w:rPr>
          <w:rFonts w:eastAsia="Arial" w:cs="Arial"/>
          <w:sz w:val="20"/>
          <w:szCs w:val="20"/>
        </w:rPr>
      </w:pPr>
      <w:r>
        <w:rPr>
          <w:rFonts w:eastAsia="Arial" w:cs="Arial"/>
          <w:sz w:val="20"/>
          <w:szCs w:val="20"/>
        </w:rPr>
        <w:t xml:space="preserve">Obtain and install appropriate software on its e-mail system that allows "red flag" or key word searches; </w:t>
      </w:r>
    </w:p>
    <w:p>
      <w:pPr>
        <w:numPr>
          <w:ilvl w:val="0"/>
          <w:numId w:val="613"/>
        </w:numPr>
        <w:ind w:left="720" w:hanging="192"/>
        <w:jc w:val="left"/>
        <w:rPr>
          <w:rFonts w:eastAsia="Arial" w:cs="Arial"/>
          <w:sz w:val="20"/>
          <w:szCs w:val="20"/>
        </w:rPr>
      </w:pPr>
      <w:r>
        <w:rPr>
          <w:rFonts w:eastAsia="Arial" w:cs="Arial"/>
          <w:sz w:val="20"/>
          <w:szCs w:val="20"/>
        </w:rPr>
        <w:t>Develop and maintain a list of "red flag" or key words such as "IPO," "referral" and "quid pro quo;"</w:t>
      </w:r>
    </w:p>
    <w:p>
      <w:pPr>
        <w:numPr>
          <w:ilvl w:val="0"/>
          <w:numId w:val="613"/>
        </w:numPr>
        <w:ind w:left="720" w:hanging="192"/>
        <w:jc w:val="left"/>
        <w:rPr>
          <w:rFonts w:eastAsia="Arial" w:cs="Arial"/>
          <w:sz w:val="20"/>
          <w:szCs w:val="20"/>
        </w:rPr>
      </w:pPr>
      <w:r>
        <w:rPr>
          <w:rFonts w:eastAsia="Arial" w:cs="Arial"/>
          <w:sz w:val="20"/>
          <w:szCs w:val="20"/>
        </w:rPr>
        <w:t xml:space="preserve">Obtain "fuzzy logic" or other types of software to analyze the content of e-mail containing "red flags"; </w:t>
      </w:r>
    </w:p>
    <w:p>
      <w:pPr>
        <w:numPr>
          <w:ilvl w:val="0"/>
          <w:numId w:val="613"/>
        </w:numPr>
        <w:ind w:left="720" w:hanging="192"/>
        <w:jc w:val="left"/>
        <w:rPr>
          <w:rFonts w:eastAsia="Arial" w:cs="Arial"/>
          <w:sz w:val="20"/>
          <w:szCs w:val="20"/>
        </w:rPr>
      </w:pPr>
      <w:r>
        <w:rPr>
          <w:rFonts w:eastAsia="Arial" w:cs="Arial"/>
          <w:sz w:val="20"/>
          <w:szCs w:val="20"/>
        </w:rPr>
        <w:t>Set goals of what percentage of e-mail traffic will be searched every month and track the percentages of e-mails searched and analyzed;</w:t>
      </w:r>
    </w:p>
    <w:p>
      <w:pPr>
        <w:numPr>
          <w:ilvl w:val="0"/>
          <w:numId w:val="613"/>
        </w:numPr>
        <w:ind w:left="720" w:hanging="192"/>
        <w:jc w:val="left"/>
        <w:rPr>
          <w:rFonts w:eastAsia="Arial" w:cs="Arial"/>
          <w:sz w:val="20"/>
          <w:szCs w:val="20"/>
        </w:rPr>
      </w:pPr>
      <w:r>
        <w:rPr>
          <w:rFonts w:eastAsia="Arial" w:cs="Arial"/>
          <w:sz w:val="20"/>
          <w:szCs w:val="20"/>
        </w:rPr>
        <w:t>Periodically spot check e-mails to identify communications that contain red flags or key words and pull and analyze such e-mails including:</w:t>
      </w:r>
    </w:p>
    <w:p>
      <w:pPr>
        <w:numPr>
          <w:ilvl w:val="1"/>
          <w:numId w:val="613"/>
        </w:numPr>
        <w:ind w:left="1440" w:hanging="220"/>
        <w:jc w:val="left"/>
        <w:rPr>
          <w:rFonts w:eastAsia="Arial" w:cs="Arial"/>
          <w:sz w:val="20"/>
          <w:szCs w:val="20"/>
        </w:rPr>
      </w:pPr>
      <w:r>
        <w:rPr>
          <w:rFonts w:eastAsia="Arial" w:cs="Arial"/>
          <w:sz w:val="20"/>
          <w:szCs w:val="20"/>
        </w:rPr>
        <w:t>Lawsuit</w:t>
      </w:r>
    </w:p>
    <w:p>
      <w:pPr>
        <w:numPr>
          <w:ilvl w:val="1"/>
          <w:numId w:val="613"/>
        </w:numPr>
        <w:ind w:left="1440" w:hanging="220"/>
        <w:jc w:val="left"/>
        <w:rPr>
          <w:rFonts w:eastAsia="Arial" w:cs="Arial"/>
          <w:sz w:val="20"/>
          <w:szCs w:val="20"/>
        </w:rPr>
      </w:pPr>
      <w:r>
        <w:rPr>
          <w:rFonts w:eastAsia="Arial" w:cs="Arial"/>
          <w:sz w:val="20"/>
          <w:szCs w:val="20"/>
        </w:rPr>
        <w:t>Violation</w:t>
      </w:r>
    </w:p>
    <w:p>
      <w:pPr>
        <w:numPr>
          <w:ilvl w:val="1"/>
          <w:numId w:val="613"/>
        </w:numPr>
        <w:ind w:left="1440" w:hanging="220"/>
        <w:jc w:val="left"/>
        <w:rPr>
          <w:rFonts w:eastAsia="Arial" w:cs="Arial"/>
          <w:sz w:val="20"/>
          <w:szCs w:val="20"/>
        </w:rPr>
      </w:pPr>
      <w:r>
        <w:rPr>
          <w:rFonts w:eastAsia="Arial" w:cs="Arial"/>
          <w:sz w:val="20"/>
          <w:szCs w:val="20"/>
        </w:rPr>
        <w:t>Excess</w:t>
      </w:r>
    </w:p>
    <w:p>
      <w:pPr>
        <w:numPr>
          <w:ilvl w:val="1"/>
          <w:numId w:val="613"/>
        </w:numPr>
        <w:ind w:left="1440" w:hanging="220"/>
        <w:jc w:val="left"/>
        <w:rPr>
          <w:rFonts w:eastAsia="Arial" w:cs="Arial"/>
          <w:sz w:val="20"/>
          <w:szCs w:val="20"/>
        </w:rPr>
      </w:pPr>
      <w:r>
        <w:rPr>
          <w:rFonts w:eastAsia="Arial" w:cs="Arial"/>
          <w:sz w:val="20"/>
          <w:szCs w:val="20"/>
        </w:rPr>
        <w:t>Text me</w:t>
      </w:r>
    </w:p>
    <w:p>
      <w:pPr>
        <w:numPr>
          <w:ilvl w:val="1"/>
          <w:numId w:val="613"/>
        </w:numPr>
        <w:ind w:left="1440" w:hanging="220"/>
        <w:jc w:val="left"/>
        <w:rPr>
          <w:rFonts w:eastAsia="Arial" w:cs="Arial"/>
          <w:sz w:val="20"/>
          <w:szCs w:val="20"/>
        </w:rPr>
      </w:pPr>
      <w:r>
        <w:rPr>
          <w:rFonts w:eastAsia="Arial" w:cs="Arial"/>
          <w:sz w:val="20"/>
          <w:szCs w:val="20"/>
        </w:rPr>
        <w:t>Complaint</w:t>
      </w:r>
    </w:p>
    <w:p>
      <w:pPr>
        <w:numPr>
          <w:ilvl w:val="1"/>
          <w:numId w:val="613"/>
        </w:numPr>
        <w:ind w:left="1440" w:hanging="220"/>
        <w:jc w:val="left"/>
        <w:rPr>
          <w:rFonts w:eastAsia="Arial" w:cs="Arial"/>
          <w:sz w:val="20"/>
          <w:szCs w:val="20"/>
        </w:rPr>
      </w:pPr>
      <w:r>
        <w:rPr>
          <w:rFonts w:eastAsia="Arial" w:cs="Arial"/>
          <w:sz w:val="20"/>
          <w:szCs w:val="20"/>
        </w:rPr>
        <w:t>Fine</w:t>
      </w:r>
    </w:p>
    <w:p>
      <w:pPr>
        <w:numPr>
          <w:ilvl w:val="1"/>
          <w:numId w:val="613"/>
        </w:numPr>
        <w:ind w:left="1440" w:hanging="220"/>
        <w:jc w:val="left"/>
        <w:rPr>
          <w:rFonts w:eastAsia="Arial" w:cs="Arial"/>
          <w:sz w:val="20"/>
          <w:szCs w:val="20"/>
        </w:rPr>
      </w:pPr>
      <w:r>
        <w:rPr>
          <w:rFonts w:eastAsia="Arial" w:cs="Arial"/>
          <w:sz w:val="20"/>
          <w:szCs w:val="20"/>
        </w:rPr>
        <w:t>Correct</w:t>
      </w:r>
    </w:p>
    <w:p>
      <w:pPr>
        <w:numPr>
          <w:ilvl w:val="1"/>
          <w:numId w:val="613"/>
        </w:numPr>
        <w:ind w:left="1440" w:hanging="220"/>
        <w:jc w:val="left"/>
        <w:rPr>
          <w:rFonts w:eastAsia="Arial" w:cs="Arial"/>
          <w:sz w:val="20"/>
          <w:szCs w:val="20"/>
        </w:rPr>
      </w:pPr>
      <w:r>
        <w:rPr>
          <w:rFonts w:eastAsia="Arial" w:cs="Arial"/>
          <w:sz w:val="20"/>
          <w:szCs w:val="20"/>
        </w:rPr>
        <w:t>Losses</w:t>
      </w:r>
    </w:p>
    <w:p>
      <w:pPr>
        <w:numPr>
          <w:ilvl w:val="1"/>
          <w:numId w:val="613"/>
        </w:numPr>
        <w:ind w:left="1440" w:hanging="220"/>
        <w:jc w:val="left"/>
        <w:rPr>
          <w:rFonts w:eastAsia="Arial" w:cs="Arial"/>
          <w:sz w:val="20"/>
          <w:szCs w:val="20"/>
        </w:rPr>
      </w:pPr>
      <w:r>
        <w:rPr>
          <w:rFonts w:eastAsia="Arial" w:cs="Arial"/>
          <w:sz w:val="20"/>
          <w:szCs w:val="20"/>
        </w:rPr>
        <w:t>WhatsApp</w:t>
      </w:r>
    </w:p>
    <w:p>
      <w:pPr>
        <w:numPr>
          <w:ilvl w:val="1"/>
          <w:numId w:val="613"/>
        </w:numPr>
        <w:ind w:left="1440" w:hanging="220"/>
        <w:jc w:val="left"/>
        <w:rPr>
          <w:rFonts w:eastAsia="Arial" w:cs="Arial"/>
          <w:sz w:val="20"/>
          <w:szCs w:val="20"/>
        </w:rPr>
      </w:pPr>
      <w:r>
        <w:rPr>
          <w:rFonts w:eastAsia="Arial" w:cs="Arial"/>
          <w:sz w:val="20"/>
          <w:szCs w:val="20"/>
        </w:rPr>
        <w:t>Instagram (and the names of other popular social media sites)</w:t>
      </w:r>
    </w:p>
    <w:p>
      <w:pPr>
        <w:numPr>
          <w:ilvl w:val="1"/>
          <w:numId w:val="613"/>
        </w:numPr>
        <w:ind w:left="1440" w:hanging="220"/>
        <w:jc w:val="left"/>
        <w:rPr>
          <w:rFonts w:eastAsia="Arial" w:cs="Arial"/>
          <w:sz w:val="20"/>
          <w:szCs w:val="20"/>
        </w:rPr>
      </w:pPr>
      <w:r>
        <w:rPr>
          <w:rFonts w:eastAsia="Arial" w:cs="Arial"/>
          <w:sz w:val="20"/>
          <w:szCs w:val="20"/>
        </w:rPr>
        <w:t>Error</w:t>
      </w:r>
    </w:p>
    <w:p>
      <w:pPr>
        <w:numPr>
          <w:ilvl w:val="1"/>
          <w:numId w:val="613"/>
        </w:numPr>
        <w:ind w:left="1440" w:hanging="220"/>
        <w:jc w:val="left"/>
        <w:rPr>
          <w:rFonts w:eastAsia="Arial" w:cs="Arial"/>
          <w:sz w:val="20"/>
          <w:szCs w:val="20"/>
        </w:rPr>
      </w:pPr>
      <w:r>
        <w:rPr>
          <w:rFonts w:eastAsia="Arial" w:cs="Arial"/>
          <w:sz w:val="20"/>
          <w:szCs w:val="20"/>
        </w:rPr>
        <w:t>Fix</w:t>
      </w:r>
    </w:p>
    <w:p>
      <w:pPr>
        <w:numPr>
          <w:ilvl w:val="1"/>
          <w:numId w:val="613"/>
        </w:numPr>
        <w:ind w:left="1440" w:hanging="220"/>
        <w:jc w:val="left"/>
        <w:rPr>
          <w:rFonts w:eastAsia="Arial" w:cs="Arial"/>
          <w:sz w:val="20"/>
          <w:szCs w:val="20"/>
        </w:rPr>
      </w:pPr>
      <w:r>
        <w:rPr>
          <w:rFonts w:eastAsia="Arial" w:cs="Arial"/>
          <w:sz w:val="20"/>
          <w:szCs w:val="20"/>
        </w:rPr>
        <w:t>Make whole</w:t>
      </w:r>
    </w:p>
    <w:p>
      <w:pPr>
        <w:numPr>
          <w:ilvl w:val="1"/>
          <w:numId w:val="613"/>
        </w:numPr>
        <w:ind w:left="1440" w:hanging="220"/>
        <w:jc w:val="left"/>
        <w:rPr>
          <w:rFonts w:eastAsia="Arial" w:cs="Arial"/>
          <w:sz w:val="20"/>
          <w:szCs w:val="20"/>
        </w:rPr>
      </w:pPr>
      <w:r>
        <w:rPr>
          <w:rFonts w:eastAsia="Arial" w:cs="Arial"/>
          <w:sz w:val="20"/>
          <w:szCs w:val="20"/>
        </w:rPr>
        <w:t>SEC</w:t>
      </w:r>
    </w:p>
    <w:p>
      <w:pPr>
        <w:numPr>
          <w:ilvl w:val="1"/>
          <w:numId w:val="613"/>
        </w:numPr>
        <w:ind w:left="1440" w:hanging="220"/>
        <w:jc w:val="left"/>
        <w:rPr>
          <w:rFonts w:eastAsia="Arial" w:cs="Arial"/>
          <w:sz w:val="20"/>
          <w:szCs w:val="20"/>
        </w:rPr>
      </w:pPr>
      <w:r>
        <w:rPr>
          <w:rFonts w:eastAsia="Arial" w:cs="Arial"/>
          <w:sz w:val="20"/>
          <w:szCs w:val="20"/>
        </w:rPr>
        <w:t>My cell phone</w:t>
      </w:r>
    </w:p>
    <w:p>
      <w:pPr>
        <w:numPr>
          <w:ilvl w:val="0"/>
          <w:numId w:val="613"/>
        </w:numPr>
        <w:ind w:left="720" w:hanging="192"/>
        <w:jc w:val="left"/>
        <w:rPr>
          <w:rFonts w:eastAsia="Arial" w:cs="Arial"/>
          <w:sz w:val="20"/>
          <w:szCs w:val="20"/>
        </w:rPr>
      </w:pPr>
      <w:r>
        <w:rPr>
          <w:rFonts w:eastAsia="Arial" w:cs="Arial"/>
          <w:sz w:val="20"/>
          <w:szCs w:val="20"/>
        </w:rPr>
        <w:t>Investigate any potential securities law violation, e-mail policy violations or other serious improper activity that is the subject of a red-flagged e-mail; and</w:t>
      </w:r>
    </w:p>
    <w:p>
      <w:pPr>
        <w:numPr>
          <w:ilvl w:val="0"/>
          <w:numId w:val="613"/>
        </w:numPr>
        <w:spacing w:after="200"/>
        <w:ind w:left="720" w:hanging="192"/>
        <w:jc w:val="left"/>
        <w:rPr>
          <w:rFonts w:eastAsia="Arial" w:cs="Arial"/>
          <w:sz w:val="20"/>
          <w:szCs w:val="20"/>
        </w:rPr>
      </w:pPr>
      <w:r>
        <w:rPr>
          <w:rFonts w:eastAsia="Arial" w:cs="Arial"/>
          <w:sz w:val="20"/>
          <w:szCs w:val="20"/>
        </w:rPr>
        <w:t>Report the results of such investigation to senior management for appropriate action.</w:t>
      </w:r>
    </w:p>
    <w:p>
      <w:bookmarkEnd w:id="721"/>
      <w:bookmarkStart w:id="722" w:name="Sec_Chp_061016102255750_234251"/>
    </w:p>
    <w:p>
      <w:pPr>
        <w:pStyle w:val="Heading5"/>
      </w:pPr>
      <w:r>
        <w:t>10.3.10.6.9 Inadvertent E-Mails and Other Communications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receives an e-mail, text or message via a social media application that is not an approved form of communication, the Chief Compliance Officer shall:</w:t>
      </w:r>
    </w:p>
    <w:p>
      <w:pPr>
        <w:numPr>
          <w:ilvl w:val="0"/>
          <w:numId w:val="614"/>
        </w:numPr>
        <w:spacing w:before="200"/>
        <w:ind w:left="720" w:hanging="267"/>
        <w:jc w:val="left"/>
        <w:rPr>
          <w:rFonts w:eastAsia="Arial" w:cs="Arial"/>
          <w:sz w:val="20"/>
          <w:szCs w:val="20"/>
        </w:rPr>
      </w:pPr>
      <w:r>
        <w:rPr>
          <w:rFonts w:eastAsia="Arial" w:cs="Arial"/>
          <w:sz w:val="20"/>
          <w:szCs w:val="20"/>
        </w:rPr>
        <w:t>Contact the sender of the inadvertent communication that informs the sender of the appropriate method of electronically communicating with KCD including an e-mail address linked to an account that captures such e-mails, which includes the following message:</w:t>
      </w:r>
      <w:r>
        <w:rPr>
          <w:rFonts w:eastAsia="Arial" w:cs="Arial"/>
          <w:sz w:val="20"/>
          <w:szCs w:val="20"/>
        </w:rPr>
        <w:br/>
      </w:r>
      <w:r>
        <w:rPr>
          <w:rFonts w:eastAsia="Arial" w:cs="Arial"/>
          <w:sz w:val="20"/>
          <w:szCs w:val="20"/>
        </w:rPr>
        <w:br/>
      </w:r>
      <w:r>
        <w:rPr>
          <w:rFonts w:eastAsia="Arial" w:cs="Arial"/>
          <w:i/>
          <w:iCs/>
          <w:sz w:val="20"/>
          <w:szCs w:val="20"/>
        </w:rPr>
        <w:t>Please note that government regulations prohibit me from communicating with you through this form of communication. Please e-mail your message to me at [ ]@[ ].com or call me at ( ) [ ]-[ ]</w:t>
      </w:r>
      <w:r>
        <w:rPr>
          <w:rFonts w:eastAsia="Arial" w:cs="Arial"/>
          <w:sz w:val="20"/>
          <w:szCs w:val="20"/>
        </w:rPr>
        <w:br/>
      </w:r>
      <w:r>
        <w:rPr>
          <w:rFonts w:eastAsia="Arial" w:cs="Arial"/>
          <w:sz w:val="20"/>
          <w:szCs w:val="20"/>
        </w:rPr>
        <w:br/>
      </w:r>
      <w:r>
        <w:rPr>
          <w:rFonts w:eastAsia="Arial" w:cs="Arial"/>
          <w:sz w:val="20"/>
          <w:szCs w:val="20"/>
        </w:rPr>
        <w:t>or</w:t>
      </w:r>
    </w:p>
    <w:p>
      <w:pPr>
        <w:numPr>
          <w:ilvl w:val="0"/>
          <w:numId w:val="614"/>
        </w:numPr>
        <w:spacing w:after="200"/>
        <w:ind w:left="720" w:hanging="267"/>
        <w:jc w:val="left"/>
        <w:rPr>
          <w:rFonts w:eastAsia="Arial" w:cs="Arial"/>
          <w:sz w:val="20"/>
          <w:szCs w:val="20"/>
        </w:rPr>
      </w:pPr>
      <w:r>
        <w:rPr>
          <w:rFonts w:eastAsia="Arial" w:cs="Arial"/>
          <w:sz w:val="20"/>
          <w:szCs w:val="20"/>
        </w:rPr>
        <w:t>Block the sender from sending future communications to KCD via e-mail or social media application.</w:t>
      </w:r>
    </w:p>
    <w:p>
      <w:pPr>
        <w:pStyle w:val="normal0"/>
        <w:spacing w:before="200" w:after="200"/>
        <w:rPr>
          <w:rFonts w:eastAsia="Arial" w:cs="Arial"/>
          <w:sz w:val="20"/>
          <w:szCs w:val="20"/>
        </w:rPr>
      </w:pPr>
      <w:r>
        <w:rPr>
          <w:rFonts w:eastAsia="Arial" w:cs="Arial"/>
          <w:sz w:val="20"/>
          <w:szCs w:val="20"/>
        </w:rPr>
        <w:t>KCD shall:</w:t>
      </w:r>
    </w:p>
    <w:p>
      <w:pPr>
        <w:numPr>
          <w:ilvl w:val="0"/>
          <w:numId w:val="615"/>
        </w:numPr>
        <w:spacing w:before="200"/>
        <w:ind w:left="720" w:hanging="267"/>
        <w:jc w:val="left"/>
        <w:rPr>
          <w:rFonts w:eastAsia="Arial" w:cs="Arial"/>
          <w:sz w:val="20"/>
          <w:szCs w:val="20"/>
        </w:rPr>
      </w:pPr>
      <w:r>
        <w:rPr>
          <w:rFonts w:eastAsia="Arial" w:cs="Arial"/>
          <w:sz w:val="20"/>
          <w:szCs w:val="20"/>
        </w:rPr>
        <w:t>Document receipt of all inadvertent e-mails, texts and social media messages including the time, day, name of sender and name of recipient; and</w:t>
      </w:r>
    </w:p>
    <w:p>
      <w:pPr>
        <w:numPr>
          <w:ilvl w:val="0"/>
          <w:numId w:val="615"/>
        </w:numPr>
        <w:spacing w:after="200"/>
        <w:ind w:left="720" w:hanging="267"/>
        <w:jc w:val="left"/>
        <w:rPr>
          <w:rFonts w:eastAsia="Arial" w:cs="Arial"/>
          <w:sz w:val="20"/>
          <w:szCs w:val="20"/>
        </w:rPr>
      </w:pPr>
      <w:r>
        <w:rPr>
          <w:rFonts w:eastAsia="Arial" w:cs="Arial"/>
          <w:sz w:val="20"/>
          <w:szCs w:val="20"/>
        </w:rPr>
        <w:t>Electronically capture the inadvertent communication including forwarding it to a firm-approved e-mail account.</w:t>
      </w:r>
    </w:p>
    <w:p>
      <w:bookmarkEnd w:id="722"/>
      <w:bookmarkStart w:id="723" w:name="Sec_Chp_061016102255750_0610161031169"/>
    </w:p>
    <w:p>
      <w:pPr>
        <w:pStyle w:val="Heading5"/>
      </w:pPr>
      <w:r>
        <w:t>10.3.10.6.10 Non-Privacy of Employee Communications on Firm Systems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Employees should be aware and have no expectation of privacy with respect to any electronic communications (both incoming and outgoing) sent or received via Firm computers and network system because such communications are deemed to be both property of KCD and Firm business records. KCD has the capability and reserves the right for any reason to monitor, access, review, copy, delete, disclose and disseminate to any party any message sent, received or stored through KCD's computers and network system or on an employee's computer or other electronic device. Employee electronic communications are subject to, at any time and without notice to the employee, monitoring and review by KCD and/or its authorized agents as permitted or required by law. KCD may monitor the electronic communications of employees for any legal purpose including without limitation: regulatory requirements, investigating possible theft, monitoring work flow, retrieving missing business data in a Firm's absence, or complying with any state, federal or international laws or legal process, including without limitation, responding to subpoenas, court orders for surveillance and similar requests.</w:t>
      </w:r>
    </w:p>
    <w:p>
      <w:bookmarkEnd w:id="723"/>
      <w:bookmarkStart w:id="724" w:name="Sec_Chp_061016102255750_06103117"/>
    </w:p>
    <w:p>
      <w:pPr>
        <w:pStyle w:val="Heading4"/>
      </w:pPr>
      <w:r>
        <w:t>10.3.10.7 Off-Channel Communications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prohibits employees from engaging in off-channel communications with clients or prospective clients or other Firm employees. "Off-channel communications" shall mean any form of electronic communication not approved for use of Firm business by KCD. Off-channel communications include, among other things, conversations with clients and amongst investment personnel where no clients participate through personal e-mail and personal social media accounts about investment opportunities or discussions of investment strategies. In-person communications and telephone conversations are not deemed to be off-channel communications.</w:t>
      </w:r>
    </w:p>
    <w:p>
      <w:pPr>
        <w:pStyle w:val="normal0"/>
        <w:spacing w:before="200" w:after="200"/>
        <w:rPr>
          <w:rFonts w:eastAsia="Arial" w:cs="Arial"/>
          <w:sz w:val="20"/>
          <w:szCs w:val="20"/>
        </w:rPr>
      </w:pPr>
      <w:r>
        <w:rPr>
          <w:rFonts w:eastAsia="Arial" w:cs="Arial"/>
          <w:sz w:val="20"/>
          <w:szCs w:val="20"/>
        </w:rPr>
        <w:t>All Firm employees are prohibited from conducting business of KCD including interacting with Firm clients and vendors utilizing any accounts for electronic communication devices that have not been registered with KCD. KCD will maintain and disseminate to its employees a list of the permissible and impermissible electronic communication methods, which may include or exclude:</w:t>
      </w:r>
    </w:p>
    <w:p>
      <w:pPr>
        <w:numPr>
          <w:ilvl w:val="0"/>
          <w:numId w:val="616"/>
        </w:numPr>
        <w:spacing w:before="200"/>
        <w:ind w:left="720" w:hanging="192"/>
        <w:jc w:val="left"/>
        <w:rPr>
          <w:rFonts w:eastAsia="Arial" w:cs="Arial"/>
          <w:sz w:val="20"/>
          <w:szCs w:val="20"/>
        </w:rPr>
      </w:pPr>
      <w:r>
        <w:rPr>
          <w:rFonts w:eastAsia="Arial" w:cs="Arial"/>
          <w:sz w:val="20"/>
          <w:szCs w:val="20"/>
        </w:rPr>
        <w:t>Electronic Mail (e-mail)</w:t>
      </w:r>
    </w:p>
    <w:p>
      <w:pPr>
        <w:numPr>
          <w:ilvl w:val="0"/>
          <w:numId w:val="616"/>
        </w:numPr>
        <w:ind w:left="720" w:hanging="192"/>
        <w:jc w:val="left"/>
        <w:rPr>
          <w:rFonts w:eastAsia="Arial" w:cs="Arial"/>
          <w:sz w:val="20"/>
          <w:szCs w:val="20"/>
        </w:rPr>
      </w:pPr>
      <w:r>
        <w:rPr>
          <w:rFonts w:eastAsia="Arial" w:cs="Arial"/>
          <w:sz w:val="20"/>
          <w:szCs w:val="20"/>
        </w:rPr>
        <w:t>Bloomberg E-Mail</w:t>
      </w:r>
    </w:p>
    <w:p>
      <w:pPr>
        <w:numPr>
          <w:ilvl w:val="0"/>
          <w:numId w:val="616"/>
        </w:numPr>
        <w:ind w:left="720" w:hanging="192"/>
        <w:jc w:val="left"/>
        <w:rPr>
          <w:rFonts w:eastAsia="Arial" w:cs="Arial"/>
          <w:sz w:val="20"/>
          <w:szCs w:val="20"/>
        </w:rPr>
      </w:pPr>
      <w:r>
        <w:rPr>
          <w:rFonts w:eastAsia="Arial" w:cs="Arial"/>
          <w:sz w:val="20"/>
          <w:szCs w:val="20"/>
        </w:rPr>
        <w:t>Texts</w:t>
      </w:r>
    </w:p>
    <w:p>
      <w:pPr>
        <w:numPr>
          <w:ilvl w:val="0"/>
          <w:numId w:val="616"/>
        </w:numPr>
        <w:ind w:left="720" w:hanging="192"/>
        <w:jc w:val="left"/>
        <w:rPr>
          <w:rFonts w:eastAsia="Arial" w:cs="Arial"/>
          <w:sz w:val="20"/>
          <w:szCs w:val="20"/>
        </w:rPr>
      </w:pPr>
      <w:r>
        <w:rPr>
          <w:rFonts w:eastAsia="Arial" w:cs="Arial"/>
          <w:sz w:val="20"/>
          <w:szCs w:val="20"/>
        </w:rPr>
        <w:t>Communicating via Social Media</w:t>
      </w:r>
    </w:p>
    <w:p>
      <w:pPr>
        <w:numPr>
          <w:ilvl w:val="0"/>
          <w:numId w:val="616"/>
        </w:numPr>
        <w:ind w:left="720" w:hanging="192"/>
        <w:jc w:val="left"/>
        <w:rPr>
          <w:rFonts w:eastAsia="Arial" w:cs="Arial"/>
          <w:sz w:val="20"/>
          <w:szCs w:val="20"/>
        </w:rPr>
      </w:pPr>
      <w:r>
        <w:rPr>
          <w:rFonts w:eastAsia="Arial" w:cs="Arial"/>
          <w:sz w:val="20"/>
          <w:szCs w:val="20"/>
        </w:rPr>
        <w:t>Video chat</w:t>
      </w:r>
    </w:p>
    <w:p>
      <w:pPr>
        <w:numPr>
          <w:ilvl w:val="0"/>
          <w:numId w:val="616"/>
        </w:numPr>
        <w:ind w:left="720" w:hanging="192"/>
        <w:jc w:val="left"/>
        <w:rPr>
          <w:rFonts w:eastAsia="Arial" w:cs="Arial"/>
          <w:sz w:val="20"/>
          <w:szCs w:val="20"/>
        </w:rPr>
      </w:pPr>
      <w:r>
        <w:rPr>
          <w:rFonts w:eastAsia="Arial" w:cs="Arial"/>
          <w:sz w:val="20"/>
          <w:szCs w:val="20"/>
        </w:rPr>
        <w:t>Internet Telephone</w:t>
      </w:r>
    </w:p>
    <w:p>
      <w:pPr>
        <w:numPr>
          <w:ilvl w:val="0"/>
          <w:numId w:val="616"/>
        </w:numPr>
        <w:ind w:left="720" w:hanging="192"/>
        <w:jc w:val="left"/>
        <w:rPr>
          <w:rFonts w:eastAsia="Arial" w:cs="Arial"/>
          <w:sz w:val="20"/>
          <w:szCs w:val="20"/>
        </w:rPr>
      </w:pPr>
      <w:r>
        <w:rPr>
          <w:rFonts w:eastAsia="Arial" w:cs="Arial"/>
          <w:sz w:val="20"/>
          <w:szCs w:val="20"/>
        </w:rPr>
        <w:t>Facsimile (Fax)</w:t>
      </w:r>
    </w:p>
    <w:p>
      <w:pPr>
        <w:numPr>
          <w:ilvl w:val="0"/>
          <w:numId w:val="616"/>
        </w:numPr>
        <w:ind w:left="720" w:hanging="192"/>
        <w:jc w:val="left"/>
        <w:rPr>
          <w:rFonts w:eastAsia="Arial" w:cs="Arial"/>
          <w:sz w:val="20"/>
          <w:szCs w:val="20"/>
        </w:rPr>
      </w:pPr>
      <w:r>
        <w:rPr>
          <w:rFonts w:eastAsia="Arial" w:cs="Arial"/>
          <w:sz w:val="20"/>
          <w:szCs w:val="20"/>
        </w:rPr>
        <w:t>File Transfer Protocol (FTP)</w:t>
      </w:r>
    </w:p>
    <w:p>
      <w:pPr>
        <w:numPr>
          <w:ilvl w:val="0"/>
          <w:numId w:val="616"/>
        </w:numPr>
        <w:ind w:left="720" w:hanging="192"/>
        <w:jc w:val="left"/>
        <w:rPr>
          <w:rFonts w:eastAsia="Arial" w:cs="Arial"/>
          <w:sz w:val="20"/>
          <w:szCs w:val="20"/>
        </w:rPr>
      </w:pPr>
      <w:r>
        <w:rPr>
          <w:rFonts w:eastAsia="Arial" w:cs="Arial"/>
          <w:sz w:val="20"/>
          <w:szCs w:val="20"/>
        </w:rPr>
        <w:t>Electronic Bulletin Boards</w:t>
      </w:r>
    </w:p>
    <w:p>
      <w:pPr>
        <w:numPr>
          <w:ilvl w:val="0"/>
          <w:numId w:val="616"/>
        </w:numPr>
        <w:ind w:left="720" w:hanging="192"/>
        <w:jc w:val="left"/>
        <w:rPr>
          <w:rFonts w:eastAsia="Arial" w:cs="Arial"/>
          <w:sz w:val="20"/>
          <w:szCs w:val="20"/>
        </w:rPr>
      </w:pPr>
      <w:r>
        <w:rPr>
          <w:rFonts w:eastAsia="Arial" w:cs="Arial"/>
          <w:sz w:val="20"/>
          <w:szCs w:val="20"/>
        </w:rPr>
        <w:t>Chat Rooms</w:t>
      </w:r>
    </w:p>
    <w:p>
      <w:pPr>
        <w:numPr>
          <w:ilvl w:val="0"/>
          <w:numId w:val="616"/>
        </w:numPr>
        <w:ind w:left="720" w:hanging="192"/>
        <w:jc w:val="left"/>
        <w:rPr>
          <w:rFonts w:eastAsia="Arial" w:cs="Arial"/>
          <w:sz w:val="20"/>
          <w:szCs w:val="20"/>
        </w:rPr>
      </w:pPr>
      <w:r>
        <w:rPr>
          <w:rFonts w:eastAsia="Arial" w:cs="Arial"/>
          <w:sz w:val="20"/>
          <w:szCs w:val="20"/>
        </w:rPr>
        <w:t>Instant Messaging</w:t>
      </w:r>
    </w:p>
    <w:p>
      <w:pPr>
        <w:numPr>
          <w:ilvl w:val="0"/>
          <w:numId w:val="616"/>
        </w:numPr>
        <w:spacing w:after="200"/>
        <w:ind w:left="720" w:hanging="192"/>
        <w:jc w:val="left"/>
        <w:rPr>
          <w:rFonts w:eastAsia="Arial" w:cs="Arial"/>
          <w:sz w:val="20"/>
          <w:szCs w:val="20"/>
        </w:rPr>
      </w:pPr>
      <w:r>
        <w:rPr>
          <w:rFonts w:eastAsia="Arial" w:cs="Arial"/>
          <w:sz w:val="20"/>
          <w:szCs w:val="20"/>
        </w:rPr>
        <w:t>KCD, on such list, will indicate which type of employees may use which type of communications and the devices they may use to engage in such electronic communications.</w:t>
      </w:r>
    </w:p>
    <w:p>
      <w:pPr>
        <w:pStyle w:val="normal0"/>
        <w:spacing w:before="200" w:after="200"/>
        <w:rPr>
          <w:rFonts w:eastAsia="Arial" w:cs="Arial"/>
          <w:sz w:val="20"/>
          <w:szCs w:val="20"/>
        </w:rPr>
      </w:pPr>
      <w:r>
        <w:rPr>
          <w:rFonts w:eastAsia="Arial" w:cs="Arial"/>
          <w:sz w:val="20"/>
          <w:szCs w:val="20"/>
        </w:rPr>
        <w:t>KCD may not permit employees to engage in business communications through an app, platform or device if KCD is unable to capture such communications through applications or software (</w:t>
      </w:r>
      <w:r>
        <w:rPr>
          <w:rFonts w:eastAsia="Arial" w:cs="Arial"/>
          <w:i/>
          <w:iCs/>
          <w:sz w:val="20"/>
          <w:szCs w:val="20"/>
        </w:rPr>
        <w:t>e.g.,</w:t>
      </w:r>
      <w:r>
        <w:rPr>
          <w:rFonts w:eastAsia="Arial" w:cs="Arial"/>
          <w:sz w:val="20"/>
          <w:szCs w:val="20"/>
        </w:rPr>
        <w:t xml:space="preserve"> Bloomberg or Slack) and maintain them in a database that is searchable and retrievable.</w:t>
      </w:r>
    </w:p>
    <w:p>
      <w:pPr>
        <w:pStyle w:val="normal0"/>
        <w:spacing w:before="200" w:after="200"/>
        <w:rPr>
          <w:rFonts w:eastAsia="Arial" w:cs="Arial"/>
          <w:sz w:val="20"/>
          <w:szCs w:val="20"/>
        </w:rPr>
      </w:pPr>
      <w:r>
        <w:rPr>
          <w:rFonts w:eastAsia="Arial" w:cs="Arial"/>
          <w:sz w:val="20"/>
          <w:szCs w:val="20"/>
        </w:rPr>
        <w:t>In the event a Firm employee receives a business related electronic message using a prohibited form of communication, the employee shall forward the message to his or her Firm approved e-mail address for record retention purposes. Any response must come directly from the employee's Firm e-mail address.</w:t>
      </w:r>
    </w:p>
    <w:p>
      <w:pPr>
        <w:pStyle w:val="normal0"/>
        <w:spacing w:before="200" w:after="200"/>
        <w:rPr>
          <w:rFonts w:eastAsia="Arial" w:cs="Arial"/>
          <w:sz w:val="20"/>
          <w:szCs w:val="20"/>
        </w:rPr>
      </w:pPr>
      <w:r>
        <w:rPr>
          <w:rFonts w:eastAsia="Arial" w:cs="Arial"/>
          <w:sz w:val="20"/>
          <w:szCs w:val="20"/>
        </w:rPr>
        <w:t>Limited personal communications used on personal electronic communication devices or platforms such as on personal cell phones and laptops are permitted, provided such personal communications do not interfere with Firm business.</w:t>
      </w:r>
    </w:p>
    <w:p>
      <w:bookmarkEnd w:id="724"/>
      <w:bookmarkStart w:id="725" w:name="Sec_Chp_061016102255750_234255"/>
    </w:p>
    <w:p>
      <w:pPr>
        <w:pStyle w:val="Heading4"/>
      </w:pPr>
      <w:r>
        <w:t>10.3.10.8 Off-Channel Communications Testing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periodically conducts tests designed to ensure that KCD's off-channel communications policy is being complied with by employees including:</w:t>
      </w:r>
    </w:p>
    <w:p>
      <w:pPr>
        <w:numPr>
          <w:ilvl w:val="0"/>
          <w:numId w:val="617"/>
        </w:numPr>
        <w:spacing w:before="200"/>
        <w:ind w:left="720" w:hanging="192"/>
        <w:jc w:val="left"/>
        <w:rPr>
          <w:rFonts w:eastAsia="Arial" w:cs="Arial"/>
          <w:sz w:val="20"/>
          <w:szCs w:val="20"/>
        </w:rPr>
      </w:pPr>
      <w:r>
        <w:rPr>
          <w:rFonts w:eastAsia="Arial" w:cs="Arial"/>
          <w:sz w:val="20"/>
          <w:szCs w:val="20"/>
        </w:rPr>
        <w:t>Review of employee e-mails and other approved electronic communication channels for key words such as: "chat," "chat room," "text" and names of popular social media sites;</w:t>
      </w:r>
    </w:p>
    <w:p>
      <w:pPr>
        <w:numPr>
          <w:ilvl w:val="0"/>
          <w:numId w:val="617"/>
        </w:numPr>
        <w:ind w:left="720" w:hanging="192"/>
        <w:jc w:val="left"/>
        <w:rPr>
          <w:rFonts w:eastAsia="Arial" w:cs="Arial"/>
          <w:sz w:val="20"/>
          <w:szCs w:val="20"/>
        </w:rPr>
      </w:pPr>
      <w:r>
        <w:rPr>
          <w:rFonts w:eastAsia="Arial" w:cs="Arial"/>
          <w:sz w:val="20"/>
          <w:szCs w:val="20"/>
        </w:rPr>
        <w:t>Review of e-mails sent to KCD from clients and vendors for indications of any impermissible off-channel communications; and</w:t>
      </w:r>
    </w:p>
    <w:p>
      <w:pPr>
        <w:numPr>
          <w:ilvl w:val="0"/>
          <w:numId w:val="617"/>
        </w:numPr>
        <w:spacing w:after="200"/>
        <w:ind w:left="720" w:hanging="192"/>
        <w:jc w:val="left"/>
        <w:rPr>
          <w:rFonts w:eastAsia="Arial" w:cs="Arial"/>
          <w:sz w:val="20"/>
          <w:szCs w:val="20"/>
        </w:rPr>
      </w:pPr>
      <w:r>
        <w:rPr>
          <w:rFonts w:eastAsia="Arial" w:cs="Arial"/>
          <w:sz w:val="20"/>
          <w:szCs w:val="20"/>
        </w:rPr>
        <w:t>Review of KCD's off-channel communications policies and procedures to assess their adequacy and identify where enhancements may be needed.</w:t>
      </w:r>
    </w:p>
    <w:p>
      <w:bookmarkEnd w:id="725"/>
      <w:bookmarkStart w:id="726" w:name="Sec_Chp_061016102255750_234257"/>
    </w:p>
    <w:p>
      <w:pPr>
        <w:pStyle w:val="Heading4"/>
      </w:pPr>
      <w:r>
        <w:t>10.3.10.9 Video Conferencing</w:t>
      </w:r>
    </w:p>
    <w:p/>
    <w:p>
      <w:pPr>
        <w:rPr>
          <w:rFonts w:eastAsia="Arial" w:cs="Arial"/>
          <w:sz w:val="16"/>
          <w:szCs w:val="16"/>
        </w:rPr>
      </w:pPr>
      <w:r>
        <w:rPr>
          <w:rFonts w:eastAsia="Arial" w:cs="Arial"/>
          <w:sz w:val="16"/>
          <w:szCs w:val="16"/>
        </w:rPr>
        <w:t>[Investment Advisers Act of 1940 Rule 204-2]</w:t>
      </w:r>
    </w:p>
    <w:p/>
    <w:p>
      <w:pPr>
        <w:pStyle w:val="normal0"/>
        <w:spacing w:after="200"/>
        <w:rPr>
          <w:rFonts w:eastAsia="Arial" w:cs="Arial"/>
          <w:sz w:val="20"/>
          <w:szCs w:val="20"/>
        </w:rPr>
      </w:pPr>
      <w:r>
        <w:rPr>
          <w:rFonts w:eastAsia="Arial" w:cs="Arial"/>
          <w:sz w:val="20"/>
          <w:szCs w:val="20"/>
        </w:rPr>
        <w:t>Video conferencing for Firm business with clients, prospective clients, employees of KCD, vendors and other persons is permissible provided:</w:t>
      </w:r>
    </w:p>
    <w:p>
      <w:pPr>
        <w:numPr>
          <w:ilvl w:val="0"/>
          <w:numId w:val="618"/>
        </w:numPr>
        <w:spacing w:before="200"/>
        <w:ind w:left="720" w:hanging="192"/>
        <w:jc w:val="left"/>
        <w:rPr>
          <w:rFonts w:eastAsia="Arial" w:cs="Arial"/>
          <w:sz w:val="20"/>
          <w:szCs w:val="20"/>
        </w:rPr>
      </w:pPr>
      <w:r>
        <w:rPr>
          <w:rFonts w:eastAsia="Arial" w:cs="Arial"/>
          <w:sz w:val="20"/>
          <w:szCs w:val="20"/>
        </w:rPr>
        <w:t>The video conference occurs on a platform previously authorized by KCD (</w:t>
      </w:r>
      <w:r>
        <w:rPr>
          <w:rFonts w:eastAsia="Arial" w:cs="Arial"/>
          <w:i/>
          <w:iCs/>
          <w:sz w:val="20"/>
          <w:szCs w:val="20"/>
        </w:rPr>
        <w:t>e.g.,</w:t>
      </w:r>
      <w:r>
        <w:rPr>
          <w:rFonts w:eastAsia="Arial" w:cs="Arial"/>
          <w:sz w:val="20"/>
          <w:szCs w:val="20"/>
        </w:rPr>
        <w:t xml:space="preserve"> a Firm-licensed Teams, WebEx or Zoom interface);</w:t>
      </w:r>
    </w:p>
    <w:p>
      <w:pPr>
        <w:numPr>
          <w:ilvl w:val="0"/>
          <w:numId w:val="618"/>
        </w:numPr>
        <w:ind w:left="720" w:hanging="192"/>
        <w:jc w:val="left"/>
        <w:rPr>
          <w:rFonts w:eastAsia="Arial" w:cs="Arial"/>
          <w:sz w:val="20"/>
          <w:szCs w:val="20"/>
        </w:rPr>
      </w:pPr>
      <w:r>
        <w:rPr>
          <w:rFonts w:eastAsia="Arial" w:cs="Arial"/>
          <w:sz w:val="20"/>
          <w:szCs w:val="20"/>
        </w:rPr>
        <w:t>Firm employees are connected to the video conference through a Firm-approved device;</w:t>
      </w:r>
    </w:p>
    <w:p>
      <w:pPr>
        <w:numPr>
          <w:ilvl w:val="0"/>
          <w:numId w:val="618"/>
        </w:numPr>
        <w:ind w:left="720" w:hanging="192"/>
        <w:jc w:val="left"/>
        <w:rPr>
          <w:rFonts w:eastAsia="Arial" w:cs="Arial"/>
          <w:sz w:val="20"/>
          <w:szCs w:val="20"/>
        </w:rPr>
      </w:pPr>
      <w:r>
        <w:rPr>
          <w:rFonts w:eastAsia="Arial" w:cs="Arial"/>
          <w:sz w:val="20"/>
          <w:szCs w:val="20"/>
        </w:rPr>
        <w:t>Materials (</w:t>
      </w:r>
      <w:r>
        <w:rPr>
          <w:rFonts w:eastAsia="Arial" w:cs="Arial"/>
          <w:i/>
          <w:iCs/>
          <w:sz w:val="20"/>
          <w:szCs w:val="20"/>
        </w:rPr>
        <w:t>e.g.,</w:t>
      </w:r>
      <w:r>
        <w:rPr>
          <w:rFonts w:eastAsia="Arial" w:cs="Arial"/>
          <w:sz w:val="20"/>
          <w:szCs w:val="20"/>
        </w:rPr>
        <w:t xml:space="preserve"> PowerPoint presentations, charts, </w:t>
      </w:r>
      <w:r>
        <w:rPr>
          <w:rFonts w:eastAsia="Arial" w:cs="Arial"/>
          <w:i/>
          <w:iCs/>
          <w:sz w:val="20"/>
          <w:szCs w:val="20"/>
        </w:rPr>
        <w:t>etc.</w:t>
      </w:r>
      <w:r>
        <w:rPr>
          <w:rFonts w:eastAsia="Arial" w:cs="Arial"/>
          <w:sz w:val="20"/>
          <w:szCs w:val="20"/>
        </w:rPr>
        <w:t>) are maintained and archived as part of KCD's books and records; and</w:t>
      </w:r>
    </w:p>
    <w:p>
      <w:pPr>
        <w:numPr>
          <w:ilvl w:val="0"/>
          <w:numId w:val="618"/>
        </w:numPr>
        <w:spacing w:after="200"/>
        <w:ind w:left="720" w:hanging="192"/>
        <w:jc w:val="left"/>
        <w:rPr>
          <w:rFonts w:eastAsia="Arial" w:cs="Arial"/>
          <w:sz w:val="20"/>
          <w:szCs w:val="20"/>
        </w:rPr>
      </w:pPr>
      <w:r>
        <w:rPr>
          <w:rFonts w:eastAsia="Arial" w:cs="Arial"/>
          <w:sz w:val="20"/>
          <w:szCs w:val="20"/>
        </w:rPr>
        <w:t>Recorded video conferences, which is optional, shall be maintained and archived as part of KCD's books and records. In addition, the list of participants in the recorded video conference should be maintained.</w:t>
      </w:r>
    </w:p>
    <w:p>
      <w:bookmarkEnd w:id="726"/>
      <w:bookmarkStart w:id="727" w:name="Sec_Chp_061016102255750_06103118"/>
    </w:p>
    <w:p>
      <w:pPr>
        <w:pStyle w:val="Heading4"/>
      </w:pPr>
      <w:r>
        <w:t>10.3.10.10 Business E-Mail Compromises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generally will follow its cybersecurity procedures when attempting to prevent, and responding to, business e-mail compromises (BCE), threats and actual attacks.</w:t>
      </w:r>
    </w:p>
    <w:p>
      <w:bookmarkEnd w:id="727"/>
      <w:bookmarkStart w:id="728" w:name="Sec_Chp_061016102255750_061016102256796"/>
    </w:p>
    <w:p>
      <w:pPr>
        <w:pStyle w:val="Heading3"/>
      </w:pPr>
      <w:bookmarkStart w:id="729" w:name="_Toc256000193"/>
      <w:r>
        <w:t>10.3.11 Gift and Entertainment Policy</w:t>
      </w:r>
      <w:bookmarkEnd w:id="729"/>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sections describe procedures designed to address gift and entertainment policies.</w:t>
      </w:r>
    </w:p>
    <w:p>
      <w:bookmarkEnd w:id="728"/>
    </w:p>
    <w:p>
      <w:pPr>
        <w:pStyle w:val="Heading4"/>
      </w:pPr>
      <w:r>
        <w:t>10.3.11.1 General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giving and receiving of gifts and entertainment can create or appear to create a conflict of interest and place KCD in a difficult position. Such activities can also interfere with the impartial discharge of KCD's responsibilities to its clients. An employee should never give a gift or provide entertainment where they are intended or designed to cause the recipient to act in a manner that is inconsistent with the best interests of the client or KCD or that is illegal or would expose KCD to any potential liability from a governmental authority or agency.</w:t>
      </w:r>
    </w:p>
    <w:p>
      <w:pPr>
        <w:pStyle w:val="normal0"/>
        <w:spacing w:before="200" w:after="200"/>
        <w:rPr>
          <w:rFonts w:eastAsia="Arial" w:cs="Arial"/>
          <w:sz w:val="20"/>
          <w:szCs w:val="20"/>
        </w:rPr>
      </w:pPr>
      <w:r>
        <w:rPr>
          <w:rFonts w:eastAsia="Arial" w:cs="Arial"/>
          <w:sz w:val="20"/>
          <w:szCs w:val="20"/>
        </w:rPr>
        <w:t>Entertainment is appropriate only when it is used to foster and promote business relationships for KCD.</w:t>
      </w:r>
    </w:p>
    <w:p/>
    <w:p>
      <w:pPr>
        <w:pStyle w:val="Heading4"/>
      </w:pPr>
      <w:r>
        <w:t>10.3.11.2 Definitions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"Business Contacts" include persons employed by the following types of service providers to KCD or Hedge Funds:</w:t>
      </w:r>
    </w:p>
    <w:p>
      <w:pPr>
        <w:numPr>
          <w:ilvl w:val="0"/>
          <w:numId w:val="619"/>
        </w:numPr>
        <w:spacing w:before="200"/>
        <w:ind w:left="720" w:hanging="192"/>
        <w:jc w:val="left"/>
        <w:rPr>
          <w:rFonts w:eastAsia="Arial" w:cs="Arial"/>
          <w:sz w:val="20"/>
          <w:szCs w:val="20"/>
        </w:rPr>
      </w:pPr>
      <w:r>
        <w:rPr>
          <w:rFonts w:eastAsia="Arial" w:cs="Arial"/>
          <w:sz w:val="20"/>
          <w:szCs w:val="20"/>
        </w:rPr>
        <w:t>Brokers and securities salespersons</w:t>
      </w:r>
    </w:p>
    <w:p>
      <w:pPr>
        <w:numPr>
          <w:ilvl w:val="0"/>
          <w:numId w:val="619"/>
        </w:numPr>
        <w:ind w:left="720" w:hanging="192"/>
        <w:jc w:val="left"/>
        <w:rPr>
          <w:rFonts w:eastAsia="Arial" w:cs="Arial"/>
          <w:sz w:val="20"/>
          <w:szCs w:val="20"/>
        </w:rPr>
      </w:pPr>
      <w:r>
        <w:rPr>
          <w:rFonts w:eastAsia="Arial" w:cs="Arial"/>
          <w:sz w:val="20"/>
          <w:szCs w:val="20"/>
        </w:rPr>
        <w:t>Clients</w:t>
      </w:r>
    </w:p>
    <w:p>
      <w:pPr>
        <w:numPr>
          <w:ilvl w:val="0"/>
          <w:numId w:val="619"/>
        </w:numPr>
        <w:ind w:left="720" w:hanging="192"/>
        <w:jc w:val="left"/>
        <w:rPr>
          <w:rFonts w:eastAsia="Arial" w:cs="Arial"/>
          <w:sz w:val="20"/>
          <w:szCs w:val="20"/>
        </w:rPr>
      </w:pPr>
      <w:r>
        <w:rPr>
          <w:rFonts w:eastAsia="Arial" w:cs="Arial"/>
          <w:sz w:val="20"/>
          <w:szCs w:val="20"/>
        </w:rPr>
        <w:t>Consultants</w:t>
      </w:r>
    </w:p>
    <w:p>
      <w:pPr>
        <w:numPr>
          <w:ilvl w:val="0"/>
          <w:numId w:val="619"/>
        </w:numPr>
        <w:ind w:left="720" w:hanging="192"/>
        <w:jc w:val="left"/>
        <w:rPr>
          <w:rFonts w:eastAsia="Arial" w:cs="Arial"/>
          <w:sz w:val="20"/>
          <w:szCs w:val="20"/>
        </w:rPr>
      </w:pPr>
      <w:r>
        <w:rPr>
          <w:rFonts w:eastAsia="Arial" w:cs="Arial"/>
          <w:sz w:val="20"/>
          <w:szCs w:val="20"/>
        </w:rPr>
        <w:t>Suppliers</w:t>
      </w:r>
    </w:p>
    <w:p>
      <w:pPr>
        <w:numPr>
          <w:ilvl w:val="0"/>
          <w:numId w:val="619"/>
        </w:numPr>
        <w:ind w:left="720" w:hanging="192"/>
        <w:jc w:val="left"/>
        <w:rPr>
          <w:rFonts w:eastAsia="Arial" w:cs="Arial"/>
          <w:sz w:val="20"/>
          <w:szCs w:val="20"/>
        </w:rPr>
      </w:pPr>
      <w:r>
        <w:rPr>
          <w:rFonts w:eastAsia="Arial" w:cs="Arial"/>
          <w:sz w:val="20"/>
          <w:szCs w:val="20"/>
        </w:rPr>
        <w:t>Vendors</w:t>
      </w:r>
    </w:p>
    <w:p>
      <w:pPr>
        <w:numPr>
          <w:ilvl w:val="0"/>
          <w:numId w:val="619"/>
        </w:numPr>
        <w:spacing w:after="200"/>
        <w:ind w:left="720" w:hanging="192"/>
        <w:jc w:val="left"/>
        <w:rPr>
          <w:rFonts w:eastAsia="Arial" w:cs="Arial"/>
          <w:sz w:val="20"/>
          <w:szCs w:val="20"/>
        </w:rPr>
      </w:pPr>
      <w:r>
        <w:rPr>
          <w:rFonts w:eastAsia="Arial" w:cs="Arial"/>
          <w:sz w:val="20"/>
          <w:szCs w:val="20"/>
        </w:rPr>
        <w:t>Any other individual or organization with whom KCD has or is considering a business or other relationship.</w:t>
      </w:r>
    </w:p>
    <w:p>
      <w:pPr>
        <w:pStyle w:val="normal0"/>
        <w:spacing w:before="200" w:after="200"/>
        <w:rPr>
          <w:rFonts w:eastAsia="Arial" w:cs="Arial"/>
          <w:sz w:val="20"/>
          <w:szCs w:val="20"/>
        </w:rPr>
      </w:pPr>
      <w:r>
        <w:rPr>
          <w:rFonts w:eastAsia="Arial" w:cs="Arial"/>
          <w:sz w:val="20"/>
          <w:szCs w:val="20"/>
        </w:rPr>
        <w:t>"Gifts" include:</w:t>
      </w:r>
    </w:p>
    <w:p>
      <w:pPr>
        <w:numPr>
          <w:ilvl w:val="0"/>
          <w:numId w:val="620"/>
        </w:numPr>
        <w:spacing w:before="200"/>
        <w:ind w:left="720" w:hanging="192"/>
        <w:jc w:val="left"/>
        <w:rPr>
          <w:rFonts w:eastAsia="Arial" w:cs="Arial"/>
          <w:sz w:val="20"/>
          <w:szCs w:val="20"/>
        </w:rPr>
      </w:pPr>
      <w:r>
        <w:rPr>
          <w:rFonts w:eastAsia="Arial" w:cs="Arial"/>
          <w:sz w:val="20"/>
          <w:szCs w:val="20"/>
        </w:rPr>
        <w:t>Gratuities</w:t>
      </w:r>
    </w:p>
    <w:p>
      <w:pPr>
        <w:numPr>
          <w:ilvl w:val="0"/>
          <w:numId w:val="620"/>
        </w:numPr>
        <w:ind w:left="720" w:hanging="192"/>
        <w:jc w:val="left"/>
        <w:rPr>
          <w:rFonts w:eastAsia="Arial" w:cs="Arial"/>
          <w:sz w:val="20"/>
          <w:szCs w:val="20"/>
        </w:rPr>
      </w:pPr>
      <w:r>
        <w:rPr>
          <w:rFonts w:eastAsia="Arial" w:cs="Arial"/>
          <w:sz w:val="20"/>
          <w:szCs w:val="20"/>
        </w:rPr>
        <w:t>Merchandise</w:t>
      </w:r>
    </w:p>
    <w:p>
      <w:pPr>
        <w:numPr>
          <w:ilvl w:val="0"/>
          <w:numId w:val="620"/>
        </w:numPr>
        <w:spacing w:after="200"/>
        <w:ind w:left="720" w:hanging="192"/>
        <w:jc w:val="left"/>
        <w:rPr>
          <w:rFonts w:eastAsia="Arial" w:cs="Arial"/>
          <w:sz w:val="20"/>
          <w:szCs w:val="20"/>
        </w:rPr>
      </w:pPr>
      <w:r>
        <w:rPr>
          <w:rFonts w:eastAsia="Arial" w:cs="Arial"/>
          <w:sz w:val="20"/>
          <w:szCs w:val="20"/>
        </w:rPr>
        <w:t>Use of property or facilities for weekends, vacations, trips, dinners and similar purposes (including transportation and lodging costs)</w:t>
      </w:r>
    </w:p>
    <w:p>
      <w:pPr>
        <w:pStyle w:val="normal0"/>
        <w:spacing w:before="200" w:after="200"/>
        <w:rPr>
          <w:rFonts w:eastAsia="Arial" w:cs="Arial"/>
          <w:sz w:val="20"/>
          <w:szCs w:val="20"/>
        </w:rPr>
      </w:pPr>
      <w:r>
        <w:rPr>
          <w:rFonts w:eastAsia="Arial" w:cs="Arial"/>
          <w:sz w:val="20"/>
          <w:szCs w:val="20"/>
        </w:rPr>
        <w:t>"Gifts" do not include: (1) a gift given in recognition of a life event (</w:t>
      </w:r>
      <w:r>
        <w:rPr>
          <w:rFonts w:eastAsia="Arial" w:cs="Arial"/>
          <w:i/>
          <w:iCs/>
          <w:sz w:val="20"/>
          <w:szCs w:val="20"/>
        </w:rPr>
        <w:t>e.g.,</w:t>
      </w:r>
      <w:r>
        <w:rPr>
          <w:rFonts w:eastAsia="Arial" w:cs="Arial"/>
          <w:sz w:val="20"/>
          <w:szCs w:val="20"/>
        </w:rPr>
        <w:t xml:space="preserve"> anniversary), provided the giver and recipient has a pre-existing personal or family relationship; and (2) items of nominal value (</w:t>
      </w:r>
      <w:r>
        <w:rPr>
          <w:rFonts w:eastAsia="Arial" w:cs="Arial"/>
          <w:i/>
          <w:iCs/>
          <w:sz w:val="20"/>
          <w:szCs w:val="20"/>
        </w:rPr>
        <w:t>i.e.,</w:t>
      </w:r>
      <w:r>
        <w:rPr>
          <w:rFonts w:eastAsia="Arial" w:cs="Arial"/>
          <w:sz w:val="20"/>
          <w:szCs w:val="20"/>
        </w:rPr>
        <w:t xml:space="preserve"> $50 or less) such as pens, notepads, shirts and other items often containing a company's logo.</w:t>
      </w:r>
    </w:p>
    <w:p>
      <w:pPr>
        <w:pStyle w:val="normal0"/>
        <w:spacing w:before="200" w:after="200"/>
        <w:rPr>
          <w:rFonts w:eastAsia="Arial" w:cs="Arial"/>
          <w:sz w:val="20"/>
          <w:szCs w:val="20"/>
        </w:rPr>
      </w:pPr>
      <w:r>
        <w:rPr>
          <w:rFonts w:eastAsia="Arial" w:cs="Arial"/>
          <w:sz w:val="20"/>
          <w:szCs w:val="20"/>
        </w:rPr>
        <w:t>"Entertainment" includes:</w:t>
      </w:r>
    </w:p>
    <w:p>
      <w:pPr>
        <w:numPr>
          <w:ilvl w:val="0"/>
          <w:numId w:val="621"/>
        </w:numPr>
        <w:spacing w:before="200"/>
        <w:ind w:left="720" w:hanging="192"/>
        <w:jc w:val="left"/>
        <w:rPr>
          <w:rFonts w:eastAsia="Arial" w:cs="Arial"/>
          <w:sz w:val="20"/>
          <w:szCs w:val="20"/>
        </w:rPr>
      </w:pPr>
      <w:r>
        <w:rPr>
          <w:rFonts w:eastAsia="Arial" w:cs="Arial"/>
          <w:sz w:val="20"/>
          <w:szCs w:val="20"/>
        </w:rPr>
        <w:t>Social events</w:t>
      </w:r>
    </w:p>
    <w:p>
      <w:pPr>
        <w:numPr>
          <w:ilvl w:val="0"/>
          <w:numId w:val="621"/>
        </w:numPr>
        <w:ind w:left="720" w:hanging="192"/>
        <w:jc w:val="left"/>
        <w:rPr>
          <w:rFonts w:eastAsia="Arial" w:cs="Arial"/>
          <w:sz w:val="20"/>
          <w:szCs w:val="20"/>
        </w:rPr>
      </w:pPr>
      <w:r>
        <w:rPr>
          <w:rFonts w:eastAsia="Arial" w:cs="Arial"/>
          <w:sz w:val="20"/>
          <w:szCs w:val="20"/>
        </w:rPr>
        <w:t>Hospitality events</w:t>
      </w:r>
    </w:p>
    <w:p>
      <w:pPr>
        <w:numPr>
          <w:ilvl w:val="0"/>
          <w:numId w:val="621"/>
        </w:numPr>
        <w:ind w:left="720" w:hanging="192"/>
        <w:jc w:val="left"/>
        <w:rPr>
          <w:rFonts w:eastAsia="Arial" w:cs="Arial"/>
          <w:sz w:val="20"/>
          <w:szCs w:val="20"/>
        </w:rPr>
      </w:pPr>
      <w:r>
        <w:rPr>
          <w:rFonts w:eastAsia="Arial" w:cs="Arial"/>
          <w:sz w:val="20"/>
          <w:szCs w:val="20"/>
        </w:rPr>
        <w:t>Charitable events</w:t>
      </w:r>
    </w:p>
    <w:p>
      <w:pPr>
        <w:numPr>
          <w:ilvl w:val="0"/>
          <w:numId w:val="621"/>
        </w:numPr>
        <w:ind w:left="720" w:hanging="192"/>
        <w:jc w:val="left"/>
        <w:rPr>
          <w:rFonts w:eastAsia="Arial" w:cs="Arial"/>
          <w:sz w:val="20"/>
          <w:szCs w:val="20"/>
        </w:rPr>
      </w:pPr>
      <w:r>
        <w:rPr>
          <w:rFonts w:eastAsia="Arial" w:cs="Arial"/>
          <w:sz w:val="20"/>
          <w:szCs w:val="20"/>
        </w:rPr>
        <w:t>Sporting events</w:t>
      </w:r>
    </w:p>
    <w:p>
      <w:pPr>
        <w:numPr>
          <w:ilvl w:val="0"/>
          <w:numId w:val="621"/>
        </w:numPr>
        <w:ind w:left="720" w:hanging="192"/>
        <w:jc w:val="left"/>
        <w:rPr>
          <w:rFonts w:eastAsia="Arial" w:cs="Arial"/>
          <w:sz w:val="20"/>
          <w:szCs w:val="20"/>
        </w:rPr>
      </w:pPr>
      <w:r>
        <w:rPr>
          <w:rFonts w:eastAsia="Arial" w:cs="Arial"/>
          <w:sz w:val="20"/>
          <w:szCs w:val="20"/>
        </w:rPr>
        <w:t>Meals</w:t>
      </w:r>
    </w:p>
    <w:p>
      <w:pPr>
        <w:numPr>
          <w:ilvl w:val="0"/>
          <w:numId w:val="621"/>
        </w:numPr>
        <w:ind w:left="720" w:hanging="192"/>
        <w:jc w:val="left"/>
        <w:rPr>
          <w:rFonts w:eastAsia="Arial" w:cs="Arial"/>
          <w:sz w:val="20"/>
          <w:szCs w:val="20"/>
        </w:rPr>
      </w:pPr>
      <w:r>
        <w:rPr>
          <w:rFonts w:eastAsia="Arial" w:cs="Arial"/>
          <w:sz w:val="20"/>
          <w:szCs w:val="20"/>
        </w:rPr>
        <w:t>Dinners</w:t>
      </w:r>
    </w:p>
    <w:p>
      <w:pPr>
        <w:numPr>
          <w:ilvl w:val="0"/>
          <w:numId w:val="621"/>
        </w:numPr>
        <w:spacing w:after="200"/>
        <w:ind w:left="720" w:hanging="192"/>
        <w:jc w:val="left"/>
        <w:rPr>
          <w:rFonts w:eastAsia="Arial" w:cs="Arial"/>
          <w:sz w:val="20"/>
          <w:szCs w:val="20"/>
        </w:rPr>
      </w:pPr>
      <w:r>
        <w:rPr>
          <w:rFonts w:eastAsia="Arial" w:cs="Arial"/>
          <w:sz w:val="20"/>
          <w:szCs w:val="20"/>
        </w:rPr>
        <w:t>Theatrical shows</w:t>
      </w:r>
    </w:p>
    <w:p>
      <w:pPr>
        <w:pStyle w:val="normal0"/>
        <w:spacing w:before="200" w:after="200"/>
        <w:rPr>
          <w:rFonts w:eastAsia="Arial" w:cs="Arial"/>
          <w:sz w:val="20"/>
          <w:szCs w:val="20"/>
        </w:rPr>
      </w:pPr>
      <w:r>
        <w:rPr>
          <w:rFonts w:eastAsia="Arial" w:cs="Arial"/>
          <w:sz w:val="20"/>
          <w:szCs w:val="20"/>
        </w:rPr>
        <w:t>"Entertainment" does not include:</w:t>
      </w:r>
    </w:p>
    <w:p>
      <w:pPr>
        <w:numPr>
          <w:ilvl w:val="0"/>
          <w:numId w:val="622"/>
        </w:numPr>
        <w:spacing w:before="200"/>
        <w:ind w:left="720" w:hanging="192"/>
        <w:jc w:val="left"/>
        <w:rPr>
          <w:rFonts w:eastAsia="Arial" w:cs="Arial"/>
          <w:sz w:val="20"/>
          <w:szCs w:val="20"/>
        </w:rPr>
      </w:pPr>
      <w:r>
        <w:rPr>
          <w:rFonts w:eastAsia="Arial" w:cs="Arial"/>
          <w:sz w:val="20"/>
          <w:szCs w:val="20"/>
        </w:rPr>
        <w:t>a social event or trip where each participant pays his or her expenses, including the allocable shared expenses, and the fair market value of any aspect of the trip (</w:t>
      </w:r>
      <w:r>
        <w:rPr>
          <w:rFonts w:eastAsia="Arial" w:cs="Arial"/>
          <w:i/>
          <w:iCs/>
          <w:sz w:val="20"/>
          <w:szCs w:val="20"/>
        </w:rPr>
        <w:t>e.g.,</w:t>
      </w:r>
      <w:r>
        <w:rPr>
          <w:rFonts w:eastAsia="Arial" w:cs="Arial"/>
          <w:sz w:val="20"/>
          <w:szCs w:val="20"/>
        </w:rPr>
        <w:t xml:space="preserve"> use of resort house and transportation); or</w:t>
      </w:r>
    </w:p>
    <w:p>
      <w:pPr>
        <w:numPr>
          <w:ilvl w:val="0"/>
          <w:numId w:val="622"/>
        </w:numPr>
        <w:spacing w:after="200"/>
        <w:ind w:left="720" w:hanging="192"/>
        <w:jc w:val="left"/>
        <w:rPr>
          <w:rFonts w:eastAsia="Arial" w:cs="Arial"/>
          <w:sz w:val="20"/>
          <w:szCs w:val="20"/>
        </w:rPr>
      </w:pPr>
      <w:r>
        <w:rPr>
          <w:rFonts w:eastAsia="Arial" w:cs="Arial"/>
          <w:sz w:val="20"/>
          <w:szCs w:val="20"/>
        </w:rPr>
        <w:t>a vendor-sponsored event (</w:t>
      </w:r>
      <w:r>
        <w:rPr>
          <w:rFonts w:eastAsia="Arial" w:cs="Arial"/>
          <w:i/>
          <w:iCs/>
          <w:sz w:val="20"/>
          <w:szCs w:val="20"/>
        </w:rPr>
        <w:t>e.g.,</w:t>
      </w:r>
      <w:r>
        <w:rPr>
          <w:rFonts w:eastAsia="Arial" w:cs="Arial"/>
          <w:sz w:val="20"/>
          <w:szCs w:val="20"/>
        </w:rPr>
        <w:t xml:space="preserve"> a dinner, golf outing or sporting event) where both the Firm employee and a vendor representative attends.</w:t>
      </w:r>
    </w:p>
    <w:p>
      <w:pPr>
        <w:pStyle w:val="normal0"/>
        <w:spacing w:before="200" w:after="200"/>
        <w:rPr>
          <w:rFonts w:eastAsia="Arial" w:cs="Arial"/>
          <w:sz w:val="20"/>
          <w:szCs w:val="20"/>
        </w:rPr>
      </w:pPr>
      <w:r>
        <w:rPr>
          <w:rFonts w:eastAsia="Arial" w:cs="Arial"/>
          <w:sz w:val="20"/>
          <w:szCs w:val="20"/>
        </w:rPr>
        <w:t>When deciding whether merchandise, entertainment or a similar benefit is a "gift" for this policy, KCD shall consider SEC Rule 206(4)-1(e)(2) (the marketing rule), which states that an amount $1000 or below during a 12-month period is deemed to be "de minimis."</w:t>
      </w:r>
    </w:p>
    <w:p/>
    <w:p>
      <w:pPr>
        <w:pStyle w:val="Heading4"/>
      </w:pPr>
      <w:r>
        <w:t>10.3.11.3 Accepting Gifts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employee may accept a gift from a business contact of a company provided the aggregated value of all gifts received by that employee from all business contacts of the company does not exceed $100 in any calendar year. An employee may not accept gifts, favors or other things of value that could influence the decision-making of the employee or make the employee feel beholden to the person or entity giving the gift or thing of value or providing the favor.</w:t>
      </w:r>
    </w:p>
    <w:p>
      <w:pPr>
        <w:pStyle w:val="normal0"/>
        <w:spacing w:before="200" w:after="200"/>
        <w:rPr>
          <w:rFonts w:eastAsia="Arial" w:cs="Arial"/>
          <w:sz w:val="20"/>
          <w:szCs w:val="20"/>
        </w:rPr>
      </w:pPr>
      <w:r>
        <w:rPr>
          <w:rFonts w:eastAsia="Arial" w:cs="Arial"/>
          <w:sz w:val="20"/>
          <w:szCs w:val="20"/>
        </w:rPr>
        <w:t>An employee may not accept gifts, favors or other things of value from broker-dealers that execute client trades unless KCD establishes a pre-clearance mechanism for acceptance of gifts from broker-dealers and the chief compliance officer in consultation with outside counsel or third-party compliance consultants finds that such practices are consistent with KCD's fiduciary duties to clients and such practices are disclosed to clients.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The SEC issued the following guidance to investment company advisers in IM Guidance Update No. 2015-01 (February 2015), which on a general level is applicable to all advisers: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receipt of gifts or entertainment by fund advisory personnel, among others, may violate section 17(e)(1) of the 1940 Act and, in the staff's view, should be addressed by funds' compliance policies and procedures under rule 38a-1. The particular policies and procedures concerning the receipt of gifts or entertainment that might be appropriate would depend on the nature of the adviser's business, among other considerations. Some funds and advisers might find a blanket prohibition on the receipt of gifts or entertainment by fund advisory personnel to be appropriate. Other funds and advisers might find other measures to be more appropriate, such as some type of a pre-clearance mechanism for acceptances of gifts or entertainment to assess whether they would be for the purchase or sale of any property to or for the fund and therefore prohibited under section 17(e)(1)."</w:t>
            </w:r>
          </w:p>
        </w:tc>
      </w:tr>
    </w:tbl>
    <w:p/>
    <w:p>
      <w:pPr>
        <w:pStyle w:val="Heading4"/>
      </w:pPr>
      <w:r>
        <w:t>10.3.11.4 Giving Gifts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employee may give a gift to a business contact of a company provided the aggregated value of all gifts given by KCD to all business contacts of the company does not exceed $100 in any calendar year. An employee may not give gifts, favors or other things of value to a client with the intent of influencing the decision-making of the client or making the client feel beholden to the employee or KCD especially if such client is acting as a fiduciary of or with power of attorney for another person.</w:t>
      </w:r>
    </w:p>
    <w:p/>
    <w:p>
      <w:pPr>
        <w:pStyle w:val="Heading4"/>
      </w:pPr>
      <w:r>
        <w:t>10.3.11.5 Accepting Entertainment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employee may accept entertainment from a business contact, provided the entertainment is:</w:t>
      </w:r>
    </w:p>
    <w:p>
      <w:pPr>
        <w:numPr>
          <w:ilvl w:val="0"/>
          <w:numId w:val="623"/>
        </w:numPr>
        <w:spacing w:before="200"/>
        <w:ind w:left="720" w:hanging="192"/>
        <w:jc w:val="left"/>
        <w:rPr>
          <w:rFonts w:eastAsia="Arial" w:cs="Arial"/>
          <w:sz w:val="20"/>
          <w:szCs w:val="20"/>
        </w:rPr>
      </w:pPr>
      <w:r>
        <w:rPr>
          <w:rFonts w:eastAsia="Arial" w:cs="Arial"/>
          <w:sz w:val="20"/>
          <w:szCs w:val="20"/>
        </w:rPr>
        <w:t>neither so frequent nor so extensive and lavish as to raise any question of impropriety;</w:t>
      </w:r>
    </w:p>
    <w:p>
      <w:pPr>
        <w:numPr>
          <w:ilvl w:val="0"/>
          <w:numId w:val="623"/>
        </w:numPr>
        <w:ind w:left="720" w:hanging="192"/>
        <w:jc w:val="left"/>
        <w:rPr>
          <w:rFonts w:eastAsia="Arial" w:cs="Arial"/>
          <w:sz w:val="20"/>
          <w:szCs w:val="20"/>
        </w:rPr>
      </w:pPr>
      <w:r>
        <w:rPr>
          <w:rFonts w:eastAsia="Arial" w:cs="Arial"/>
          <w:sz w:val="20"/>
          <w:szCs w:val="20"/>
        </w:rPr>
        <w:t>of a character such that both male and female guests would be comfortable attending; and</w:t>
      </w:r>
    </w:p>
    <w:p>
      <w:pPr>
        <w:numPr>
          <w:ilvl w:val="0"/>
          <w:numId w:val="623"/>
        </w:numPr>
        <w:spacing w:after="200"/>
        <w:ind w:left="720" w:hanging="192"/>
        <w:jc w:val="left"/>
        <w:rPr>
          <w:rFonts w:eastAsia="Arial" w:cs="Arial"/>
          <w:sz w:val="20"/>
          <w:szCs w:val="20"/>
        </w:rPr>
      </w:pPr>
      <w:r>
        <w:rPr>
          <w:rFonts w:eastAsia="Arial" w:cs="Arial"/>
          <w:sz w:val="20"/>
          <w:szCs w:val="20"/>
        </w:rPr>
        <w:t>legal and not offensive.</w:t>
      </w:r>
    </w:p>
    <w:p>
      <w:pPr>
        <w:pStyle w:val="normal0"/>
        <w:spacing w:before="200" w:after="200"/>
        <w:rPr>
          <w:rFonts w:eastAsia="Arial" w:cs="Arial"/>
          <w:sz w:val="20"/>
          <w:szCs w:val="20"/>
        </w:rPr>
      </w:pPr>
      <w:r>
        <w:rPr>
          <w:rFonts w:eastAsia="Arial" w:cs="Arial"/>
          <w:sz w:val="20"/>
          <w:szCs w:val="20"/>
        </w:rPr>
        <w:t>An employee may not accept entertainment from broker-dealers that execute client trades unless KCD establishes a pre-clearance mechanism for acceptance of entertainment from broker-dealers and the chief compliance officer in consultation with outside counsel or third-party compliance consultants finds that such practices are consistent with KCD's fiduciary duties to clients and such practices are disclosed to clients.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The SEC issued the following guidance to investment company advisers in IM Guidance Update No. 2015-01 (February 2015), which on a general level is applicable to all advisers: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receipt of gifts or entertainment by fund advisory personnel, among others, may violate section 17(e)(1) of the 1940 Act and, in the staff's view, should be addressed by funds' compliance policies and procedures under rule 38a-1. The particular policies and procedures concerning the receipt of gifts or entertainment that might be appropriate would depend on the nature of the adviser's business, among other considerations. Some funds and advisers might find a blanket prohibition on the receipt of gifts or entertainment by fund advisory personnel to be appropriate. Other funds and advisers might find other measures to be more appropriate, such as some type of a pre-clearance mechanism for acceptances of gifts or entertainment to assess whether they would be for the purchase or sale of any property to or for the fund and therefore prohibited under section 17(e)(1)."</w:t>
            </w:r>
          </w:p>
        </w:tc>
      </w:tr>
    </w:tbl>
    <w:p/>
    <w:p>
      <w:pPr>
        <w:pStyle w:val="Heading4"/>
      </w:pPr>
      <w:r>
        <w:t>10.3.11.6 Providing Entertainment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employee may provide entertainment to a business contact provided the entertainment is:</w:t>
      </w:r>
    </w:p>
    <w:p>
      <w:pPr>
        <w:numPr>
          <w:ilvl w:val="0"/>
          <w:numId w:val="624"/>
        </w:numPr>
        <w:spacing w:before="200"/>
        <w:ind w:left="720" w:hanging="192"/>
        <w:jc w:val="left"/>
        <w:rPr>
          <w:rFonts w:eastAsia="Arial" w:cs="Arial"/>
          <w:sz w:val="20"/>
          <w:szCs w:val="20"/>
        </w:rPr>
      </w:pPr>
      <w:r>
        <w:rPr>
          <w:rFonts w:eastAsia="Arial" w:cs="Arial"/>
          <w:sz w:val="20"/>
          <w:szCs w:val="20"/>
        </w:rPr>
        <w:t>neither so frequent nor so extensive and lavish as to raise any question of impropriety;</w:t>
      </w:r>
    </w:p>
    <w:p>
      <w:pPr>
        <w:numPr>
          <w:ilvl w:val="0"/>
          <w:numId w:val="624"/>
        </w:numPr>
        <w:ind w:left="720" w:hanging="192"/>
        <w:jc w:val="left"/>
        <w:rPr>
          <w:rFonts w:eastAsia="Arial" w:cs="Arial"/>
          <w:sz w:val="20"/>
          <w:szCs w:val="20"/>
        </w:rPr>
      </w:pPr>
      <w:r>
        <w:rPr>
          <w:rFonts w:eastAsia="Arial" w:cs="Arial"/>
          <w:sz w:val="20"/>
          <w:szCs w:val="20"/>
        </w:rPr>
        <w:t>of a character such that both male and female guests would be comfortable attending; and</w:t>
      </w:r>
    </w:p>
    <w:p>
      <w:pPr>
        <w:numPr>
          <w:ilvl w:val="0"/>
          <w:numId w:val="624"/>
        </w:numPr>
        <w:spacing w:after="200"/>
        <w:ind w:left="720" w:hanging="192"/>
        <w:jc w:val="left"/>
        <w:rPr>
          <w:rFonts w:eastAsia="Arial" w:cs="Arial"/>
          <w:sz w:val="20"/>
          <w:szCs w:val="20"/>
        </w:rPr>
      </w:pPr>
      <w:r>
        <w:rPr>
          <w:rFonts w:eastAsia="Arial" w:cs="Arial"/>
          <w:sz w:val="20"/>
          <w:szCs w:val="20"/>
        </w:rPr>
        <w:t>legal and not offensive.</w:t>
      </w:r>
    </w:p>
    <w:p/>
    <w:p>
      <w:pPr>
        <w:pStyle w:val="Heading4"/>
      </w:pPr>
      <w:r>
        <w:t>10.3.11.7 Prohibitions</w:t>
      </w:r>
    </w:p>
    <w:p/>
    <w:p>
      <w:pPr>
        <w:rPr>
          <w:rFonts w:eastAsia="Arial" w:cs="Arial"/>
          <w:sz w:val="16"/>
          <w:szCs w:val="16"/>
        </w:rPr>
      </w:pPr>
    </w:p>
    <w:p>
      <w:pPr>
        <w:numPr>
          <w:ilvl w:val="0"/>
          <w:numId w:val="625"/>
        </w:numPr>
        <w:ind w:left="720" w:hanging="192"/>
        <w:jc w:val="left"/>
        <w:rPr>
          <w:rFonts w:eastAsia="Arial" w:cs="Arial"/>
          <w:sz w:val="20"/>
          <w:szCs w:val="20"/>
        </w:rPr>
      </w:pPr>
      <w:r>
        <w:rPr>
          <w:rFonts w:eastAsia="Arial" w:cs="Arial"/>
          <w:sz w:val="20"/>
          <w:szCs w:val="20"/>
        </w:rPr>
        <w:t>Employees may not solicit any gift or entertainment.</w:t>
      </w:r>
    </w:p>
    <w:p>
      <w:pPr>
        <w:numPr>
          <w:ilvl w:val="0"/>
          <w:numId w:val="625"/>
        </w:numPr>
        <w:ind w:left="720" w:hanging="192"/>
        <w:jc w:val="left"/>
        <w:rPr>
          <w:rFonts w:eastAsia="Arial" w:cs="Arial"/>
          <w:sz w:val="20"/>
          <w:szCs w:val="20"/>
        </w:rPr>
      </w:pPr>
      <w:r>
        <w:rPr>
          <w:rFonts w:eastAsia="Arial" w:cs="Arial"/>
          <w:sz w:val="20"/>
          <w:szCs w:val="20"/>
        </w:rPr>
        <w:t>Employees may not accept cash or a gift certificate.</w:t>
      </w:r>
    </w:p>
    <w:p>
      <w:pPr>
        <w:numPr>
          <w:ilvl w:val="0"/>
          <w:numId w:val="625"/>
        </w:numPr>
        <w:ind w:left="720" w:hanging="192"/>
        <w:jc w:val="left"/>
        <w:rPr>
          <w:rFonts w:eastAsia="Arial" w:cs="Arial"/>
          <w:sz w:val="20"/>
          <w:szCs w:val="20"/>
        </w:rPr>
      </w:pPr>
      <w:r>
        <w:rPr>
          <w:rFonts w:eastAsia="Arial" w:cs="Arial"/>
          <w:sz w:val="20"/>
          <w:szCs w:val="20"/>
        </w:rPr>
        <w:t>Employees may not accept gifts or entertainment from Hedge Fund investors or prospective Hedge Fund investors.</w:t>
      </w:r>
    </w:p>
    <w:p>
      <w:pPr>
        <w:numPr>
          <w:ilvl w:val="0"/>
          <w:numId w:val="625"/>
        </w:numPr>
        <w:ind w:left="720" w:hanging="192"/>
        <w:jc w:val="left"/>
        <w:rPr>
          <w:rFonts w:eastAsia="Arial" w:cs="Arial"/>
          <w:sz w:val="20"/>
          <w:szCs w:val="20"/>
        </w:rPr>
      </w:pPr>
      <w:r>
        <w:rPr>
          <w:rFonts w:eastAsia="Arial" w:cs="Arial"/>
          <w:sz w:val="20"/>
          <w:szCs w:val="20"/>
        </w:rPr>
        <w:t>If an employee is invited to an entertainment event and neither the business contact or business contact colleague attend, the entertainment will be deemed a "gift" subject to the rules on accepting gifts.</w:t>
      </w:r>
    </w:p>
    <w:p>
      <w:pPr>
        <w:numPr>
          <w:ilvl w:val="0"/>
          <w:numId w:val="625"/>
        </w:numPr>
        <w:ind w:left="720" w:hanging="192"/>
        <w:jc w:val="left"/>
        <w:rPr>
          <w:rFonts w:eastAsia="Arial" w:cs="Arial"/>
          <w:sz w:val="20"/>
          <w:szCs w:val="20"/>
        </w:rPr>
      </w:pPr>
      <w:r>
        <w:rPr>
          <w:rFonts w:eastAsia="Arial" w:cs="Arial"/>
          <w:sz w:val="20"/>
          <w:szCs w:val="20"/>
        </w:rPr>
        <w:t>An employee may not accept any form of loan from a client.</w:t>
      </w:r>
    </w:p>
    <w:p>
      <w:pPr>
        <w:numPr>
          <w:ilvl w:val="0"/>
          <w:numId w:val="625"/>
        </w:numPr>
        <w:ind w:left="720" w:hanging="192"/>
        <w:jc w:val="left"/>
        <w:rPr>
          <w:rFonts w:eastAsia="Arial" w:cs="Arial"/>
          <w:sz w:val="20"/>
          <w:szCs w:val="20"/>
        </w:rPr>
      </w:pPr>
      <w:r>
        <w:rPr>
          <w:rFonts w:eastAsia="Arial" w:cs="Arial"/>
          <w:sz w:val="20"/>
          <w:szCs w:val="20"/>
        </w:rPr>
        <w:t>A portfolio manager, trader or any other employee may not accept a gift or form of entertainment from any broker-dealer or employee of a broker-dealer that executes trades for clients.</w:t>
      </w:r>
    </w:p>
    <w:p>
      <w:pPr>
        <w:numPr>
          <w:ilvl w:val="0"/>
          <w:numId w:val="625"/>
        </w:numPr>
        <w:ind w:left="720" w:hanging="192"/>
        <w:jc w:val="left"/>
        <w:rPr>
          <w:rFonts w:eastAsia="Arial" w:cs="Arial"/>
          <w:sz w:val="20"/>
          <w:szCs w:val="20"/>
        </w:rPr>
      </w:pPr>
      <w:r>
        <w:rPr>
          <w:rFonts w:eastAsia="Arial" w:cs="Arial"/>
          <w:sz w:val="20"/>
          <w:szCs w:val="20"/>
        </w:rPr>
        <w:t>An employee may not accept any gift or entertainment that might influence his or her investment decision or that might make the employee feel beholden to any person or firm.</w:t>
      </w:r>
    </w:p>
    <w:p>
      <w:pPr>
        <w:numPr>
          <w:ilvl w:val="0"/>
          <w:numId w:val="625"/>
        </w:numPr>
        <w:ind w:left="720" w:hanging="192"/>
        <w:jc w:val="left"/>
        <w:rPr>
          <w:rFonts w:eastAsia="Arial" w:cs="Arial"/>
          <w:sz w:val="20"/>
          <w:szCs w:val="20"/>
        </w:rPr>
      </w:pPr>
      <w:r>
        <w:rPr>
          <w:rFonts w:eastAsia="Arial" w:cs="Arial"/>
          <w:sz w:val="20"/>
          <w:szCs w:val="20"/>
        </w:rPr>
        <w:t>Gifts or entertainment should not be accepted from a business contact on a standing, recurring or on-going basis.</w:t>
      </w:r>
    </w:p>
    <w:p>
      <w:pPr>
        <w:numPr>
          <w:ilvl w:val="0"/>
          <w:numId w:val="625"/>
        </w:numPr>
        <w:ind w:left="720" w:hanging="192"/>
        <w:jc w:val="left"/>
        <w:rPr>
          <w:rFonts w:eastAsia="Arial" w:cs="Arial"/>
          <w:sz w:val="20"/>
          <w:szCs w:val="20"/>
        </w:rPr>
      </w:pPr>
      <w:r>
        <w:rPr>
          <w:rFonts w:eastAsia="Arial" w:cs="Arial"/>
          <w:sz w:val="20"/>
          <w:szCs w:val="20"/>
        </w:rPr>
        <w:t>Gifts should be received at the workplace and not at the employee's home.</w:t>
      </w:r>
    </w:p>
    <w:p>
      <w:pPr>
        <w:numPr>
          <w:ilvl w:val="0"/>
          <w:numId w:val="625"/>
        </w:numPr>
        <w:spacing w:after="200"/>
        <w:ind w:left="720" w:hanging="192"/>
        <w:jc w:val="left"/>
        <w:rPr>
          <w:rFonts w:eastAsia="Arial" w:cs="Arial"/>
          <w:sz w:val="20"/>
          <w:szCs w:val="20"/>
        </w:rPr>
      </w:pPr>
      <w:r>
        <w:rPr>
          <w:rFonts w:eastAsia="Arial" w:cs="Arial"/>
          <w:sz w:val="20"/>
          <w:szCs w:val="20"/>
        </w:rPr>
        <w:t>Unacceptable gifts should be returned to the giver.</w:t>
      </w:r>
    </w:p>
    <w:p/>
    <w:p>
      <w:pPr>
        <w:pStyle w:val="Heading4"/>
      </w:pPr>
      <w:r>
        <w:t>10.3.11.8 Exceptions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are exceptions to KCD's gift and entertainment policy:</w:t>
      </w:r>
    </w:p>
    <w:p>
      <w:pPr>
        <w:numPr>
          <w:ilvl w:val="0"/>
          <w:numId w:val="626"/>
        </w:numPr>
        <w:spacing w:before="200"/>
        <w:ind w:left="720" w:hanging="192"/>
        <w:jc w:val="left"/>
        <w:rPr>
          <w:rFonts w:eastAsia="Arial" w:cs="Arial"/>
          <w:sz w:val="20"/>
          <w:szCs w:val="20"/>
        </w:rPr>
      </w:pPr>
      <w:r>
        <w:rPr>
          <w:rFonts w:eastAsia="Arial" w:cs="Arial"/>
          <w:sz w:val="20"/>
          <w:szCs w:val="20"/>
        </w:rPr>
        <w:t>If an employee believes that it would be appropriate to accept a gift worth over $100 from a business contact or give a gift to a business contact worth over $100, he or she must submit a written request to, and obtain written approval from, the Chief Compliance Officer containing the:</w:t>
      </w:r>
    </w:p>
    <w:p>
      <w:pPr>
        <w:numPr>
          <w:ilvl w:val="1"/>
          <w:numId w:val="626"/>
        </w:numPr>
        <w:ind w:left="1440" w:hanging="220"/>
        <w:jc w:val="left"/>
        <w:rPr>
          <w:rFonts w:eastAsia="Arial" w:cs="Arial"/>
          <w:sz w:val="20"/>
          <w:szCs w:val="20"/>
        </w:rPr>
      </w:pPr>
      <w:r>
        <w:rPr>
          <w:rFonts w:eastAsia="Arial" w:cs="Arial"/>
          <w:sz w:val="20"/>
          <w:szCs w:val="20"/>
        </w:rPr>
        <w:t>Name of the giver;</w:t>
      </w:r>
    </w:p>
    <w:p>
      <w:pPr>
        <w:numPr>
          <w:ilvl w:val="1"/>
          <w:numId w:val="626"/>
        </w:numPr>
        <w:ind w:left="1440" w:hanging="220"/>
        <w:jc w:val="left"/>
        <w:rPr>
          <w:rFonts w:eastAsia="Arial" w:cs="Arial"/>
          <w:sz w:val="20"/>
          <w:szCs w:val="20"/>
        </w:rPr>
      </w:pPr>
      <w:r>
        <w:rPr>
          <w:rFonts w:eastAsia="Arial" w:cs="Arial"/>
          <w:sz w:val="20"/>
          <w:szCs w:val="20"/>
        </w:rPr>
        <w:t>Name of the intended recipient;</w:t>
      </w:r>
    </w:p>
    <w:p>
      <w:pPr>
        <w:numPr>
          <w:ilvl w:val="1"/>
          <w:numId w:val="626"/>
        </w:numPr>
        <w:ind w:left="1440" w:hanging="220"/>
        <w:jc w:val="left"/>
        <w:rPr>
          <w:rFonts w:eastAsia="Arial" w:cs="Arial"/>
          <w:sz w:val="20"/>
          <w:szCs w:val="20"/>
        </w:rPr>
      </w:pPr>
      <w:r>
        <w:rPr>
          <w:rFonts w:eastAsia="Arial" w:cs="Arial"/>
          <w:sz w:val="20"/>
          <w:szCs w:val="20"/>
        </w:rPr>
        <w:t>Description of the gift;</w:t>
      </w:r>
    </w:p>
    <w:p>
      <w:pPr>
        <w:numPr>
          <w:ilvl w:val="1"/>
          <w:numId w:val="626"/>
        </w:numPr>
        <w:ind w:left="1440" w:hanging="220"/>
        <w:jc w:val="left"/>
        <w:rPr>
          <w:rFonts w:eastAsia="Arial" w:cs="Arial"/>
          <w:sz w:val="20"/>
          <w:szCs w:val="20"/>
        </w:rPr>
      </w:pPr>
      <w:r>
        <w:rPr>
          <w:rFonts w:eastAsia="Arial" w:cs="Arial"/>
          <w:sz w:val="20"/>
          <w:szCs w:val="20"/>
        </w:rPr>
        <w:t>Gift's monetary value;</w:t>
      </w:r>
    </w:p>
    <w:p>
      <w:pPr>
        <w:numPr>
          <w:ilvl w:val="1"/>
          <w:numId w:val="626"/>
        </w:numPr>
        <w:ind w:left="1440" w:hanging="220"/>
        <w:jc w:val="left"/>
        <w:rPr>
          <w:rFonts w:eastAsia="Arial" w:cs="Arial"/>
          <w:sz w:val="20"/>
          <w:szCs w:val="20"/>
        </w:rPr>
      </w:pPr>
      <w:r>
        <w:rPr>
          <w:rFonts w:eastAsia="Arial" w:cs="Arial"/>
          <w:sz w:val="20"/>
          <w:szCs w:val="20"/>
        </w:rPr>
        <w:t>Nature of business relationship; and</w:t>
      </w:r>
    </w:p>
    <w:p>
      <w:pPr>
        <w:numPr>
          <w:ilvl w:val="1"/>
          <w:numId w:val="626"/>
        </w:numPr>
        <w:ind w:left="1440" w:hanging="220"/>
        <w:jc w:val="left"/>
        <w:rPr>
          <w:rFonts w:eastAsia="Arial" w:cs="Arial"/>
          <w:sz w:val="20"/>
          <w:szCs w:val="20"/>
        </w:rPr>
      </w:pPr>
      <w:r>
        <w:rPr>
          <w:rFonts w:eastAsia="Arial" w:cs="Arial"/>
          <w:sz w:val="20"/>
          <w:szCs w:val="20"/>
        </w:rPr>
        <w:t>Reason the gift is being given.</w:t>
      </w:r>
    </w:p>
    <w:p>
      <w:pPr>
        <w:numPr>
          <w:ilvl w:val="0"/>
          <w:numId w:val="626"/>
        </w:numPr>
        <w:ind w:left="720" w:hanging="192"/>
        <w:jc w:val="left"/>
        <w:rPr>
          <w:rFonts w:eastAsia="Arial" w:cs="Arial"/>
          <w:sz w:val="20"/>
          <w:szCs w:val="20"/>
        </w:rPr>
      </w:pPr>
      <w:r>
        <w:rPr>
          <w:rFonts w:eastAsia="Arial" w:cs="Arial"/>
          <w:sz w:val="20"/>
          <w:szCs w:val="20"/>
        </w:rPr>
        <w:t>Gifts and entertainment offered or received in connection with a bona fide personal relationship are excluded from this policy.</w:t>
      </w:r>
    </w:p>
    <w:p>
      <w:pPr>
        <w:numPr>
          <w:ilvl w:val="0"/>
          <w:numId w:val="626"/>
        </w:numPr>
        <w:spacing w:after="200"/>
        <w:ind w:left="720" w:hanging="192"/>
        <w:jc w:val="left"/>
        <w:rPr>
          <w:rFonts w:eastAsia="Arial" w:cs="Arial"/>
          <w:sz w:val="20"/>
          <w:szCs w:val="20"/>
        </w:rPr>
      </w:pPr>
      <w:r>
        <w:rPr>
          <w:rFonts w:eastAsia="Arial" w:cs="Arial"/>
          <w:sz w:val="20"/>
          <w:szCs w:val="20"/>
        </w:rPr>
        <w:t xml:space="preserve">Gifts that have KCD's logo on it provided that the gift does not have a value that exceeds $50. Gifts containing KCD's logo will not count towards the $100 annual limit for giving gifts. </w:t>
      </w:r>
    </w:p>
    <w:p/>
    <w:p>
      <w:pPr>
        <w:pStyle w:val="Heading4"/>
      </w:pPr>
      <w:r>
        <w:t>10.3.11.9 Reporting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Employees of KCD must report any gift or entertainment that exceeds $100 in value that is given or received to the Chief Compliance Officer within ten business days of the date of the receipt of the gift or entertainment. The report shall include:</w:t>
      </w:r>
    </w:p>
    <w:p>
      <w:pPr>
        <w:numPr>
          <w:ilvl w:val="0"/>
          <w:numId w:val="627"/>
        </w:numPr>
        <w:spacing w:before="200"/>
        <w:ind w:left="720" w:hanging="192"/>
        <w:jc w:val="left"/>
        <w:rPr>
          <w:rFonts w:eastAsia="Arial" w:cs="Arial"/>
          <w:sz w:val="20"/>
          <w:szCs w:val="20"/>
        </w:rPr>
      </w:pPr>
      <w:r>
        <w:rPr>
          <w:rFonts w:eastAsia="Arial" w:cs="Arial"/>
          <w:sz w:val="20"/>
          <w:szCs w:val="20"/>
        </w:rPr>
        <w:t>Name of the giver;</w:t>
      </w:r>
    </w:p>
    <w:p>
      <w:pPr>
        <w:numPr>
          <w:ilvl w:val="0"/>
          <w:numId w:val="627"/>
        </w:numPr>
        <w:ind w:left="720" w:hanging="192"/>
        <w:jc w:val="left"/>
        <w:rPr>
          <w:rFonts w:eastAsia="Arial" w:cs="Arial"/>
          <w:sz w:val="20"/>
          <w:szCs w:val="20"/>
        </w:rPr>
      </w:pPr>
      <w:r>
        <w:rPr>
          <w:rFonts w:eastAsia="Arial" w:cs="Arial"/>
          <w:sz w:val="20"/>
          <w:szCs w:val="20"/>
        </w:rPr>
        <w:t>Name of the intended recipient;</w:t>
      </w:r>
    </w:p>
    <w:p>
      <w:pPr>
        <w:numPr>
          <w:ilvl w:val="0"/>
          <w:numId w:val="627"/>
        </w:numPr>
        <w:ind w:left="720" w:hanging="192"/>
        <w:jc w:val="left"/>
        <w:rPr>
          <w:rFonts w:eastAsia="Arial" w:cs="Arial"/>
          <w:sz w:val="20"/>
          <w:szCs w:val="20"/>
        </w:rPr>
      </w:pPr>
      <w:r>
        <w:rPr>
          <w:rFonts w:eastAsia="Arial" w:cs="Arial"/>
          <w:sz w:val="20"/>
          <w:szCs w:val="20"/>
        </w:rPr>
        <w:t>Description of the gift or entertainment;</w:t>
      </w:r>
    </w:p>
    <w:p>
      <w:pPr>
        <w:numPr>
          <w:ilvl w:val="0"/>
          <w:numId w:val="627"/>
        </w:numPr>
        <w:ind w:left="720" w:hanging="192"/>
        <w:jc w:val="left"/>
        <w:rPr>
          <w:rFonts w:eastAsia="Arial" w:cs="Arial"/>
          <w:sz w:val="20"/>
          <w:szCs w:val="20"/>
        </w:rPr>
      </w:pPr>
      <w:r>
        <w:rPr>
          <w:rFonts w:eastAsia="Arial" w:cs="Arial"/>
          <w:sz w:val="20"/>
          <w:szCs w:val="20"/>
        </w:rPr>
        <w:t>Gift's or entertainment's monetary value;</w:t>
      </w:r>
    </w:p>
    <w:p>
      <w:pPr>
        <w:numPr>
          <w:ilvl w:val="0"/>
          <w:numId w:val="627"/>
        </w:numPr>
        <w:ind w:left="720" w:hanging="192"/>
        <w:jc w:val="left"/>
        <w:rPr>
          <w:rFonts w:eastAsia="Arial" w:cs="Arial"/>
          <w:sz w:val="20"/>
          <w:szCs w:val="20"/>
        </w:rPr>
      </w:pPr>
      <w:r>
        <w:rPr>
          <w:rFonts w:eastAsia="Arial" w:cs="Arial"/>
          <w:sz w:val="20"/>
          <w:szCs w:val="20"/>
        </w:rPr>
        <w:t>Nature of business relationship; and</w:t>
      </w:r>
    </w:p>
    <w:p>
      <w:pPr>
        <w:numPr>
          <w:ilvl w:val="0"/>
          <w:numId w:val="627"/>
        </w:numPr>
        <w:spacing w:after="200"/>
        <w:ind w:left="720" w:hanging="192"/>
        <w:jc w:val="left"/>
        <w:rPr>
          <w:rFonts w:eastAsia="Arial" w:cs="Arial"/>
          <w:sz w:val="20"/>
          <w:szCs w:val="20"/>
        </w:rPr>
      </w:pPr>
      <w:r>
        <w:rPr>
          <w:rFonts w:eastAsia="Arial" w:cs="Arial"/>
          <w:sz w:val="20"/>
          <w:szCs w:val="20"/>
        </w:rPr>
        <w:t>Reason the gift or entertainment is being given.</w:t>
      </w:r>
    </w:p>
    <w:p/>
    <w:p>
      <w:pPr>
        <w:pStyle w:val="Heading4"/>
      </w:pPr>
      <w:r>
        <w:t>10.3.11.10 Monitoring Gift and Entertainment Practices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take the following steps to monitor employee and Firm gift and entertainment practices:</w:t>
      </w:r>
    </w:p>
    <w:p>
      <w:pPr>
        <w:numPr>
          <w:ilvl w:val="0"/>
          <w:numId w:val="628"/>
        </w:numPr>
        <w:spacing w:before="200"/>
        <w:ind w:left="720" w:hanging="192"/>
        <w:jc w:val="left"/>
        <w:rPr>
          <w:rFonts w:eastAsia="Arial" w:cs="Arial"/>
          <w:sz w:val="20"/>
          <w:szCs w:val="20"/>
        </w:rPr>
      </w:pPr>
      <w:r>
        <w:rPr>
          <w:rFonts w:eastAsia="Arial" w:cs="Arial"/>
          <w:sz w:val="20"/>
          <w:szCs w:val="20"/>
        </w:rPr>
        <w:t>Periodically review employee e-mails for key words that relate to gifts and entertainment (e.g., "tickets");</w:t>
      </w:r>
    </w:p>
    <w:p>
      <w:pPr>
        <w:numPr>
          <w:ilvl w:val="0"/>
          <w:numId w:val="628"/>
        </w:numPr>
        <w:ind w:left="720" w:hanging="192"/>
        <w:jc w:val="left"/>
        <w:rPr>
          <w:rFonts w:eastAsia="Arial" w:cs="Arial"/>
          <w:sz w:val="20"/>
          <w:szCs w:val="20"/>
        </w:rPr>
      </w:pPr>
      <w:r>
        <w:rPr>
          <w:rFonts w:eastAsia="Arial" w:cs="Arial"/>
          <w:sz w:val="20"/>
          <w:szCs w:val="20"/>
        </w:rPr>
        <w:t>Periodically review gifts and entertainment reports filed by employees for irregularities and questionable practices;</w:t>
      </w:r>
    </w:p>
    <w:p>
      <w:pPr>
        <w:numPr>
          <w:ilvl w:val="0"/>
          <w:numId w:val="628"/>
        </w:numPr>
        <w:ind w:left="720" w:hanging="192"/>
        <w:jc w:val="left"/>
        <w:rPr>
          <w:rFonts w:eastAsia="Arial" w:cs="Arial"/>
          <w:sz w:val="20"/>
          <w:szCs w:val="20"/>
        </w:rPr>
      </w:pPr>
      <w:r>
        <w:rPr>
          <w:rFonts w:eastAsia="Arial" w:cs="Arial"/>
          <w:sz w:val="20"/>
          <w:szCs w:val="20"/>
        </w:rPr>
        <w:t>Periodically compare a random sample of employee gifts and entertainment reports with travel and other expense reimbursements for inconsistencies;</w:t>
      </w:r>
    </w:p>
    <w:p>
      <w:pPr>
        <w:numPr>
          <w:ilvl w:val="0"/>
          <w:numId w:val="628"/>
        </w:numPr>
        <w:ind w:left="720" w:hanging="192"/>
        <w:jc w:val="left"/>
        <w:rPr>
          <w:rFonts w:eastAsia="Arial" w:cs="Arial"/>
          <w:sz w:val="20"/>
          <w:szCs w:val="20"/>
        </w:rPr>
      </w:pPr>
      <w:r>
        <w:rPr>
          <w:rFonts w:eastAsia="Arial" w:cs="Arial"/>
          <w:sz w:val="20"/>
          <w:szCs w:val="20"/>
        </w:rPr>
        <w:t>Periodically create a list of the top ten broker-dealers that have provided gifts and entertainment in terms of dollars to Firm employees and compare that list to the top ten broker-dealers in terms of commission earned on Firm client trades. KCD shall scrutinize the brokerage practices of any broker-dealer when there is a high correlation between the two lists; and</w:t>
      </w:r>
    </w:p>
    <w:p>
      <w:pPr>
        <w:numPr>
          <w:ilvl w:val="0"/>
          <w:numId w:val="628"/>
        </w:numPr>
        <w:spacing w:after="200"/>
        <w:ind w:left="720" w:hanging="192"/>
        <w:jc w:val="left"/>
        <w:rPr>
          <w:rFonts w:eastAsia="Arial" w:cs="Arial"/>
          <w:sz w:val="20"/>
          <w:szCs w:val="20"/>
        </w:rPr>
      </w:pPr>
      <w:r>
        <w:rPr>
          <w:rFonts w:eastAsia="Arial" w:cs="Arial"/>
          <w:sz w:val="20"/>
          <w:szCs w:val="20"/>
        </w:rPr>
        <w:t>Investigate any issues uncovered by the aforementioned monitoring and take appropriate action to resolve such issues.</w:t>
      </w:r>
    </w:p>
    <w:p>
      <w:bookmarkStart w:id="730" w:name="Sec_Chp_061016102255750_0610161022567961"/>
    </w:p>
    <w:p>
      <w:pPr>
        <w:pStyle w:val="Heading4"/>
      </w:pPr>
      <w:r>
        <w:t>10.3.11.11 Special Rules for Certain Types of Clients or Registration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comply with all applicable gifts and entertainment rules, which in large part depends upon the type of client and the regulatory status of KCD:</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2570"/>
        <w:gridCol w:w="4446"/>
        <w:gridCol w:w="2904"/>
      </w:tblGrid>
      <w:tr>
        <w:tblPrEx>
          <w:tblW w:w="5000" w:type="pct"/>
          <w:tblLook w:val="05E0"/>
        </w:tblPrEx>
        <w:trPr>
          <w:tblHeader/>
        </w:trPr>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val="0"/>
                <w:bCs w:val="0"/>
                <w:i w:val="0"/>
                <w:iCs w:val="0"/>
                <w:smallCaps w:val="0"/>
                <w:color w:val="000000"/>
                <w:sz w:val="24"/>
              </w:rPr>
            </w:pPr>
            <w:r>
              <w:rPr>
                <w:rFonts w:eastAsia="Arial" w:cs="Arial"/>
                <w:b/>
                <w:bCs/>
                <w:i w:val="0"/>
                <w:iCs w:val="0"/>
                <w:smallCaps w:val="0"/>
                <w:color w:val="000000"/>
                <w:sz w:val="20"/>
              </w:rPr>
              <w:t>Client Type</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val="0"/>
                <w:bCs w:val="0"/>
                <w:i w:val="0"/>
                <w:iCs w:val="0"/>
                <w:smallCaps w:val="0"/>
                <w:color w:val="000000"/>
                <w:sz w:val="24"/>
              </w:rPr>
            </w:pPr>
            <w:r>
              <w:rPr>
                <w:rFonts w:eastAsia="Arial" w:cs="Arial"/>
                <w:b/>
                <w:bCs/>
                <w:i w:val="0"/>
                <w:iCs w:val="0"/>
                <w:smallCaps w:val="0"/>
                <w:color w:val="000000"/>
                <w:sz w:val="20"/>
              </w:rPr>
              <w:t>Firm Regulatory Status</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val="0"/>
                <w:bCs w:val="0"/>
                <w:i w:val="0"/>
                <w:iCs w:val="0"/>
                <w:smallCaps w:val="0"/>
                <w:color w:val="000000"/>
                <w:sz w:val="24"/>
              </w:rPr>
            </w:pPr>
            <w:r>
              <w:rPr>
                <w:rFonts w:eastAsia="Arial" w:cs="Arial"/>
                <w:b/>
                <w:bCs/>
                <w:i w:val="0"/>
                <w:iCs w:val="0"/>
                <w:smallCaps w:val="0"/>
                <w:color w:val="000000"/>
                <w:sz w:val="20"/>
              </w:rPr>
              <w:t>Rule</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Broker-Dealer or Registered Representative</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FINRA Rule 3060</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Member of New York Stock Exchange</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NYSE Rule 350(a)(3)</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Taft-Hartley (Union) Plan</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Department of Labor: LM-10</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Retirement Plan</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ERISA Rule 406(b)(3)</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Municipality</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MSRB Rule G-20</w:t>
            </w:r>
          </w:p>
        </w:tc>
      </w:tr>
    </w:tbl>
    <w:p>
      <w:pPr>
        <w:rPr>
          <w:rFonts w:eastAsia="Arial" w:cs="Arial"/>
          <w:sz w:val="20"/>
          <w:szCs w:val="20"/>
        </w:rPr>
      </w:pPr>
    </w:p>
    <w:p>
      <w:bookmarkEnd w:id="730"/>
      <w:bookmarkStart w:id="731" w:name="Sec_Chp_061016102255750_0610161010313"/>
    </w:p>
    <w:p>
      <w:pPr>
        <w:pStyle w:val="Heading3"/>
      </w:pPr>
      <w:bookmarkStart w:id="732" w:name="_Toc256000194"/>
      <w:r>
        <w:t>10.3.12 Foreign Anti-Corruption Policy</w:t>
      </w:r>
      <w:bookmarkEnd w:id="732"/>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These procedures are designed to prevent firm personnel from offering, promising, making, authorizing or providing (directly, or indirectly through third parties) any payments, gifts, or the transfer of anything of value to any person, including government officials and family members of the government officials, in any jurisdiction to influence or reward any action or decision for KCD's benefit. Neither KCD's funds nor funds from any other source, including the personal funds of an employee, may be used to make any such payment or gift on behalf of or for the benefit of KCD in order to secure an improper business advantage.</w:t>
      </w:r>
    </w:p>
    <w:p>
      <w:bookmarkEnd w:id="731"/>
      <w:bookmarkStart w:id="733" w:name="Sec_Chp_061016102255750_06101610103131"/>
    </w:p>
    <w:p>
      <w:pPr>
        <w:pStyle w:val="Heading4"/>
      </w:pPr>
      <w:r>
        <w:t>10.3.12.1 Bribing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Neither KCD nor any of its employees may make cash payments or transfer property or other goods or services of value, both tangible and intangible, to bribe a Government Official. The following may be considered a bribe: a loan, a gift, entertainment, a generous contribution to a charity sponsored by a Government Official as a quid pro quo for government action, the promise of future payment, or the promise of future employment for the Government Official or a family member could be considered a bribe or improper payment that is prohibited under this Policy and applicable law.</w:t>
      </w:r>
    </w:p>
    <w:p>
      <w:bookmarkEnd w:id="733"/>
      <w:bookmarkStart w:id="734" w:name="Sec_Chp_061016102255750_06101610103132"/>
    </w:p>
    <w:p>
      <w:pPr>
        <w:pStyle w:val="Heading4"/>
      </w:pPr>
      <w:r>
        <w:t>10.3.12.2 Indirect Payments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Prohibited payments under these procedures may not be made indirectly through a third party. KCD and any of its employees may not pay a third party:</w:t>
      </w:r>
    </w:p>
    <w:p>
      <w:pPr>
        <w:numPr>
          <w:ilvl w:val="0"/>
          <w:numId w:val="629"/>
        </w:numPr>
        <w:spacing w:before="200"/>
        <w:ind w:left="720" w:hanging="192"/>
        <w:jc w:val="left"/>
        <w:rPr>
          <w:rFonts w:eastAsia="Arial" w:cs="Arial"/>
          <w:sz w:val="20"/>
          <w:szCs w:val="20"/>
        </w:rPr>
      </w:pPr>
      <w:r>
        <w:rPr>
          <w:rFonts w:eastAsia="Arial" w:cs="Arial"/>
          <w:sz w:val="20"/>
          <w:szCs w:val="20"/>
        </w:rPr>
        <w:t>knowing that a portion of the payment will be passed on to a Government Official; or</w:t>
      </w:r>
    </w:p>
    <w:p>
      <w:pPr>
        <w:numPr>
          <w:ilvl w:val="0"/>
          <w:numId w:val="629"/>
        </w:numPr>
        <w:spacing w:after="200"/>
        <w:ind w:left="720" w:hanging="192"/>
        <w:jc w:val="left"/>
        <w:rPr>
          <w:rFonts w:eastAsia="Arial" w:cs="Arial"/>
          <w:sz w:val="20"/>
          <w:szCs w:val="20"/>
        </w:rPr>
      </w:pPr>
      <w:r>
        <w:rPr>
          <w:rFonts w:eastAsia="Arial" w:cs="Arial"/>
          <w:sz w:val="20"/>
          <w:szCs w:val="20"/>
        </w:rPr>
        <w:t>with a belief that a portion of the payment will be passed on (or is substantially likely to be passed on) to a Government Official.</w:t>
      </w:r>
    </w:p>
    <w:p>
      <w:bookmarkEnd w:id="734"/>
      <w:bookmarkStart w:id="735" w:name="Sec_Chp_061016102255750_06101610103133"/>
    </w:p>
    <w:p>
      <w:pPr>
        <w:pStyle w:val="Heading4"/>
      </w:pPr>
      <w:r>
        <w:t>10.3.12.3 Improper Business Advantage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"improper business advantage" is an attempt to influence a Government Official in his or her official capacity to take action or refrain from taking action that benefits KCD, including:</w:t>
      </w:r>
    </w:p>
    <w:p>
      <w:pPr>
        <w:numPr>
          <w:ilvl w:val="0"/>
          <w:numId w:val="630"/>
        </w:numPr>
        <w:spacing w:before="200"/>
        <w:ind w:left="720" w:hanging="192"/>
        <w:jc w:val="left"/>
        <w:rPr>
          <w:rFonts w:eastAsia="Arial" w:cs="Arial"/>
          <w:sz w:val="20"/>
          <w:szCs w:val="20"/>
        </w:rPr>
      </w:pPr>
      <w:r>
        <w:rPr>
          <w:rFonts w:eastAsia="Arial" w:cs="Arial"/>
          <w:sz w:val="20"/>
          <w:szCs w:val="20"/>
        </w:rPr>
        <w:t>approving KCD as an adviser to the government entity;</w:t>
      </w:r>
    </w:p>
    <w:p>
      <w:pPr>
        <w:numPr>
          <w:ilvl w:val="0"/>
          <w:numId w:val="630"/>
        </w:numPr>
        <w:ind w:left="720" w:hanging="192"/>
        <w:jc w:val="left"/>
        <w:rPr>
          <w:rFonts w:eastAsia="Arial" w:cs="Arial"/>
          <w:sz w:val="20"/>
          <w:szCs w:val="20"/>
        </w:rPr>
      </w:pPr>
      <w:r>
        <w:rPr>
          <w:rFonts w:eastAsia="Arial" w:cs="Arial"/>
          <w:sz w:val="20"/>
          <w:szCs w:val="20"/>
        </w:rPr>
        <w:t>granting licenses related to investment services;</w:t>
      </w:r>
    </w:p>
    <w:p>
      <w:pPr>
        <w:numPr>
          <w:ilvl w:val="0"/>
          <w:numId w:val="630"/>
        </w:numPr>
        <w:ind w:left="720" w:hanging="192"/>
        <w:jc w:val="left"/>
        <w:rPr>
          <w:rFonts w:eastAsia="Arial" w:cs="Arial"/>
          <w:sz w:val="20"/>
          <w:szCs w:val="20"/>
        </w:rPr>
      </w:pPr>
      <w:r>
        <w:rPr>
          <w:rFonts w:eastAsia="Arial" w:cs="Arial"/>
          <w:sz w:val="20"/>
          <w:szCs w:val="20"/>
        </w:rPr>
        <w:t>acting on tax matters;</w:t>
      </w:r>
    </w:p>
    <w:p>
      <w:pPr>
        <w:numPr>
          <w:ilvl w:val="0"/>
          <w:numId w:val="630"/>
        </w:numPr>
        <w:ind w:left="720" w:hanging="192"/>
        <w:jc w:val="left"/>
        <w:rPr>
          <w:rFonts w:eastAsia="Arial" w:cs="Arial"/>
          <w:sz w:val="20"/>
          <w:szCs w:val="20"/>
        </w:rPr>
      </w:pPr>
      <w:r>
        <w:rPr>
          <w:rFonts w:eastAsia="Arial" w:cs="Arial"/>
          <w:sz w:val="20"/>
          <w:szCs w:val="20"/>
        </w:rPr>
        <w:t>making decisions in connection with government approval of a merger or acquisition; and</w:t>
      </w:r>
    </w:p>
    <w:p>
      <w:pPr>
        <w:numPr>
          <w:ilvl w:val="0"/>
          <w:numId w:val="630"/>
        </w:numPr>
        <w:spacing w:after="200"/>
        <w:ind w:left="720" w:hanging="192"/>
        <w:jc w:val="left"/>
        <w:rPr>
          <w:rFonts w:eastAsia="Arial" w:cs="Arial"/>
          <w:sz w:val="20"/>
          <w:szCs w:val="20"/>
        </w:rPr>
      </w:pPr>
      <w:r>
        <w:rPr>
          <w:rFonts w:eastAsia="Arial" w:cs="Arial"/>
          <w:sz w:val="20"/>
          <w:szCs w:val="20"/>
        </w:rPr>
        <w:t>other actions taken in an official capacity.</w:t>
      </w:r>
    </w:p>
    <w:p>
      <w:pPr>
        <w:pStyle w:val="normal0"/>
        <w:spacing w:before="200" w:after="200"/>
        <w:rPr>
          <w:rFonts w:eastAsia="Arial" w:cs="Arial"/>
          <w:sz w:val="20"/>
          <w:szCs w:val="20"/>
        </w:rPr>
      </w:pPr>
      <w:r>
        <w:rPr>
          <w:rFonts w:eastAsia="Arial" w:cs="Arial"/>
          <w:sz w:val="20"/>
          <w:szCs w:val="20"/>
        </w:rPr>
        <w:t>It should be noted that in some countries, local laws provide for an absolute prohibition on giving anything of value to Government Officials (without regard to whether it is in connection with an official act, or for the purpose of securing an improper business advantage).</w:t>
      </w:r>
    </w:p>
    <w:p>
      <w:bookmarkEnd w:id="735"/>
      <w:bookmarkStart w:id="736" w:name="Sec_Chp_061016102255750_06101610103134"/>
    </w:p>
    <w:p>
      <w:pPr>
        <w:pStyle w:val="Heading4"/>
      </w:pPr>
      <w:r>
        <w:t>10.3.12.4 Foreign Laws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and its employees will comply with local foreign laws, in addition to complying with these Procedures, when giving anything of value to any public servant.</w:t>
      </w:r>
    </w:p>
    <w:p>
      <w:bookmarkEnd w:id="736"/>
      <w:bookmarkStart w:id="737" w:name="Sec_Chp_061016102255750_06101610103135"/>
    </w:p>
    <w:p>
      <w:pPr>
        <w:pStyle w:val="Heading4"/>
      </w:pPr>
      <w:r>
        <w:t xml:space="preserve">10.3.12.5 Government Official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term "Government Official" includes three general categories of people:</w:t>
      </w:r>
    </w:p>
    <w:p>
      <w:pPr>
        <w:numPr>
          <w:ilvl w:val="0"/>
          <w:numId w:val="631"/>
        </w:numPr>
        <w:spacing w:before="200"/>
        <w:ind w:left="720" w:hanging="192"/>
        <w:jc w:val="left"/>
        <w:rPr>
          <w:rFonts w:eastAsia="Arial" w:cs="Arial"/>
          <w:sz w:val="20"/>
          <w:szCs w:val="20"/>
        </w:rPr>
      </w:pPr>
      <w:r>
        <w:rPr>
          <w:rFonts w:eastAsia="Arial" w:cs="Arial"/>
          <w:sz w:val="20"/>
          <w:szCs w:val="20"/>
        </w:rPr>
        <w:t>Any person who is an officer, officeholder, full or part-time employee or representative of any (1) national, state, regional, provincial, city, county or other local government, (2) independent agencies of any government, (3) state-owned businesses or state-controlled businesses (e.g., a representative of a sovereign wealth fund or public pension fund), or (4) public education institutions and their endowments.</w:t>
      </w:r>
    </w:p>
    <w:p>
      <w:pPr>
        <w:numPr>
          <w:ilvl w:val="0"/>
          <w:numId w:val="631"/>
        </w:numPr>
        <w:ind w:left="720" w:hanging="192"/>
        <w:jc w:val="left"/>
        <w:rPr>
          <w:rFonts w:eastAsia="Arial" w:cs="Arial"/>
          <w:sz w:val="20"/>
          <w:szCs w:val="20"/>
        </w:rPr>
      </w:pPr>
      <w:r>
        <w:rPr>
          <w:rFonts w:eastAsia="Arial" w:cs="Arial"/>
          <w:sz w:val="20"/>
          <w:szCs w:val="20"/>
        </w:rPr>
        <w:t>Political parties, political party officials, and candidates for political office (e.g., an excessive campaign contribution to a political party, party official or candidate to procure an improper advantage can violate anticorruption laws).</w:t>
      </w:r>
    </w:p>
    <w:p>
      <w:pPr>
        <w:numPr>
          <w:ilvl w:val="0"/>
          <w:numId w:val="631"/>
        </w:numPr>
        <w:spacing w:after="200"/>
        <w:ind w:left="720" w:hanging="192"/>
        <w:jc w:val="left"/>
        <w:rPr>
          <w:rFonts w:eastAsia="Arial" w:cs="Arial"/>
          <w:sz w:val="20"/>
          <w:szCs w:val="20"/>
        </w:rPr>
      </w:pPr>
      <w:r>
        <w:rPr>
          <w:rFonts w:eastAsia="Arial" w:cs="Arial"/>
          <w:sz w:val="20"/>
          <w:szCs w:val="20"/>
        </w:rPr>
        <w:t>The employees of public international organizations (e.g., the European Union).</w:t>
      </w:r>
    </w:p>
    <w:p>
      <w:bookmarkEnd w:id="737"/>
      <w:bookmarkStart w:id="738" w:name="Sec_Chp_061016102255750_06101610103136"/>
    </w:p>
    <w:p>
      <w:pPr>
        <w:pStyle w:val="Heading4"/>
      </w:pPr>
      <w:r>
        <w:t>10.3.12.6 Prohibition Against Commercial Bribery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and its employees may not offer, promise, or give, directly or indirectly, a financial or other advantage to another person:</w:t>
      </w:r>
    </w:p>
    <w:p>
      <w:pPr>
        <w:numPr>
          <w:ilvl w:val="0"/>
          <w:numId w:val="632"/>
        </w:numPr>
        <w:spacing w:before="200"/>
        <w:ind w:left="720" w:hanging="192"/>
        <w:jc w:val="left"/>
        <w:rPr>
          <w:rFonts w:eastAsia="Arial" w:cs="Arial"/>
          <w:sz w:val="20"/>
          <w:szCs w:val="20"/>
        </w:rPr>
      </w:pPr>
      <w:r>
        <w:rPr>
          <w:rFonts w:eastAsia="Arial" w:cs="Arial"/>
          <w:sz w:val="20"/>
          <w:szCs w:val="20"/>
        </w:rPr>
        <w:t>to induce a person to perform improperly a relevant function or activity,</w:t>
      </w:r>
    </w:p>
    <w:p>
      <w:pPr>
        <w:numPr>
          <w:ilvl w:val="0"/>
          <w:numId w:val="632"/>
        </w:numPr>
        <w:ind w:left="720" w:hanging="192"/>
        <w:jc w:val="left"/>
        <w:rPr>
          <w:rFonts w:eastAsia="Arial" w:cs="Arial"/>
          <w:sz w:val="20"/>
          <w:szCs w:val="20"/>
        </w:rPr>
      </w:pPr>
      <w:r>
        <w:rPr>
          <w:rFonts w:eastAsia="Arial" w:cs="Arial"/>
          <w:sz w:val="20"/>
          <w:szCs w:val="20"/>
        </w:rPr>
        <w:t>to reward a person for the improper performance of such a function or activity, or</w:t>
      </w:r>
    </w:p>
    <w:p>
      <w:pPr>
        <w:numPr>
          <w:ilvl w:val="0"/>
          <w:numId w:val="632"/>
        </w:numPr>
        <w:spacing w:after="200"/>
        <w:ind w:left="720" w:hanging="192"/>
        <w:jc w:val="left"/>
        <w:rPr>
          <w:rFonts w:eastAsia="Arial" w:cs="Arial"/>
          <w:sz w:val="20"/>
          <w:szCs w:val="20"/>
        </w:rPr>
      </w:pPr>
      <w:r>
        <w:rPr>
          <w:rFonts w:eastAsia="Arial" w:cs="Arial"/>
          <w:sz w:val="20"/>
          <w:szCs w:val="20"/>
        </w:rPr>
        <w:t>where the acceptance of the advantage would itself constitute the improper performance of a relevant function or activity.</w:t>
      </w:r>
    </w:p>
    <w:p>
      <w:bookmarkEnd w:id="738"/>
      <w:bookmarkStart w:id="739" w:name="Sec_Chp_061016102255750_06101610103137"/>
    </w:p>
    <w:p>
      <w:pPr>
        <w:pStyle w:val="Heading4"/>
      </w:pPr>
      <w:r>
        <w:t>10.3.12.7 Third Party Intermediaries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Brokers, promoters, finders, agents, consultants and other third party intermediaries may seek to secure business for KCD. Such third parties might violate anticorruption laws, possibly subjecting KCD to liability.</w:t>
      </w:r>
    </w:p>
    <w:p>
      <w:pPr>
        <w:pStyle w:val="normal0"/>
        <w:spacing w:before="200" w:after="200"/>
        <w:rPr>
          <w:rFonts w:eastAsia="Arial" w:cs="Arial"/>
          <w:sz w:val="20"/>
          <w:szCs w:val="20"/>
        </w:rPr>
      </w:pPr>
      <w:r>
        <w:rPr>
          <w:rFonts w:eastAsia="Arial" w:cs="Arial"/>
          <w:sz w:val="20"/>
          <w:szCs w:val="20"/>
        </w:rPr>
        <w:t>KCD shall identify and maintain a list of all promoters, brokers, finders, consultants and advisers:</w:t>
      </w:r>
    </w:p>
    <w:p>
      <w:pPr>
        <w:numPr>
          <w:ilvl w:val="0"/>
          <w:numId w:val="633"/>
        </w:numPr>
        <w:spacing w:before="200"/>
        <w:ind w:left="720" w:hanging="192"/>
        <w:jc w:val="left"/>
        <w:rPr>
          <w:rFonts w:eastAsia="Arial" w:cs="Arial"/>
          <w:sz w:val="20"/>
          <w:szCs w:val="20"/>
        </w:rPr>
      </w:pPr>
      <w:r>
        <w:rPr>
          <w:rFonts w:eastAsia="Arial" w:cs="Arial"/>
          <w:sz w:val="20"/>
          <w:szCs w:val="20"/>
        </w:rPr>
        <w:t xml:space="preserve">that are reasonably expected to deal with government officials or with individuals or entities in a position to provide KCD with a commercial business advantage, or </w:t>
      </w:r>
    </w:p>
    <w:p>
      <w:pPr>
        <w:numPr>
          <w:ilvl w:val="0"/>
          <w:numId w:val="633"/>
        </w:numPr>
        <w:spacing w:after="200"/>
        <w:ind w:left="720" w:hanging="192"/>
        <w:jc w:val="left"/>
        <w:rPr>
          <w:rFonts w:eastAsia="Arial" w:cs="Arial"/>
          <w:sz w:val="20"/>
          <w:szCs w:val="20"/>
        </w:rPr>
      </w:pPr>
      <w:r>
        <w:rPr>
          <w:rFonts w:eastAsia="Arial" w:cs="Arial"/>
          <w:sz w:val="20"/>
          <w:szCs w:val="20"/>
        </w:rPr>
        <w:t xml:space="preserve">whose compensation is contingent upon the consummation of a transaction that requires governmental consent; all third party intermediaries that likely will be dealing with any Government Officials in connection with the engagement by KCD. </w:t>
      </w:r>
    </w:p>
    <w:p>
      <w:pPr>
        <w:pStyle w:val="normal0"/>
        <w:spacing w:before="200" w:after="200"/>
        <w:rPr>
          <w:rFonts w:eastAsia="Arial" w:cs="Arial"/>
          <w:sz w:val="20"/>
          <w:szCs w:val="20"/>
        </w:rPr>
      </w:pPr>
      <w:r>
        <w:rPr>
          <w:rFonts w:eastAsia="Arial" w:cs="Arial"/>
          <w:sz w:val="20"/>
          <w:szCs w:val="20"/>
        </w:rPr>
        <w:t>KCD will not retain a third party intermediary to perform material services on its behalf unless:</w:t>
      </w:r>
    </w:p>
    <w:p>
      <w:pPr>
        <w:numPr>
          <w:ilvl w:val="0"/>
          <w:numId w:val="634"/>
        </w:numPr>
        <w:spacing w:before="200"/>
        <w:ind w:left="720" w:hanging="192"/>
        <w:jc w:val="left"/>
        <w:rPr>
          <w:rFonts w:eastAsia="Arial" w:cs="Arial"/>
          <w:sz w:val="20"/>
          <w:szCs w:val="20"/>
        </w:rPr>
      </w:pPr>
      <w:r>
        <w:rPr>
          <w:rFonts w:eastAsia="Arial" w:cs="Arial"/>
          <w:sz w:val="20"/>
          <w:szCs w:val="20"/>
        </w:rPr>
        <w:t xml:space="preserve">appropriate due diligence is conducted into the business, reputation and integrity of the third party reasonably designed under the circumstances to identify the existence of warning signs or red flags and such due diligence is adequately documented; </w:t>
      </w:r>
    </w:p>
    <w:p>
      <w:pPr>
        <w:numPr>
          <w:ilvl w:val="0"/>
          <w:numId w:val="634"/>
        </w:numPr>
        <w:ind w:left="720" w:hanging="192"/>
        <w:jc w:val="left"/>
        <w:rPr>
          <w:rFonts w:eastAsia="Arial" w:cs="Arial"/>
          <w:sz w:val="20"/>
          <w:szCs w:val="20"/>
        </w:rPr>
      </w:pPr>
      <w:r>
        <w:rPr>
          <w:rFonts w:eastAsia="Arial" w:cs="Arial"/>
          <w:sz w:val="20"/>
          <w:szCs w:val="20"/>
        </w:rPr>
        <w:t>the engagement of such third party is pursuant to a written agreement; and</w:t>
      </w:r>
    </w:p>
    <w:p>
      <w:pPr>
        <w:numPr>
          <w:ilvl w:val="0"/>
          <w:numId w:val="634"/>
        </w:numPr>
        <w:spacing w:after="200"/>
        <w:ind w:left="720" w:hanging="192"/>
        <w:jc w:val="left"/>
        <w:rPr>
          <w:rFonts w:eastAsia="Arial" w:cs="Arial"/>
          <w:sz w:val="20"/>
          <w:szCs w:val="20"/>
        </w:rPr>
      </w:pPr>
      <w:r>
        <w:rPr>
          <w:rFonts w:eastAsia="Arial" w:cs="Arial"/>
          <w:sz w:val="20"/>
          <w:szCs w:val="20"/>
        </w:rPr>
        <w:t>the contracts include suitable contractual covenants to the effect that the third party will not pay or offer to pay bribes or make other improper payments, and will comply with anticorruption standards.</w:t>
      </w:r>
    </w:p>
    <w:p>
      <w:bookmarkEnd w:id="739"/>
      <w:bookmarkStart w:id="740" w:name="Sec_Chp_061016102255750_06101610103138"/>
    </w:p>
    <w:p>
      <w:pPr>
        <w:pStyle w:val="Heading4"/>
      </w:pPr>
      <w:r>
        <w:t>10.3.12.8 Foreign Government Officials Entertainment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These procedures govern entertainment provided by KCD and its employees to counterparts who may in certain instances function as Government Officials, recognizing that the purpose of business entertainment gifts in some countries is to create goodwill and sound working relationships. Meals and entertainment with Government Officials may not exceed a value of $250 per person in value without preapproval from the firm's Chief Compliance Officer.</w:t>
      </w:r>
    </w:p>
    <w:p>
      <w:pPr>
        <w:pStyle w:val="normal0"/>
        <w:spacing w:before="200" w:after="200"/>
        <w:rPr>
          <w:rFonts w:eastAsia="Arial" w:cs="Arial"/>
          <w:sz w:val="20"/>
          <w:szCs w:val="20"/>
        </w:rPr>
      </w:pPr>
      <w:r>
        <w:rPr>
          <w:rFonts w:eastAsia="Arial" w:cs="Arial"/>
          <w:sz w:val="20"/>
          <w:szCs w:val="20"/>
        </w:rPr>
        <w:t>Neither KCD nor its employees may pay for meals, travel, lodging or entertainment of a Government Official for a corrupt purpose or to gain an improper advantage.</w:t>
      </w:r>
    </w:p>
    <w:p>
      <w:pPr>
        <w:pStyle w:val="normal0"/>
        <w:spacing w:before="200" w:after="200"/>
        <w:rPr>
          <w:rFonts w:eastAsia="Arial" w:cs="Arial"/>
          <w:sz w:val="20"/>
          <w:szCs w:val="20"/>
        </w:rPr>
      </w:pPr>
      <w:r>
        <w:rPr>
          <w:rFonts w:eastAsia="Arial" w:cs="Arial"/>
          <w:sz w:val="20"/>
          <w:szCs w:val="20"/>
        </w:rPr>
        <w:t>Meals or entertainment provided to a large group of persons at official firm functions that include representatives of multiple organizations are exempt from the $250 per person limit, but should be reasonable given the occasion and otherwise acceptable in the jurisdiction.</w:t>
      </w:r>
    </w:p>
    <w:p>
      <w:bookmarkEnd w:id="740"/>
      <w:bookmarkStart w:id="741" w:name="Sec_Chp_061016102255750_06101610103139"/>
    </w:p>
    <w:p>
      <w:pPr>
        <w:pStyle w:val="Heading4"/>
      </w:pPr>
      <w:r>
        <w:t>10.3.12.9 Gifts to Government Officials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These procedures govern the giving of gifts by KCD and its employees to counterparts who may in certain instances function as Government Officials, recognizing that the purpose of business entertainment and gifts in some countries is to create goodwill and sound working relationships. A customary gift to, or received from, a Government Official may not exceed $250 in value without preapproval from the firm's Chief Compliance Officer.</w:t>
      </w:r>
    </w:p>
    <w:p>
      <w:pPr>
        <w:pStyle w:val="normal0"/>
        <w:spacing w:before="200" w:after="200"/>
        <w:rPr>
          <w:rFonts w:eastAsia="Arial" w:cs="Arial"/>
          <w:sz w:val="20"/>
          <w:szCs w:val="20"/>
        </w:rPr>
      </w:pPr>
      <w:r>
        <w:rPr>
          <w:rFonts w:eastAsia="Arial" w:cs="Arial"/>
          <w:sz w:val="20"/>
          <w:szCs w:val="20"/>
        </w:rPr>
        <w:t>KCD and its employees are prohibited from providing or receiving any gift of any value of any dollar amount if for purposes of improperly influencing a business dealing, including any gift that:</w:t>
      </w:r>
    </w:p>
    <w:p>
      <w:pPr>
        <w:numPr>
          <w:ilvl w:val="0"/>
          <w:numId w:val="635"/>
        </w:numPr>
        <w:spacing w:before="200"/>
        <w:ind w:left="720" w:hanging="192"/>
        <w:jc w:val="left"/>
        <w:rPr>
          <w:rFonts w:eastAsia="Arial" w:cs="Arial"/>
          <w:sz w:val="20"/>
          <w:szCs w:val="20"/>
        </w:rPr>
      </w:pPr>
      <w:r>
        <w:rPr>
          <w:rFonts w:eastAsia="Arial" w:cs="Arial"/>
          <w:sz w:val="20"/>
          <w:szCs w:val="20"/>
        </w:rPr>
        <w:t>is likely to significantly conflict with KCD's duties to its clients and investors,</w:t>
      </w:r>
    </w:p>
    <w:p>
      <w:pPr>
        <w:numPr>
          <w:ilvl w:val="0"/>
          <w:numId w:val="635"/>
        </w:numPr>
        <w:ind w:left="720" w:hanging="192"/>
        <w:jc w:val="left"/>
        <w:rPr>
          <w:rFonts w:eastAsia="Arial" w:cs="Arial"/>
          <w:sz w:val="20"/>
          <w:szCs w:val="20"/>
        </w:rPr>
      </w:pPr>
      <w:r>
        <w:rPr>
          <w:rFonts w:eastAsia="Arial" w:cs="Arial"/>
          <w:sz w:val="20"/>
          <w:szCs w:val="20"/>
        </w:rPr>
        <w:t xml:space="preserve">is inconsistent with customary business practices, </w:t>
      </w:r>
    </w:p>
    <w:p>
      <w:pPr>
        <w:numPr>
          <w:ilvl w:val="0"/>
          <w:numId w:val="635"/>
        </w:numPr>
        <w:ind w:left="720" w:hanging="192"/>
        <w:jc w:val="left"/>
        <w:rPr>
          <w:rFonts w:eastAsia="Arial" w:cs="Arial"/>
          <w:sz w:val="20"/>
          <w:szCs w:val="20"/>
        </w:rPr>
      </w:pPr>
      <w:r>
        <w:rPr>
          <w:rFonts w:eastAsia="Arial" w:cs="Arial"/>
          <w:sz w:val="20"/>
          <w:szCs w:val="20"/>
        </w:rPr>
        <w:t>is excessive in value,</w:t>
      </w:r>
    </w:p>
    <w:p>
      <w:pPr>
        <w:numPr>
          <w:ilvl w:val="0"/>
          <w:numId w:val="635"/>
        </w:numPr>
        <w:ind w:left="720" w:hanging="192"/>
        <w:jc w:val="left"/>
        <w:rPr>
          <w:rFonts w:eastAsia="Arial" w:cs="Arial"/>
          <w:sz w:val="20"/>
          <w:szCs w:val="20"/>
        </w:rPr>
      </w:pPr>
      <w:r>
        <w:rPr>
          <w:rFonts w:eastAsia="Arial" w:cs="Arial"/>
          <w:sz w:val="20"/>
          <w:szCs w:val="20"/>
        </w:rPr>
        <w:t>can be construed as a bribe or payoff, or</w:t>
      </w:r>
    </w:p>
    <w:p>
      <w:pPr>
        <w:numPr>
          <w:ilvl w:val="0"/>
          <w:numId w:val="635"/>
        </w:numPr>
        <w:spacing w:after="200"/>
        <w:ind w:left="720" w:hanging="192"/>
        <w:jc w:val="left"/>
        <w:rPr>
          <w:rFonts w:eastAsia="Arial" w:cs="Arial"/>
          <w:sz w:val="20"/>
          <w:szCs w:val="20"/>
        </w:rPr>
      </w:pPr>
      <w:r>
        <w:rPr>
          <w:rFonts w:eastAsia="Arial" w:cs="Arial"/>
          <w:sz w:val="20"/>
          <w:szCs w:val="20"/>
        </w:rPr>
        <w:t>violates any laws or regulations.</w:t>
      </w:r>
    </w:p>
    <w:p>
      <w:bookmarkEnd w:id="741"/>
      <w:bookmarkStart w:id="742" w:name="Sec_Chp_061016102255750_061016101031310"/>
    </w:p>
    <w:p>
      <w:pPr>
        <w:pStyle w:val="Heading4"/>
      </w:pPr>
      <w:r>
        <w:t>10.3.12.10 Records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employee shall record the expenditure and the purpose of the expenditure associated with gifts and entertainment related to Government Officials (regardless of the amount involved) and such reports, at a minimum shall contain:</w:t>
      </w:r>
    </w:p>
    <w:p>
      <w:pPr>
        <w:numPr>
          <w:ilvl w:val="0"/>
          <w:numId w:val="636"/>
        </w:numPr>
        <w:spacing w:before="200"/>
        <w:ind w:left="720" w:hanging="192"/>
        <w:jc w:val="left"/>
        <w:rPr>
          <w:rFonts w:eastAsia="Arial" w:cs="Arial"/>
          <w:sz w:val="20"/>
          <w:szCs w:val="20"/>
        </w:rPr>
      </w:pPr>
      <w:r>
        <w:rPr>
          <w:rFonts w:eastAsia="Arial" w:cs="Arial"/>
          <w:sz w:val="20"/>
          <w:szCs w:val="20"/>
        </w:rPr>
        <w:t>the description of the gift or entertainment;</w:t>
      </w:r>
    </w:p>
    <w:p>
      <w:pPr>
        <w:numPr>
          <w:ilvl w:val="0"/>
          <w:numId w:val="636"/>
        </w:numPr>
        <w:ind w:left="720" w:hanging="192"/>
        <w:jc w:val="left"/>
        <w:rPr>
          <w:rFonts w:eastAsia="Arial" w:cs="Arial"/>
          <w:sz w:val="20"/>
          <w:szCs w:val="20"/>
        </w:rPr>
      </w:pPr>
      <w:r>
        <w:rPr>
          <w:rFonts w:eastAsia="Arial" w:cs="Arial"/>
          <w:sz w:val="20"/>
          <w:szCs w:val="20"/>
        </w:rPr>
        <w:t>the amount of the expense; and</w:t>
      </w:r>
    </w:p>
    <w:p>
      <w:pPr>
        <w:numPr>
          <w:ilvl w:val="0"/>
          <w:numId w:val="636"/>
        </w:numPr>
        <w:spacing w:after="200"/>
        <w:ind w:left="720" w:hanging="192"/>
        <w:jc w:val="left"/>
        <w:rPr>
          <w:rFonts w:eastAsia="Arial" w:cs="Arial"/>
          <w:sz w:val="20"/>
          <w:szCs w:val="20"/>
        </w:rPr>
      </w:pPr>
      <w:r>
        <w:rPr>
          <w:rFonts w:eastAsia="Arial" w:cs="Arial"/>
          <w:sz w:val="20"/>
          <w:szCs w:val="20"/>
        </w:rPr>
        <w:t>the names and titles of the individuals and the agencies/organizations with which they are affiliated.</w:t>
      </w:r>
    </w:p>
    <w:p>
      <w:bookmarkEnd w:id="742"/>
      <w:bookmarkStart w:id="743" w:name="Sec_Chp_061016102255750_061016101031311"/>
    </w:p>
    <w:p>
      <w:pPr>
        <w:pStyle w:val="Heading4"/>
      </w:pPr>
      <w:r>
        <w:t>10.3.12.11 Detection and Reporting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Firm employees must report to the Chief Compliance Officer any activity that fails to comply with these procedures or applicable anticorruption laws.</w:t>
      </w:r>
    </w:p>
    <w:p>
      <w:pPr>
        <w:pStyle w:val="normal0"/>
        <w:spacing w:before="200" w:after="200"/>
        <w:rPr>
          <w:rFonts w:eastAsia="Arial" w:cs="Arial"/>
          <w:sz w:val="20"/>
          <w:szCs w:val="20"/>
        </w:rPr>
      </w:pPr>
      <w:r>
        <w:rPr>
          <w:rFonts w:eastAsia="Arial" w:cs="Arial"/>
          <w:sz w:val="20"/>
          <w:szCs w:val="20"/>
        </w:rPr>
        <w:t>Firm employees should be attentive to the existence of warning signs or "red flags" that suggest that improper payments to Government Officials are or may be taking place. These include:</w:t>
      </w:r>
    </w:p>
    <w:p>
      <w:pPr>
        <w:numPr>
          <w:ilvl w:val="0"/>
          <w:numId w:val="637"/>
        </w:numPr>
        <w:spacing w:before="200"/>
        <w:ind w:left="720" w:hanging="192"/>
        <w:jc w:val="left"/>
        <w:rPr>
          <w:rFonts w:eastAsia="Arial" w:cs="Arial"/>
          <w:sz w:val="20"/>
          <w:szCs w:val="20"/>
        </w:rPr>
      </w:pPr>
      <w:r>
        <w:rPr>
          <w:rFonts w:eastAsia="Arial" w:cs="Arial"/>
          <w:sz w:val="20"/>
          <w:szCs w:val="20"/>
        </w:rPr>
        <w:t>Transactions in high risk jurisdictions that may involve interaction with Government Officials.</w:t>
      </w:r>
    </w:p>
    <w:p>
      <w:pPr>
        <w:numPr>
          <w:ilvl w:val="0"/>
          <w:numId w:val="637"/>
        </w:numPr>
        <w:ind w:left="720" w:hanging="192"/>
        <w:jc w:val="left"/>
        <w:rPr>
          <w:rFonts w:eastAsia="Arial" w:cs="Arial"/>
          <w:sz w:val="20"/>
          <w:szCs w:val="20"/>
        </w:rPr>
      </w:pPr>
      <w:r>
        <w:rPr>
          <w:rFonts w:eastAsia="Arial" w:cs="Arial"/>
          <w:sz w:val="20"/>
          <w:szCs w:val="20"/>
        </w:rPr>
        <w:t>Third party has a reputation for bribery.</w:t>
      </w:r>
    </w:p>
    <w:p>
      <w:pPr>
        <w:numPr>
          <w:ilvl w:val="0"/>
          <w:numId w:val="637"/>
        </w:numPr>
        <w:ind w:left="720" w:hanging="192"/>
        <w:jc w:val="left"/>
        <w:rPr>
          <w:rFonts w:eastAsia="Arial" w:cs="Arial"/>
          <w:sz w:val="20"/>
          <w:szCs w:val="20"/>
        </w:rPr>
      </w:pPr>
      <w:r>
        <w:rPr>
          <w:rFonts w:eastAsia="Arial" w:cs="Arial"/>
          <w:sz w:val="20"/>
          <w:szCs w:val="20"/>
        </w:rPr>
        <w:t xml:space="preserve">Third party has refused to promise to abide by anticorruption laws or to warrant that it has not paid and will not pay bribes. </w:t>
      </w:r>
    </w:p>
    <w:p>
      <w:pPr>
        <w:numPr>
          <w:ilvl w:val="0"/>
          <w:numId w:val="637"/>
        </w:numPr>
        <w:ind w:left="720" w:hanging="192"/>
        <w:jc w:val="left"/>
        <w:rPr>
          <w:rFonts w:eastAsia="Arial" w:cs="Arial"/>
          <w:sz w:val="20"/>
          <w:szCs w:val="20"/>
        </w:rPr>
      </w:pPr>
      <w:r>
        <w:rPr>
          <w:rFonts w:eastAsia="Arial" w:cs="Arial"/>
          <w:sz w:val="20"/>
          <w:szCs w:val="20"/>
        </w:rPr>
        <w:t>Third party or intermediary has sought a commission that is excessive, paid in cash or is otherwise irregular.</w:t>
      </w:r>
    </w:p>
    <w:p>
      <w:pPr>
        <w:numPr>
          <w:ilvl w:val="0"/>
          <w:numId w:val="637"/>
        </w:numPr>
        <w:ind w:left="720" w:hanging="192"/>
        <w:jc w:val="left"/>
        <w:rPr>
          <w:rFonts w:eastAsia="Arial" w:cs="Arial"/>
          <w:sz w:val="20"/>
          <w:szCs w:val="20"/>
        </w:rPr>
      </w:pPr>
      <w:r>
        <w:rPr>
          <w:rFonts w:eastAsia="Arial" w:cs="Arial"/>
          <w:sz w:val="20"/>
          <w:szCs w:val="20"/>
        </w:rPr>
        <w:t>Third party or intermediary seeks payment to an offshore account outside country where such person does business.</w:t>
      </w:r>
    </w:p>
    <w:p>
      <w:pPr>
        <w:numPr>
          <w:ilvl w:val="0"/>
          <w:numId w:val="637"/>
        </w:numPr>
        <w:ind w:left="720" w:hanging="192"/>
        <w:jc w:val="left"/>
        <w:rPr>
          <w:rFonts w:eastAsia="Arial" w:cs="Arial"/>
          <w:sz w:val="20"/>
          <w:szCs w:val="20"/>
        </w:rPr>
      </w:pPr>
      <w:r>
        <w:rPr>
          <w:rFonts w:eastAsia="Arial" w:cs="Arial"/>
          <w:sz w:val="20"/>
          <w:szCs w:val="20"/>
        </w:rPr>
        <w:t>Third party or intermediary is owned in part by a Government Official or his or her family member or has other close ties to a government.</w:t>
      </w:r>
    </w:p>
    <w:p>
      <w:pPr>
        <w:numPr>
          <w:ilvl w:val="0"/>
          <w:numId w:val="637"/>
        </w:numPr>
        <w:ind w:left="720" w:hanging="192"/>
        <w:jc w:val="left"/>
        <w:rPr>
          <w:rFonts w:eastAsia="Arial" w:cs="Arial"/>
          <w:sz w:val="20"/>
          <w:szCs w:val="20"/>
        </w:rPr>
      </w:pPr>
      <w:r>
        <w:rPr>
          <w:rFonts w:eastAsia="Arial" w:cs="Arial"/>
          <w:sz w:val="20"/>
          <w:szCs w:val="20"/>
        </w:rPr>
        <w:t>Government Official suggests hiring a particular adviser to help obtain a government contract that is within the domain of such Government Official.</w:t>
      </w:r>
    </w:p>
    <w:p>
      <w:pPr>
        <w:numPr>
          <w:ilvl w:val="0"/>
          <w:numId w:val="637"/>
        </w:numPr>
        <w:ind w:left="720" w:hanging="192"/>
        <w:jc w:val="left"/>
        <w:rPr>
          <w:rFonts w:eastAsia="Arial" w:cs="Arial"/>
          <w:sz w:val="20"/>
          <w:szCs w:val="20"/>
        </w:rPr>
      </w:pPr>
      <w:r>
        <w:rPr>
          <w:rFonts w:eastAsia="Arial" w:cs="Arial"/>
          <w:sz w:val="20"/>
          <w:szCs w:val="20"/>
        </w:rPr>
        <w:t>Proposed third party or intermediary has requested that KCD prepare false invoices or any other type of false documentation.</w:t>
      </w:r>
    </w:p>
    <w:p>
      <w:pPr>
        <w:numPr>
          <w:ilvl w:val="0"/>
          <w:numId w:val="637"/>
        </w:numPr>
        <w:ind w:left="720" w:hanging="192"/>
        <w:jc w:val="left"/>
        <w:rPr>
          <w:rFonts w:eastAsia="Arial" w:cs="Arial"/>
          <w:sz w:val="20"/>
          <w:szCs w:val="20"/>
        </w:rPr>
      </w:pPr>
      <w:r>
        <w:rPr>
          <w:rFonts w:eastAsia="Arial" w:cs="Arial"/>
          <w:sz w:val="20"/>
          <w:szCs w:val="20"/>
        </w:rPr>
        <w:t>Third party or intermediary is related to a Government Official who is in a position to grant a business advantage or is involved in a business in which such official owns an equity interest.</w:t>
      </w:r>
    </w:p>
    <w:p>
      <w:pPr>
        <w:numPr>
          <w:ilvl w:val="0"/>
          <w:numId w:val="637"/>
        </w:numPr>
        <w:ind w:left="720" w:hanging="192"/>
        <w:jc w:val="left"/>
        <w:rPr>
          <w:rFonts w:eastAsia="Arial" w:cs="Arial"/>
          <w:sz w:val="20"/>
          <w:szCs w:val="20"/>
        </w:rPr>
      </w:pPr>
      <w:r>
        <w:rPr>
          <w:rFonts w:eastAsia="Arial" w:cs="Arial"/>
          <w:sz w:val="20"/>
          <w:szCs w:val="20"/>
        </w:rPr>
        <w:t>Proposed agent, consultant or other intermediary insists that his or her identity not be disclosed to a Government Official.</w:t>
      </w:r>
    </w:p>
    <w:p>
      <w:pPr>
        <w:numPr>
          <w:ilvl w:val="0"/>
          <w:numId w:val="637"/>
        </w:numPr>
        <w:ind w:left="720" w:hanging="192"/>
        <w:jc w:val="left"/>
        <w:rPr>
          <w:rFonts w:eastAsia="Arial" w:cs="Arial"/>
          <w:sz w:val="20"/>
          <w:szCs w:val="20"/>
        </w:rPr>
      </w:pPr>
      <w:r>
        <w:rPr>
          <w:rFonts w:eastAsia="Arial" w:cs="Arial"/>
          <w:sz w:val="20"/>
          <w:szCs w:val="20"/>
        </w:rPr>
        <w:t>A refusal by an agent, consultant or intermediary to identify its owners, partners or principals.</w:t>
      </w:r>
    </w:p>
    <w:p>
      <w:pPr>
        <w:numPr>
          <w:ilvl w:val="0"/>
          <w:numId w:val="637"/>
        </w:numPr>
        <w:ind w:left="720" w:hanging="192"/>
        <w:jc w:val="left"/>
        <w:rPr>
          <w:rFonts w:eastAsia="Arial" w:cs="Arial"/>
          <w:sz w:val="20"/>
          <w:szCs w:val="20"/>
        </w:rPr>
      </w:pPr>
      <w:r>
        <w:rPr>
          <w:rFonts w:eastAsia="Arial" w:cs="Arial"/>
          <w:sz w:val="20"/>
          <w:szCs w:val="20"/>
        </w:rPr>
        <w:t>Perception that a donation to a specific charity at the request of a Government Official is a quid pro quo for governmental action.</w:t>
      </w:r>
    </w:p>
    <w:p>
      <w:pPr>
        <w:numPr>
          <w:ilvl w:val="0"/>
          <w:numId w:val="637"/>
        </w:numPr>
        <w:ind w:left="720" w:hanging="192"/>
        <w:jc w:val="left"/>
        <w:rPr>
          <w:rFonts w:eastAsia="Arial" w:cs="Arial"/>
          <w:sz w:val="20"/>
          <w:szCs w:val="20"/>
        </w:rPr>
      </w:pPr>
      <w:r>
        <w:rPr>
          <w:rFonts w:eastAsia="Arial" w:cs="Arial"/>
          <w:sz w:val="20"/>
          <w:szCs w:val="20"/>
        </w:rPr>
        <w:t>Diversion of cash payments to special account or "off the books" accounts.</w:t>
      </w:r>
    </w:p>
    <w:p>
      <w:pPr>
        <w:numPr>
          <w:ilvl w:val="0"/>
          <w:numId w:val="637"/>
        </w:numPr>
        <w:ind w:left="720" w:hanging="192"/>
        <w:jc w:val="left"/>
        <w:rPr>
          <w:rFonts w:eastAsia="Arial" w:cs="Arial"/>
          <w:sz w:val="20"/>
          <w:szCs w:val="20"/>
        </w:rPr>
      </w:pPr>
      <w:r>
        <w:rPr>
          <w:rFonts w:eastAsia="Arial" w:cs="Arial"/>
          <w:sz w:val="20"/>
          <w:szCs w:val="20"/>
        </w:rPr>
        <w:t>Lack of documentation for particular transactions, such as a failure to provide itemized receipts or invoices for services rendered.</w:t>
      </w:r>
    </w:p>
    <w:p>
      <w:pPr>
        <w:numPr>
          <w:ilvl w:val="0"/>
          <w:numId w:val="637"/>
        </w:numPr>
        <w:ind w:left="720" w:hanging="192"/>
        <w:jc w:val="left"/>
        <w:rPr>
          <w:rFonts w:eastAsia="Arial" w:cs="Arial"/>
          <w:sz w:val="20"/>
          <w:szCs w:val="20"/>
        </w:rPr>
      </w:pPr>
      <w:r>
        <w:rPr>
          <w:rFonts w:eastAsia="Arial" w:cs="Arial"/>
          <w:sz w:val="20"/>
          <w:szCs w:val="20"/>
        </w:rPr>
        <w:t>Expenses that cannot be explained.</w:t>
      </w:r>
    </w:p>
    <w:p>
      <w:pPr>
        <w:numPr>
          <w:ilvl w:val="0"/>
          <w:numId w:val="637"/>
        </w:numPr>
        <w:ind w:left="720" w:hanging="192"/>
        <w:jc w:val="left"/>
        <w:rPr>
          <w:rFonts w:eastAsia="Arial" w:cs="Arial"/>
          <w:sz w:val="20"/>
          <w:szCs w:val="20"/>
        </w:rPr>
      </w:pPr>
      <w:r>
        <w:rPr>
          <w:rFonts w:eastAsia="Arial" w:cs="Arial"/>
          <w:sz w:val="20"/>
          <w:szCs w:val="20"/>
        </w:rPr>
        <w:t>Poor financial controls over disbursements and poor bookkeeping.</w:t>
      </w:r>
    </w:p>
    <w:p>
      <w:pPr>
        <w:numPr>
          <w:ilvl w:val="0"/>
          <w:numId w:val="637"/>
        </w:numPr>
        <w:ind w:left="720" w:hanging="192"/>
        <w:jc w:val="left"/>
        <w:rPr>
          <w:rFonts w:eastAsia="Arial" w:cs="Arial"/>
          <w:sz w:val="20"/>
          <w:szCs w:val="20"/>
        </w:rPr>
      </w:pPr>
      <w:r>
        <w:rPr>
          <w:rFonts w:eastAsia="Arial" w:cs="Arial"/>
          <w:sz w:val="20"/>
          <w:szCs w:val="20"/>
        </w:rPr>
        <w:t>Hiring of third party or intermediary to perform tasks that require no special knowledge or skills and could have been performed directly by company employees.</w:t>
      </w:r>
    </w:p>
    <w:p>
      <w:pPr>
        <w:numPr>
          <w:ilvl w:val="0"/>
          <w:numId w:val="637"/>
        </w:numPr>
        <w:ind w:left="720" w:hanging="192"/>
        <w:jc w:val="left"/>
        <w:rPr>
          <w:rFonts w:eastAsia="Arial" w:cs="Arial"/>
          <w:sz w:val="20"/>
          <w:szCs w:val="20"/>
        </w:rPr>
      </w:pPr>
      <w:r>
        <w:rPr>
          <w:rFonts w:eastAsia="Arial" w:cs="Arial"/>
          <w:sz w:val="20"/>
          <w:szCs w:val="20"/>
        </w:rPr>
        <w:t xml:space="preserve">Travel expenses reimbursed for government customers or their family members for which there is not a legitimate business purpose. </w:t>
      </w:r>
    </w:p>
    <w:p>
      <w:pPr>
        <w:numPr>
          <w:ilvl w:val="0"/>
          <w:numId w:val="637"/>
        </w:numPr>
        <w:spacing w:after="200"/>
        <w:ind w:left="720" w:hanging="192"/>
        <w:jc w:val="left"/>
        <w:rPr>
          <w:rFonts w:eastAsia="Arial" w:cs="Arial"/>
          <w:sz w:val="20"/>
          <w:szCs w:val="20"/>
        </w:rPr>
      </w:pPr>
      <w:r>
        <w:rPr>
          <w:rFonts w:eastAsia="Arial" w:cs="Arial"/>
          <w:sz w:val="20"/>
          <w:szCs w:val="20"/>
        </w:rPr>
        <w:t>Relatives of Government Officials on the payroll.</w:t>
      </w:r>
    </w:p>
    <w:p>
      <w:bookmarkEnd w:id="743"/>
    </w:p>
    <w:p>
      <w:pPr>
        <w:pStyle w:val="Heading3"/>
      </w:pPr>
      <w:bookmarkStart w:id="744" w:name="_Toc256000195"/>
      <w:r>
        <w:t>10.3.13 Terminated Employees, Officers and Directors</w:t>
      </w:r>
      <w:bookmarkEnd w:id="744"/>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 list of all terminated employees, officers and directors that contains, at a minimum, the following information about each termination:</w:t>
      </w:r>
    </w:p>
    <w:p>
      <w:pPr>
        <w:numPr>
          <w:ilvl w:val="0"/>
          <w:numId w:val="638"/>
        </w:numPr>
        <w:spacing w:before="200"/>
        <w:ind w:left="720" w:hanging="192"/>
        <w:jc w:val="left"/>
        <w:rPr>
          <w:rFonts w:eastAsia="Arial" w:cs="Arial"/>
          <w:sz w:val="20"/>
          <w:szCs w:val="20"/>
        </w:rPr>
      </w:pPr>
      <w:r>
        <w:rPr>
          <w:rFonts w:eastAsia="Arial" w:cs="Arial"/>
          <w:sz w:val="20"/>
          <w:szCs w:val="20"/>
        </w:rPr>
        <w:t xml:space="preserve">Name and position of employee terminated; </w:t>
      </w:r>
    </w:p>
    <w:p>
      <w:pPr>
        <w:numPr>
          <w:ilvl w:val="0"/>
          <w:numId w:val="638"/>
        </w:numPr>
        <w:ind w:left="720" w:hanging="192"/>
        <w:jc w:val="left"/>
        <w:rPr>
          <w:rFonts w:eastAsia="Arial" w:cs="Arial"/>
          <w:sz w:val="20"/>
          <w:szCs w:val="20"/>
        </w:rPr>
      </w:pPr>
      <w:r>
        <w:rPr>
          <w:rFonts w:eastAsia="Arial" w:cs="Arial"/>
          <w:sz w:val="20"/>
          <w:szCs w:val="20"/>
        </w:rPr>
        <w:t xml:space="preserve">Date of termination; and </w:t>
      </w:r>
    </w:p>
    <w:p>
      <w:pPr>
        <w:numPr>
          <w:ilvl w:val="0"/>
          <w:numId w:val="638"/>
        </w:numPr>
        <w:spacing w:after="200"/>
        <w:ind w:left="720" w:hanging="192"/>
        <w:jc w:val="left"/>
        <w:rPr>
          <w:rFonts w:eastAsia="Arial" w:cs="Arial"/>
          <w:sz w:val="20"/>
          <w:szCs w:val="20"/>
        </w:rPr>
      </w:pPr>
      <w:r>
        <w:rPr>
          <w:rFonts w:eastAsia="Arial" w:cs="Arial"/>
          <w:sz w:val="20"/>
          <w:szCs w:val="20"/>
        </w:rPr>
        <w:t>Reason for termination.</w:t>
      </w:r>
    </w:p>
    <w:p>
      <w:bookmarkStart w:id="745" w:name="Sec_Chp_061016102255750_0610161022567963"/>
    </w:p>
    <w:p>
      <w:pPr>
        <w:pStyle w:val="Heading3"/>
      </w:pPr>
      <w:bookmarkStart w:id="746" w:name="_Toc256000196"/>
      <w:r>
        <w:t>10.3.14 Employee, Officer and Director Information</w:t>
      </w:r>
      <w:bookmarkEnd w:id="746"/>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 current organizational chart showing ownership percentages of KCD and control persons. In addition, the following information should be maintained about each employee, office and director (collectively, the "employee") of KCD:</w:t>
      </w:r>
    </w:p>
    <w:p>
      <w:pPr>
        <w:numPr>
          <w:ilvl w:val="0"/>
          <w:numId w:val="639"/>
        </w:numPr>
        <w:spacing w:before="200"/>
        <w:ind w:left="720" w:hanging="192"/>
        <w:jc w:val="left"/>
        <w:rPr>
          <w:rFonts w:eastAsia="Arial" w:cs="Arial"/>
          <w:sz w:val="20"/>
          <w:szCs w:val="20"/>
        </w:rPr>
      </w:pPr>
      <w:r>
        <w:rPr>
          <w:rFonts w:eastAsia="Arial" w:cs="Arial"/>
          <w:sz w:val="20"/>
          <w:szCs w:val="20"/>
        </w:rPr>
        <w:t>Names;</w:t>
      </w:r>
    </w:p>
    <w:p>
      <w:pPr>
        <w:numPr>
          <w:ilvl w:val="0"/>
          <w:numId w:val="639"/>
        </w:numPr>
        <w:ind w:left="720" w:hanging="192"/>
        <w:jc w:val="left"/>
        <w:rPr>
          <w:rFonts w:eastAsia="Arial" w:cs="Arial"/>
          <w:sz w:val="20"/>
          <w:szCs w:val="20"/>
        </w:rPr>
      </w:pPr>
      <w:r>
        <w:rPr>
          <w:rFonts w:eastAsia="Arial" w:cs="Arial"/>
          <w:sz w:val="20"/>
          <w:szCs w:val="20"/>
        </w:rPr>
        <w:t xml:space="preserve">Any threatened, pending and settled litigation involving the employee; </w:t>
      </w:r>
    </w:p>
    <w:p>
      <w:pPr>
        <w:numPr>
          <w:ilvl w:val="0"/>
          <w:numId w:val="639"/>
        </w:numPr>
        <w:ind w:left="720" w:hanging="192"/>
        <w:jc w:val="left"/>
        <w:rPr>
          <w:rFonts w:eastAsia="Arial" w:cs="Arial"/>
          <w:sz w:val="20"/>
          <w:szCs w:val="20"/>
        </w:rPr>
      </w:pPr>
      <w:r>
        <w:rPr>
          <w:rFonts w:eastAsia="Arial" w:cs="Arial"/>
          <w:sz w:val="20"/>
          <w:szCs w:val="20"/>
        </w:rPr>
        <w:t>Any disciplinary action taken by KCD against the employee during the most recent calendar year; and</w:t>
      </w:r>
    </w:p>
    <w:p>
      <w:pPr>
        <w:numPr>
          <w:ilvl w:val="0"/>
          <w:numId w:val="639"/>
        </w:numPr>
        <w:spacing w:after="200"/>
        <w:ind w:left="720" w:hanging="192"/>
        <w:jc w:val="left"/>
        <w:rPr>
          <w:rFonts w:eastAsia="Arial" w:cs="Arial"/>
          <w:sz w:val="20"/>
          <w:szCs w:val="20"/>
        </w:rPr>
      </w:pPr>
      <w:r>
        <w:rPr>
          <w:rFonts w:eastAsia="Arial" w:cs="Arial"/>
          <w:sz w:val="20"/>
          <w:szCs w:val="20"/>
        </w:rPr>
        <w:t>Names of any joint ventures or any other businesses in which the employee participates or has any interest, including a description of each relationship.</w:t>
      </w:r>
    </w:p>
    <w:p>
      <w:bookmarkEnd w:id="745"/>
      <w:bookmarkStart w:id="747" w:name="Sec_Chp_061016102255750_061016102210315"/>
    </w:p>
    <w:p>
      <w:pPr>
        <w:pStyle w:val="Heading3"/>
      </w:pPr>
      <w:bookmarkStart w:id="748" w:name="_Toc256000197"/>
      <w:r>
        <w:t>10.3.15 Pay-to-Play Activities</w:t>
      </w:r>
      <w:bookmarkEnd w:id="748"/>
    </w:p>
    <w:p/>
    <w:p>
      <w:pPr>
        <w:rPr>
          <w:rFonts w:eastAsia="Arial" w:cs="Arial"/>
          <w:sz w:val="16"/>
          <w:szCs w:val="16"/>
        </w:rPr>
      </w:pPr>
      <w:r>
        <w:rPr>
          <w:rFonts w:eastAsia="Arial" w:cs="Arial"/>
          <w:sz w:val="16"/>
          <w:szCs w:val="16"/>
        </w:rPr>
        <w:t>[Investment Advisers Act of 1940 Rule 206(4)-5]</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Investment advisers provide a wide variety of advisory services to state and local governments, including managing their public pension plans. The SEC has adopted Rule 206(4)-5 under the Advisers Act that prohibits an investment adviser from providing advisory services for compensation to a government client for two years after the adviser or certain of its executives or employees make a contribution to certain elected officials or candidates. The rule is targeted at those employees of an adviser whose contributions in the SEC's view raise the greatest danger of quid pro quo exchanges, and it covers only contributions to those governmental officials who would be the most likely targets of pay-to-play arrangements because of their authority to influence the award of advisory business. The rule also prohibits an adviser from providing or agreeing to provide, directly or indirectly, payment to any third party for a solicitation of advisory business from any government entity on behalf of such adviser. Additionally, the rule prevents an adviser from soliciting from others, coordinating contributions to certain elected officials or candidates, or coordinating payments to political parties where the adviser is providing or seeking government business. Finally, the rule requires an adviser to maintain certain records of the political contributions made by the adviser or certain of its executives or employees.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KCD and its employees may make political contributions or coordinate with others to make political contributions to Officials running for various governmental offices. From time to time, KCD may have the opportunity to provide advisory services to a governmental entity such as a state pension plan. To gain governmental entity clients, KCD may desire to pay third parties that will solicit such business on behalf of KCD. These procedures govern KCD's and its employees' political activities when KCD is also seeking to manage, or actively managing, assets of governmental entities. Such procedures are sometimes called "pay-to-play" procedures.</w:t>
      </w:r>
    </w:p>
    <w:p>
      <w:bookmarkEnd w:id="747"/>
      <w:bookmarkStart w:id="749" w:name="Sec_Chp_061016102255750_0610161022103151"/>
    </w:p>
    <w:p>
      <w:pPr>
        <w:pStyle w:val="Heading4"/>
      </w:pPr>
      <w:r>
        <w:t>10.3.15.1 Applicability of Pay-to-Play Rules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Rule 206(4)-5 under the Advisers Act and these procedures only apply if:</w:t>
      </w:r>
    </w:p>
    <w:p>
      <w:pPr>
        <w:numPr>
          <w:ilvl w:val="0"/>
          <w:numId w:val="640"/>
        </w:numPr>
        <w:spacing w:before="200"/>
        <w:ind w:left="720" w:hanging="192"/>
        <w:jc w:val="left"/>
        <w:rPr>
          <w:rFonts w:eastAsia="Arial" w:cs="Arial"/>
          <w:sz w:val="20"/>
          <w:szCs w:val="20"/>
        </w:rPr>
      </w:pPr>
      <w:r>
        <w:rPr>
          <w:rFonts w:eastAsia="Arial" w:cs="Arial"/>
          <w:sz w:val="20"/>
          <w:szCs w:val="20"/>
        </w:rPr>
        <w:t xml:space="preserve">KCD provides or is considering whether to provide investment advisory services to a Government entity; or </w:t>
      </w:r>
    </w:p>
    <w:p>
      <w:pPr>
        <w:numPr>
          <w:ilvl w:val="0"/>
          <w:numId w:val="640"/>
        </w:numPr>
        <w:spacing w:after="200"/>
        <w:ind w:left="720" w:hanging="192"/>
        <w:jc w:val="left"/>
        <w:rPr>
          <w:rFonts w:eastAsia="Arial" w:cs="Arial"/>
          <w:sz w:val="20"/>
          <w:szCs w:val="20"/>
        </w:rPr>
      </w:pPr>
      <w:r>
        <w:rPr>
          <w:rFonts w:eastAsia="Arial" w:cs="Arial"/>
          <w:sz w:val="20"/>
          <w:szCs w:val="20"/>
        </w:rPr>
        <w:t>KCD provides or is considering whether to make available for investment Covered Investment Pools that KCD advises to a Government entity.</w:t>
      </w:r>
    </w:p>
    <w:p>
      <w:bookmarkEnd w:id="749"/>
    </w:p>
    <w:p>
      <w:pPr>
        <w:pStyle w:val="Heading4"/>
      </w:pPr>
      <w:r>
        <w:t>10.3.15.2 Pay-to-Pay Rule Definitions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The following definitions apply to the pay-to-play procedures set forth in this section.</w:t>
      </w:r>
    </w:p>
    <w:p/>
    <w:p>
      <w:pPr>
        <w:pStyle w:val="Heading5"/>
      </w:pPr>
      <w:r>
        <w:t>10.3.15.2.1 Contributions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 xml:space="preserve">"Contribution" means any gift, subscription, loan, advance, or deposit of money or anything of value made for: </w:t>
      </w:r>
    </w:p>
    <w:p>
      <w:pPr>
        <w:numPr>
          <w:ilvl w:val="0"/>
          <w:numId w:val="641"/>
        </w:numPr>
        <w:spacing w:before="200"/>
        <w:ind w:left="720" w:hanging="192"/>
        <w:jc w:val="left"/>
        <w:rPr>
          <w:rFonts w:eastAsia="Arial" w:cs="Arial"/>
          <w:sz w:val="20"/>
          <w:szCs w:val="20"/>
        </w:rPr>
      </w:pPr>
      <w:r>
        <w:rPr>
          <w:rFonts w:eastAsia="Arial" w:cs="Arial"/>
          <w:sz w:val="20"/>
          <w:szCs w:val="20"/>
        </w:rPr>
        <w:t>The purpose of influencing any election for federal, state or local office;</w:t>
      </w:r>
    </w:p>
    <w:p>
      <w:pPr>
        <w:numPr>
          <w:ilvl w:val="0"/>
          <w:numId w:val="641"/>
        </w:numPr>
        <w:ind w:left="720" w:hanging="192"/>
        <w:jc w:val="left"/>
        <w:rPr>
          <w:rFonts w:eastAsia="Arial" w:cs="Arial"/>
          <w:sz w:val="20"/>
          <w:szCs w:val="20"/>
        </w:rPr>
      </w:pPr>
      <w:r>
        <w:rPr>
          <w:rFonts w:eastAsia="Arial" w:cs="Arial"/>
          <w:sz w:val="20"/>
          <w:szCs w:val="20"/>
        </w:rPr>
        <w:t>Payment of debt incurred in connection with any such election; or</w:t>
      </w:r>
    </w:p>
    <w:p>
      <w:pPr>
        <w:numPr>
          <w:ilvl w:val="0"/>
          <w:numId w:val="641"/>
        </w:numPr>
        <w:spacing w:after="200"/>
        <w:ind w:left="720" w:hanging="192"/>
        <w:jc w:val="left"/>
        <w:rPr>
          <w:rFonts w:eastAsia="Arial" w:cs="Arial"/>
          <w:sz w:val="20"/>
          <w:szCs w:val="20"/>
        </w:rPr>
      </w:pPr>
      <w:r>
        <w:rPr>
          <w:rFonts w:eastAsia="Arial" w:cs="Arial"/>
          <w:sz w:val="20"/>
          <w:szCs w:val="20"/>
        </w:rPr>
        <w:t>Transition or inaugural expenses of the successful candidate for state or local office.</w:t>
      </w:r>
    </w:p>
    <w:tbl>
      <w:tblPr>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Pr>
      <w:tblGrid>
        <w:gridCol w:w="9920"/>
      </w:tblGrid>
      <w:tr>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does not consider a donation of time by an individual to be a contribution, provided the adviser has not solicited the individual's efforts and the adviser's resources, such as office space and telephones, are not used. The SEC would not consider a charitable donation made by an investment adviser to an organization that qualifies for an exemption from federal taxation under the Internal Revenue Code, or its equivalent in a foreign jurisdiction, at the request of an official of a government entity to be a contribution for purposes of Rule 206(4)-5.</w:t>
            </w:r>
          </w:p>
        </w:tc>
      </w:tr>
    </w:tbl>
    <w:p/>
    <w:p>
      <w:pPr>
        <w:pStyle w:val="Heading5"/>
      </w:pPr>
      <w:r>
        <w:t>10.3.15.2.2 Covered Associate</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"Covered Associate" means:</w:t>
      </w:r>
    </w:p>
    <w:p>
      <w:pPr>
        <w:numPr>
          <w:ilvl w:val="0"/>
          <w:numId w:val="642"/>
        </w:numPr>
        <w:spacing w:before="200"/>
        <w:ind w:left="720" w:hanging="192"/>
        <w:jc w:val="left"/>
        <w:rPr>
          <w:rFonts w:eastAsia="Arial" w:cs="Arial"/>
          <w:sz w:val="20"/>
          <w:szCs w:val="20"/>
        </w:rPr>
      </w:pPr>
      <w:r>
        <w:rPr>
          <w:rFonts w:eastAsia="Arial" w:cs="Arial"/>
          <w:sz w:val="20"/>
          <w:szCs w:val="20"/>
        </w:rPr>
        <w:t xml:space="preserve">Any general partner, managing member or executive officer, or other individual with a similar status or function, of KCD; </w:t>
      </w:r>
    </w:p>
    <w:p>
      <w:pPr>
        <w:numPr>
          <w:ilvl w:val="0"/>
          <w:numId w:val="642"/>
        </w:numPr>
        <w:ind w:left="720" w:hanging="192"/>
        <w:jc w:val="left"/>
        <w:rPr>
          <w:rFonts w:eastAsia="Arial" w:cs="Arial"/>
          <w:sz w:val="20"/>
          <w:szCs w:val="20"/>
        </w:rPr>
      </w:pPr>
      <w:r>
        <w:rPr>
          <w:rFonts w:eastAsia="Arial" w:cs="Arial"/>
          <w:sz w:val="20"/>
          <w:szCs w:val="20"/>
        </w:rPr>
        <w:t>Any employee of KCD who solicits a government entity for KCD and any person who supervises, directly or indirectly, such employee; and</w:t>
      </w:r>
    </w:p>
    <w:p>
      <w:pPr>
        <w:numPr>
          <w:ilvl w:val="0"/>
          <w:numId w:val="642"/>
        </w:numPr>
        <w:spacing w:after="200"/>
        <w:ind w:left="720" w:hanging="192"/>
        <w:jc w:val="left"/>
        <w:rPr>
          <w:rFonts w:eastAsia="Arial" w:cs="Arial"/>
          <w:sz w:val="20"/>
          <w:szCs w:val="20"/>
        </w:rPr>
      </w:pPr>
      <w:r>
        <w:rPr>
          <w:rFonts w:eastAsia="Arial" w:cs="Arial"/>
          <w:sz w:val="20"/>
          <w:szCs w:val="20"/>
        </w:rPr>
        <w:t>Any political action committee controlled by KCD or by any person described in paragraphs (f)(2)(i) and (f)(2)(ii) of Rule 206(4)-5 under the Advisers Act.</w:t>
      </w:r>
    </w:p>
    <w:p/>
    <w:p>
      <w:pPr>
        <w:pStyle w:val="Heading5"/>
      </w:pPr>
      <w:r>
        <w:t>10.3.15.2.3 Covered Investment Pool</w:t>
      </w:r>
    </w:p>
    <w:p/>
    <w:p>
      <w:pPr>
        <w:rPr>
          <w:rFonts w:eastAsia="Arial" w:cs="Arial"/>
          <w:sz w:val="16"/>
          <w:szCs w:val="16"/>
        </w:rPr>
      </w:pPr>
      <w:r>
        <w:rPr>
          <w:rFonts w:eastAsia="Arial" w:cs="Arial"/>
          <w:sz w:val="16"/>
          <w:szCs w:val="16"/>
        </w:rPr>
        <w:t>[Investment Advisers Act of 1940 Rule 206(4)-5; Investment Company Act of 1940 Section 3(a)]</w:t>
      </w:r>
    </w:p>
    <w:p/>
    <w:p>
      <w:pPr>
        <w:pStyle w:val="normal0"/>
        <w:spacing w:after="200"/>
        <w:rPr>
          <w:rFonts w:eastAsia="Arial" w:cs="Arial"/>
          <w:sz w:val="20"/>
          <w:szCs w:val="20"/>
        </w:rPr>
      </w:pPr>
      <w:r>
        <w:rPr>
          <w:rFonts w:eastAsia="Arial" w:cs="Arial"/>
          <w:sz w:val="20"/>
          <w:szCs w:val="20"/>
        </w:rPr>
        <w:t>"Covered Investment Pool" means:</w:t>
      </w:r>
    </w:p>
    <w:p>
      <w:pPr>
        <w:numPr>
          <w:ilvl w:val="0"/>
          <w:numId w:val="643"/>
        </w:numPr>
        <w:spacing w:before="200"/>
        <w:ind w:left="720" w:hanging="192"/>
        <w:jc w:val="left"/>
        <w:rPr>
          <w:rFonts w:eastAsia="Arial" w:cs="Arial"/>
          <w:sz w:val="20"/>
          <w:szCs w:val="20"/>
        </w:rPr>
      </w:pPr>
      <w:r>
        <w:rPr>
          <w:rFonts w:eastAsia="Arial" w:cs="Arial"/>
          <w:sz w:val="20"/>
          <w:szCs w:val="20"/>
        </w:rPr>
        <w:t xml:space="preserve">An investment company registered under the Investment Company Act of 1940 that is an investment option of a plan or program of a government entity; or </w:t>
      </w:r>
    </w:p>
    <w:p>
      <w:pPr>
        <w:numPr>
          <w:ilvl w:val="0"/>
          <w:numId w:val="643"/>
        </w:numPr>
        <w:spacing w:after="200"/>
        <w:ind w:left="720" w:hanging="192"/>
        <w:jc w:val="left"/>
        <w:rPr>
          <w:rFonts w:eastAsia="Arial" w:cs="Arial"/>
          <w:sz w:val="20"/>
          <w:szCs w:val="20"/>
        </w:rPr>
      </w:pPr>
      <w:r>
        <w:rPr>
          <w:rFonts w:eastAsia="Arial" w:cs="Arial"/>
          <w:sz w:val="20"/>
          <w:szCs w:val="20"/>
        </w:rPr>
        <w:t>Any company that would be an investment company under Section 3(a) of the Investment Company Act of 1940, but for the exclusion provided from that definition by either Section 3(c)(1), Section 3(c)(7) or Section 3(c)(11) of that Act (e.g., most hedge funds).</w:t>
      </w:r>
    </w:p>
    <w:p/>
    <w:p>
      <w:pPr>
        <w:pStyle w:val="Heading5"/>
      </w:pPr>
      <w:r>
        <w:t>10.3.15.2.4 De Minimis Contribution</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"De Minimis Contribution" means:</w:t>
      </w:r>
    </w:p>
    <w:p>
      <w:pPr>
        <w:numPr>
          <w:ilvl w:val="0"/>
          <w:numId w:val="644"/>
        </w:numPr>
        <w:spacing w:before="200"/>
        <w:ind w:left="720" w:hanging="192"/>
        <w:jc w:val="left"/>
        <w:rPr>
          <w:rFonts w:eastAsia="Arial" w:cs="Arial"/>
          <w:sz w:val="20"/>
          <w:szCs w:val="20"/>
        </w:rPr>
      </w:pPr>
      <w:r>
        <w:rPr>
          <w:rFonts w:eastAsia="Arial" w:cs="Arial"/>
          <w:sz w:val="20"/>
          <w:szCs w:val="20"/>
        </w:rPr>
        <w:t>$350 in the case of a Contribution to an Official for whom such employee is entitled to vote; and</w:t>
      </w:r>
    </w:p>
    <w:p>
      <w:pPr>
        <w:numPr>
          <w:ilvl w:val="0"/>
          <w:numId w:val="644"/>
        </w:numPr>
        <w:spacing w:after="200"/>
        <w:ind w:left="720" w:hanging="192"/>
        <w:jc w:val="left"/>
        <w:rPr>
          <w:rFonts w:eastAsia="Arial" w:cs="Arial"/>
          <w:sz w:val="20"/>
          <w:szCs w:val="20"/>
        </w:rPr>
      </w:pPr>
      <w:r>
        <w:rPr>
          <w:rFonts w:eastAsia="Arial" w:cs="Arial"/>
          <w:sz w:val="20"/>
          <w:szCs w:val="20"/>
        </w:rPr>
        <w:t>$150 in the case of a Contribution to an Official for whom such employee is not entitled to vote.</w:t>
      </w:r>
    </w:p>
    <w:p/>
    <w:p>
      <w:pPr>
        <w:pStyle w:val="Heading5"/>
      </w:pPr>
      <w:r>
        <w:t>10.3.15.2.5 Executive Officer</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"Executive Officer" means:</w:t>
      </w:r>
    </w:p>
    <w:p>
      <w:pPr>
        <w:numPr>
          <w:ilvl w:val="0"/>
          <w:numId w:val="645"/>
        </w:numPr>
        <w:spacing w:before="200"/>
        <w:ind w:left="720" w:hanging="192"/>
        <w:jc w:val="left"/>
        <w:rPr>
          <w:rFonts w:eastAsia="Arial" w:cs="Arial"/>
          <w:sz w:val="20"/>
          <w:szCs w:val="20"/>
        </w:rPr>
      </w:pPr>
      <w:r>
        <w:rPr>
          <w:rFonts w:eastAsia="Arial" w:cs="Arial"/>
          <w:sz w:val="20"/>
          <w:szCs w:val="20"/>
        </w:rPr>
        <w:t>The President of KCD;</w:t>
      </w:r>
    </w:p>
    <w:p>
      <w:pPr>
        <w:numPr>
          <w:ilvl w:val="0"/>
          <w:numId w:val="645"/>
        </w:numPr>
        <w:ind w:left="720" w:hanging="192"/>
        <w:jc w:val="left"/>
        <w:rPr>
          <w:rFonts w:eastAsia="Arial" w:cs="Arial"/>
          <w:sz w:val="20"/>
          <w:szCs w:val="20"/>
        </w:rPr>
      </w:pPr>
      <w:r>
        <w:rPr>
          <w:rFonts w:eastAsia="Arial" w:cs="Arial"/>
          <w:sz w:val="20"/>
          <w:szCs w:val="20"/>
        </w:rPr>
        <w:t>Any vice president in charge of a principal business unit, division or function (such as sales, administration or finance) of KCD;</w:t>
      </w:r>
    </w:p>
    <w:p>
      <w:pPr>
        <w:numPr>
          <w:ilvl w:val="0"/>
          <w:numId w:val="645"/>
        </w:numPr>
        <w:ind w:left="720" w:hanging="192"/>
        <w:jc w:val="left"/>
        <w:rPr>
          <w:rFonts w:eastAsia="Arial" w:cs="Arial"/>
          <w:sz w:val="20"/>
          <w:szCs w:val="20"/>
        </w:rPr>
      </w:pPr>
      <w:r>
        <w:rPr>
          <w:rFonts w:eastAsia="Arial" w:cs="Arial"/>
          <w:sz w:val="20"/>
          <w:szCs w:val="20"/>
        </w:rPr>
        <w:t>Any other officer of KCD who performs a policy-making function; and</w:t>
      </w:r>
    </w:p>
    <w:p>
      <w:pPr>
        <w:numPr>
          <w:ilvl w:val="0"/>
          <w:numId w:val="645"/>
        </w:numPr>
        <w:spacing w:after="200"/>
        <w:ind w:left="720" w:hanging="192"/>
        <w:jc w:val="left"/>
        <w:rPr>
          <w:rFonts w:eastAsia="Arial" w:cs="Arial"/>
          <w:sz w:val="20"/>
          <w:szCs w:val="20"/>
        </w:rPr>
      </w:pPr>
      <w:r>
        <w:rPr>
          <w:rFonts w:eastAsia="Arial" w:cs="Arial"/>
          <w:sz w:val="20"/>
          <w:szCs w:val="20"/>
        </w:rPr>
        <w:t>Any other person who performs similar policy-making functions for KCD.</w:t>
      </w:r>
    </w:p>
    <w:p/>
    <w:p>
      <w:pPr>
        <w:pStyle w:val="Heading5"/>
      </w:pPr>
      <w:r>
        <w:t>10.3.15.2.6 Government Entity</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"Government entity" means any state or political subdivision of a state, including:</w:t>
      </w:r>
    </w:p>
    <w:p>
      <w:pPr>
        <w:numPr>
          <w:ilvl w:val="0"/>
          <w:numId w:val="646"/>
        </w:numPr>
        <w:spacing w:before="200"/>
        <w:ind w:left="720" w:hanging="192"/>
        <w:jc w:val="left"/>
        <w:rPr>
          <w:rFonts w:eastAsia="Arial" w:cs="Arial"/>
          <w:sz w:val="20"/>
          <w:szCs w:val="20"/>
        </w:rPr>
      </w:pPr>
      <w:r>
        <w:rPr>
          <w:rFonts w:eastAsia="Arial" w:cs="Arial"/>
          <w:sz w:val="20"/>
          <w:szCs w:val="20"/>
        </w:rPr>
        <w:t xml:space="preserve">Any agency, authority, or instrumentality of the state or political subdivision; </w:t>
      </w:r>
    </w:p>
    <w:p>
      <w:pPr>
        <w:numPr>
          <w:ilvl w:val="0"/>
          <w:numId w:val="646"/>
        </w:numPr>
        <w:ind w:left="720" w:hanging="192"/>
        <w:jc w:val="left"/>
        <w:rPr>
          <w:rFonts w:eastAsia="Arial" w:cs="Arial"/>
          <w:sz w:val="20"/>
          <w:szCs w:val="20"/>
        </w:rPr>
      </w:pPr>
      <w:r>
        <w:rPr>
          <w:rFonts w:eastAsia="Arial" w:cs="Arial"/>
          <w:sz w:val="20"/>
          <w:szCs w:val="20"/>
        </w:rPr>
        <w:t xml:space="preserve">A pool of assets sponsored or established by the state or political subdivision or any agency, authority or instrumentality thereof, including, but not limited to a "defined benefit plan" as defined in section 414(j) of the Internal Revenue Code , or a state general fund; </w:t>
      </w:r>
    </w:p>
    <w:p>
      <w:pPr>
        <w:numPr>
          <w:ilvl w:val="0"/>
          <w:numId w:val="646"/>
        </w:numPr>
        <w:ind w:left="720" w:hanging="192"/>
        <w:jc w:val="left"/>
        <w:rPr>
          <w:rFonts w:eastAsia="Arial" w:cs="Arial"/>
          <w:sz w:val="20"/>
          <w:szCs w:val="20"/>
        </w:rPr>
      </w:pPr>
      <w:r>
        <w:rPr>
          <w:rFonts w:eastAsia="Arial" w:cs="Arial"/>
          <w:sz w:val="20"/>
          <w:szCs w:val="20"/>
        </w:rPr>
        <w:t>A plan or program of a government entity; and</w:t>
      </w:r>
    </w:p>
    <w:p>
      <w:pPr>
        <w:numPr>
          <w:ilvl w:val="0"/>
          <w:numId w:val="646"/>
        </w:numPr>
        <w:spacing w:after="200"/>
        <w:ind w:left="720" w:hanging="192"/>
        <w:jc w:val="left"/>
        <w:rPr>
          <w:rFonts w:eastAsia="Arial" w:cs="Arial"/>
          <w:sz w:val="20"/>
          <w:szCs w:val="20"/>
        </w:rPr>
      </w:pPr>
      <w:r>
        <w:rPr>
          <w:rFonts w:eastAsia="Arial" w:cs="Arial"/>
          <w:sz w:val="20"/>
          <w:szCs w:val="20"/>
        </w:rPr>
        <w:t>Officers, agents, or employees of the state or political subdivision or any agency, authority or instrumentality thereof, acting in their official capacity.</w:t>
      </w:r>
    </w:p>
    <w:p/>
    <w:p>
      <w:pPr>
        <w:pStyle w:val="Heading5"/>
      </w:pPr>
      <w:r>
        <w:t>10.3.15.2.7 Official</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"Official" means any person (including any election committee for the person) who was, at the time of the Contribution, an incumbent, candidate or successful candidate for elective office of a government entity, if the office:</w:t>
      </w:r>
    </w:p>
    <w:p>
      <w:pPr>
        <w:numPr>
          <w:ilvl w:val="0"/>
          <w:numId w:val="647"/>
        </w:numPr>
        <w:spacing w:before="200"/>
        <w:ind w:left="720" w:hanging="192"/>
        <w:jc w:val="left"/>
        <w:rPr>
          <w:rFonts w:eastAsia="Arial" w:cs="Arial"/>
          <w:sz w:val="20"/>
          <w:szCs w:val="20"/>
        </w:rPr>
      </w:pPr>
      <w:r>
        <w:rPr>
          <w:rFonts w:eastAsia="Arial" w:cs="Arial"/>
          <w:sz w:val="20"/>
          <w:szCs w:val="20"/>
        </w:rPr>
        <w:t>Is directly or indirectly responsible for, or can influence the outcome of, the hiring of an investment adviser such as KCD by a government entity; or</w:t>
      </w:r>
    </w:p>
    <w:p>
      <w:pPr>
        <w:numPr>
          <w:ilvl w:val="0"/>
          <w:numId w:val="647"/>
        </w:numPr>
        <w:spacing w:after="200"/>
        <w:ind w:left="720" w:hanging="192"/>
        <w:jc w:val="left"/>
        <w:rPr>
          <w:rFonts w:eastAsia="Arial" w:cs="Arial"/>
          <w:sz w:val="20"/>
          <w:szCs w:val="20"/>
        </w:rPr>
      </w:pPr>
      <w:r>
        <w:rPr>
          <w:rFonts w:eastAsia="Arial" w:cs="Arial"/>
          <w:sz w:val="20"/>
          <w:szCs w:val="20"/>
        </w:rPr>
        <w:t>Has authority to appoint any person who is directly or indirectly responsible for, or can influence the outcome of, the hiring of an investment adviser such as KCD by a government entity.</w:t>
      </w:r>
    </w:p>
    <w:p/>
    <w:p>
      <w:pPr>
        <w:pStyle w:val="Heading5"/>
      </w:pPr>
      <w:r>
        <w:t>10.3.15.2.8 Payment</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"Payment" means any gift, subscription, loan, advance, or deposit of money or anything of value.</w:t>
      </w:r>
    </w:p>
    <w:p/>
    <w:p>
      <w:pPr>
        <w:pStyle w:val="Heading5"/>
      </w:pPr>
      <w:r>
        <w:t>10.3.15.2.9 Regulated Person</w:t>
      </w:r>
    </w:p>
    <w:p/>
    <w:p>
      <w:pPr>
        <w:rPr>
          <w:rFonts w:eastAsia="Arial" w:cs="Arial"/>
          <w:sz w:val="16"/>
          <w:szCs w:val="16"/>
        </w:rPr>
      </w:pPr>
      <w:r>
        <w:rPr>
          <w:rFonts w:eastAsia="Arial" w:cs="Arial"/>
          <w:sz w:val="16"/>
          <w:szCs w:val="16"/>
        </w:rPr>
        <w:t>[Investment Advisers Act of 1940 Rule 206(4)-5; SEC Securities Exchange Act of 1934 Section 3(a)(4), Section 3(a)(5) and Section 15A]</w:t>
      </w:r>
    </w:p>
    <w:p/>
    <w:p>
      <w:pPr>
        <w:pStyle w:val="normal0"/>
        <w:spacing w:after="200"/>
        <w:rPr>
          <w:rFonts w:eastAsia="Arial" w:cs="Arial"/>
          <w:sz w:val="20"/>
          <w:szCs w:val="20"/>
        </w:rPr>
      </w:pPr>
      <w:r>
        <w:rPr>
          <w:rFonts w:eastAsia="Arial" w:cs="Arial"/>
          <w:sz w:val="20"/>
          <w:szCs w:val="20"/>
        </w:rPr>
        <w:t>"Regulated Person" means:</w:t>
      </w:r>
    </w:p>
    <w:p>
      <w:pPr>
        <w:numPr>
          <w:ilvl w:val="0"/>
          <w:numId w:val="648"/>
        </w:numPr>
        <w:spacing w:before="200"/>
        <w:ind w:left="720" w:hanging="192"/>
        <w:jc w:val="left"/>
        <w:rPr>
          <w:rFonts w:eastAsia="Arial" w:cs="Arial"/>
          <w:sz w:val="20"/>
          <w:szCs w:val="20"/>
        </w:rPr>
      </w:pPr>
      <w:r>
        <w:rPr>
          <w:rFonts w:eastAsia="Arial" w:cs="Arial"/>
          <w:sz w:val="20"/>
          <w:szCs w:val="20"/>
        </w:rPr>
        <w:t xml:space="preserve">An investment adviser registered with the SEC that has not, and whose Covered Associates have not, within two years of soliciting a government entity: </w:t>
      </w:r>
    </w:p>
    <w:p>
      <w:pPr>
        <w:numPr>
          <w:ilvl w:val="1"/>
          <w:numId w:val="648"/>
        </w:numPr>
        <w:ind w:left="1440" w:hanging="220"/>
        <w:jc w:val="left"/>
        <w:rPr>
          <w:rFonts w:eastAsia="Arial" w:cs="Arial"/>
          <w:sz w:val="20"/>
          <w:szCs w:val="20"/>
        </w:rPr>
      </w:pPr>
      <w:r>
        <w:rPr>
          <w:rFonts w:eastAsia="Arial" w:cs="Arial"/>
          <w:sz w:val="20"/>
          <w:szCs w:val="20"/>
        </w:rPr>
        <w:t xml:space="preserve">Made a Contribution to an official of that Government entity, other than as described in paragraph (b)(1) of Rule 206(4)-5 under the Advisers Act; and </w:t>
      </w:r>
    </w:p>
    <w:p>
      <w:pPr>
        <w:numPr>
          <w:ilvl w:val="1"/>
          <w:numId w:val="648"/>
        </w:numPr>
        <w:ind w:left="1440" w:hanging="220"/>
        <w:jc w:val="left"/>
        <w:rPr>
          <w:rFonts w:eastAsia="Arial" w:cs="Arial"/>
          <w:sz w:val="20"/>
          <w:szCs w:val="20"/>
        </w:rPr>
      </w:pPr>
      <w:r>
        <w:rPr>
          <w:rFonts w:eastAsia="Arial" w:cs="Arial"/>
          <w:sz w:val="20"/>
          <w:szCs w:val="20"/>
        </w:rPr>
        <w:t>Coordinated or solicited any person or political action committee to make any Contribution or payment described in paragraphs (a)(2)(ii)(A) and (B) of Rule 206(4)-5; or</w:t>
      </w:r>
    </w:p>
    <w:p>
      <w:pPr>
        <w:numPr>
          <w:ilvl w:val="0"/>
          <w:numId w:val="648"/>
        </w:numPr>
        <w:ind w:left="720" w:hanging="192"/>
        <w:jc w:val="left"/>
        <w:rPr>
          <w:rFonts w:eastAsia="Arial" w:cs="Arial"/>
          <w:sz w:val="20"/>
          <w:szCs w:val="20"/>
        </w:rPr>
      </w:pPr>
      <w:r>
        <w:rPr>
          <w:rFonts w:eastAsia="Arial" w:cs="Arial"/>
          <w:sz w:val="20"/>
          <w:szCs w:val="20"/>
        </w:rPr>
        <w:t>A "broker," as defined in Section 3(a)(4) of the Securities Exchange Act of 1934 or a "dealer," as defined in Section 3(a)(5) of that Act, that is registered with the SEC, and is a member of a national securities association registered under Section 15A of that Act, provided that:</w:t>
      </w:r>
    </w:p>
    <w:p>
      <w:pPr>
        <w:numPr>
          <w:ilvl w:val="1"/>
          <w:numId w:val="648"/>
        </w:numPr>
        <w:ind w:left="1440" w:hanging="220"/>
        <w:jc w:val="left"/>
        <w:rPr>
          <w:rFonts w:eastAsia="Arial" w:cs="Arial"/>
          <w:sz w:val="20"/>
          <w:szCs w:val="20"/>
        </w:rPr>
      </w:pPr>
      <w:r>
        <w:rPr>
          <w:rFonts w:eastAsia="Arial" w:cs="Arial"/>
          <w:sz w:val="20"/>
          <w:szCs w:val="20"/>
        </w:rPr>
        <w:t xml:space="preserve">The rules of the association prohibit members from engaging in distribution or solicitation activities if certain political contributions have been made; and </w:t>
      </w:r>
    </w:p>
    <w:p>
      <w:pPr>
        <w:numPr>
          <w:ilvl w:val="1"/>
          <w:numId w:val="648"/>
        </w:numPr>
        <w:spacing w:after="200"/>
        <w:ind w:left="1440" w:hanging="220"/>
        <w:jc w:val="left"/>
        <w:rPr>
          <w:rFonts w:eastAsia="Arial" w:cs="Arial"/>
          <w:sz w:val="20"/>
          <w:szCs w:val="20"/>
        </w:rPr>
      </w:pPr>
      <w:r>
        <w:rPr>
          <w:rFonts w:eastAsia="Arial" w:cs="Arial"/>
          <w:sz w:val="20"/>
          <w:szCs w:val="20"/>
        </w:rPr>
        <w:t xml:space="preserve">The SEC, by order, finds that such rules impose substantially equivalent or more stringent restrictions on broker-dealers than this section imposes on investment advisers and that such rules are consistent with the objectives of Rule 206(4)-5. </w:t>
      </w:r>
    </w:p>
    <w:p>
      <w:bookmarkStart w:id="750" w:name="Sec_Chp_061016102255750_0610161022103152"/>
    </w:p>
    <w:p>
      <w:pPr>
        <w:pStyle w:val="Heading5"/>
      </w:pPr>
      <w:r>
        <w:t>10.3.15.2.10 Solicit</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"Solicit" means:</w:t>
      </w:r>
    </w:p>
    <w:p>
      <w:pPr>
        <w:numPr>
          <w:ilvl w:val="0"/>
          <w:numId w:val="649"/>
        </w:numPr>
        <w:spacing w:before="200"/>
        <w:ind w:left="720" w:hanging="192"/>
        <w:jc w:val="left"/>
        <w:rPr>
          <w:rFonts w:eastAsia="Arial" w:cs="Arial"/>
          <w:sz w:val="20"/>
          <w:szCs w:val="20"/>
        </w:rPr>
      </w:pPr>
      <w:r>
        <w:rPr>
          <w:rFonts w:eastAsia="Arial" w:cs="Arial"/>
          <w:sz w:val="20"/>
          <w:szCs w:val="20"/>
        </w:rPr>
        <w:t>With respect to investment advisory services, to communicate, directly or indirectly, for the purpose of obtaining or retaining a client for, or referring a client to, KCD; and</w:t>
      </w:r>
    </w:p>
    <w:p>
      <w:pPr>
        <w:numPr>
          <w:ilvl w:val="0"/>
          <w:numId w:val="649"/>
        </w:numPr>
        <w:spacing w:after="200"/>
        <w:ind w:left="720" w:hanging="192"/>
        <w:jc w:val="left"/>
        <w:rPr>
          <w:rFonts w:eastAsia="Arial" w:cs="Arial"/>
          <w:sz w:val="20"/>
          <w:szCs w:val="20"/>
        </w:rPr>
      </w:pPr>
      <w:r>
        <w:rPr>
          <w:rFonts w:eastAsia="Arial" w:cs="Arial"/>
          <w:sz w:val="20"/>
          <w:szCs w:val="20"/>
        </w:rPr>
        <w:t xml:space="preserve">With respect to a contribution or payment, to communicate, directly or indirectly, for the purpose of obtaining or arranging a contribution or payment. </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has stated that the determination of whether a particular communication is a solicitation depends on the specific facts and circumstances relating to such communication. As a general proposition any communication made under circumstances reasonably calculated to obtain or retain an advisory client would be considered a solicitation unless the circumstances otherwise indicate that the communication does not have the purpose of obtaining or retaining an advisory client. For example, if a government official asks an employee of an advisory firm whether the adviser has pension fund advisory capabilities, such employee generally would not be viewed as having solicited advisory business if he or she provides a limited affirmative response, together with either providing the government official with contact information for a covered associate of the adviser or informing the government official that advisory personnel who handle government advisory business will contact him or her.</w:t>
            </w:r>
          </w:p>
        </w:tc>
      </w:tr>
    </w:tbl>
    <w:p>
      <w:bookmarkEnd w:id="750"/>
    </w:p>
    <w:p>
      <w:pPr>
        <w:pStyle w:val="Heading4"/>
      </w:pPr>
      <w:r>
        <w:t>10.3.15.3 Pay-to-Play Contributions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The following governs KCD's activities as they related to political contributions, campaign activities, involvement with political action committees and new employees.</w:t>
      </w:r>
    </w:p>
    <w:p/>
    <w:p>
      <w:pPr>
        <w:pStyle w:val="Heading5"/>
      </w:pPr>
      <w:r>
        <w:t>10.3.15.3.1 Advisory Services to Government Entities Prior to and After Political Contributions</w:t>
      </w:r>
    </w:p>
    <w:p/>
    <w:p>
      <w:pPr>
        <w:rPr>
          <w:rFonts w:eastAsia="Arial" w:cs="Arial"/>
          <w:sz w:val="16"/>
          <w:szCs w:val="16"/>
        </w:rPr>
      </w:pPr>
      <w:r>
        <w:rPr>
          <w:rFonts w:eastAsia="Arial" w:cs="Arial"/>
          <w:sz w:val="16"/>
          <w:szCs w:val="16"/>
        </w:rPr>
        <w:t>[Investment Advisers Act of 1940 Rule 206(4)-5]</w:t>
      </w:r>
    </w:p>
    <w:p/>
    <w:p>
      <w:pPr>
        <w:numPr>
          <w:ilvl w:val="0"/>
          <w:numId w:val="650"/>
        </w:numPr>
        <w:ind w:left="720" w:hanging="192"/>
        <w:jc w:val="left"/>
        <w:rPr>
          <w:rFonts w:eastAsia="Arial" w:cs="Arial"/>
          <w:sz w:val="20"/>
          <w:szCs w:val="20"/>
        </w:rPr>
      </w:pPr>
      <w:r>
        <w:rPr>
          <w:rFonts w:eastAsia="Arial" w:cs="Arial"/>
          <w:sz w:val="20"/>
          <w:szCs w:val="20"/>
        </w:rPr>
        <w:t>Look-Back: KCD may not make any proposed Contribution and a Covered Association may not make a proposed Contribution other than a De Minimis Contribution made by an employee of KCD to an Official of a Government entity if KCD has provided advisory services for compensation to such Government entity within the last 2 years of the date of the proposed Contribution ("2-Year Cooling-Off Period").</w:t>
      </w:r>
    </w:p>
    <w:p>
      <w:pPr>
        <w:numPr>
          <w:ilvl w:val="0"/>
          <w:numId w:val="650"/>
        </w:numPr>
        <w:spacing w:after="200"/>
        <w:ind w:left="720" w:hanging="192"/>
        <w:jc w:val="left"/>
        <w:rPr>
          <w:rFonts w:eastAsia="Arial" w:cs="Arial"/>
          <w:sz w:val="20"/>
          <w:szCs w:val="20"/>
        </w:rPr>
      </w:pPr>
      <w:r>
        <w:rPr>
          <w:rFonts w:eastAsia="Arial" w:cs="Arial"/>
          <w:sz w:val="20"/>
          <w:szCs w:val="20"/>
        </w:rPr>
        <w:t>Look-Forward: After KCD has made a Contribution or a Covered Associate has made a Contribution other than a De Minimis Contribution made by an employee of KCD to an Official of a Government entity, KCD will not provide advisory services for compensation to such Government entity for a period of 2 years from the date of such Contribution ("2-Year Cooling-Off Period").</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has stated that the two-year time out is intended to discourage advisers from participating in pay-to-play practices through a 2-year "cooling-off period" during which the effects of a political contribution on the selection process can be expected to dissipate. With respect to de minimis contributions, the SEC believes that the relatively small amount of the contribution suggests that it is unlikely to be made for the purpose of influencing the award of an advisory contract.</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De Minimis Contribution exemption is available to employees only, but not KCD.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De Minimis Contribution pertains to each employee and is not aggregated for all employees for purposes of the dollar amount thresholds.</w:t>
            </w:r>
          </w:p>
        </w:tc>
      </w:tr>
    </w:tbl>
    <w:p/>
    <w:p>
      <w:pPr>
        <w:pStyle w:val="Heading5"/>
      </w:pPr>
      <w:r>
        <w:t>10.3.15.3.2 Pre-Clearance of Contributions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Even if a Contribution will not be prohibited by the 2-Year Cooling-Off Period set forth herein or is a De Minimis Contribution, no Covered Associate may make a Contribution to any Official unless:</w:t>
      </w:r>
    </w:p>
    <w:p>
      <w:pPr>
        <w:numPr>
          <w:ilvl w:val="0"/>
          <w:numId w:val="651"/>
        </w:numPr>
        <w:spacing w:before="200"/>
        <w:ind w:left="720" w:hanging="267"/>
        <w:jc w:val="left"/>
        <w:rPr>
          <w:rFonts w:eastAsia="Arial" w:cs="Arial"/>
          <w:sz w:val="20"/>
          <w:szCs w:val="20"/>
        </w:rPr>
      </w:pPr>
      <w:r>
        <w:rPr>
          <w:rFonts w:eastAsia="Arial" w:cs="Arial"/>
          <w:sz w:val="20"/>
          <w:szCs w:val="20"/>
        </w:rPr>
        <w:t>The Covered Associate submits to the Chief Compliance Officer a written request to make the proposed Contribution;</w:t>
      </w:r>
    </w:p>
    <w:p>
      <w:pPr>
        <w:numPr>
          <w:ilvl w:val="0"/>
          <w:numId w:val="651"/>
        </w:numPr>
        <w:ind w:left="720" w:hanging="267"/>
        <w:jc w:val="left"/>
        <w:rPr>
          <w:rFonts w:eastAsia="Arial" w:cs="Arial"/>
          <w:sz w:val="20"/>
          <w:szCs w:val="20"/>
        </w:rPr>
      </w:pPr>
      <w:r>
        <w:rPr>
          <w:rFonts w:eastAsia="Arial" w:cs="Arial"/>
          <w:sz w:val="20"/>
          <w:szCs w:val="20"/>
        </w:rPr>
        <w:t>The Chief Compliance Officer reviews the written request to verify that the proposed Contribution is a (i) De Minimis Contribution or a Contribution that is not subject to the 2-Year Cooling Off Period; and (ii) does not otherwise violate these procedures, including specified prohibited Contributions;</w:t>
      </w:r>
    </w:p>
    <w:p>
      <w:pPr>
        <w:numPr>
          <w:ilvl w:val="0"/>
          <w:numId w:val="651"/>
        </w:numPr>
        <w:ind w:left="720" w:hanging="267"/>
        <w:jc w:val="left"/>
        <w:rPr>
          <w:rFonts w:eastAsia="Arial" w:cs="Arial"/>
          <w:sz w:val="20"/>
          <w:szCs w:val="20"/>
        </w:rPr>
      </w:pPr>
      <w:r>
        <w:rPr>
          <w:rFonts w:eastAsia="Arial" w:cs="Arial"/>
          <w:sz w:val="20"/>
          <w:szCs w:val="20"/>
        </w:rPr>
        <w:t>The Covered Associate has received written pre-clearance from the Chief Compliance Officer that informs the Covered Associate that he or she may make the proposed Contribution; and</w:t>
      </w:r>
    </w:p>
    <w:p>
      <w:pPr>
        <w:numPr>
          <w:ilvl w:val="0"/>
          <w:numId w:val="651"/>
        </w:numPr>
        <w:spacing w:after="200"/>
        <w:ind w:left="720" w:hanging="267"/>
        <w:jc w:val="left"/>
        <w:rPr>
          <w:rFonts w:eastAsia="Arial" w:cs="Arial"/>
          <w:sz w:val="20"/>
          <w:szCs w:val="20"/>
        </w:rPr>
      </w:pPr>
      <w:r>
        <w:rPr>
          <w:rFonts w:eastAsia="Arial" w:cs="Arial"/>
          <w:sz w:val="20"/>
          <w:szCs w:val="20"/>
        </w:rPr>
        <w:t>The Covered Associate represents that he or she shall promptly submit a copy of the returned check or other documentation evidencing the Contribution.</w:t>
      </w:r>
    </w:p>
    <w:p/>
    <w:p>
      <w:pPr>
        <w:pStyle w:val="Heading5"/>
      </w:pPr>
      <w:r>
        <w:t>10.3.15.3.3 Prohibited Contributions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The Chief Compliance Officer may not preclear, and no Covered Associate may make, a Contribution:</w:t>
      </w:r>
    </w:p>
    <w:p>
      <w:pPr>
        <w:numPr>
          <w:ilvl w:val="0"/>
          <w:numId w:val="652"/>
        </w:numPr>
        <w:spacing w:before="200"/>
        <w:ind w:left="720" w:hanging="192"/>
        <w:jc w:val="left"/>
        <w:rPr>
          <w:rFonts w:eastAsia="Arial" w:cs="Arial"/>
          <w:sz w:val="20"/>
          <w:szCs w:val="20"/>
        </w:rPr>
      </w:pPr>
      <w:r>
        <w:rPr>
          <w:rFonts w:eastAsia="Arial" w:cs="Arial"/>
          <w:sz w:val="20"/>
          <w:szCs w:val="20"/>
        </w:rPr>
        <w:t xml:space="preserve">to an Official of a Government entity, including a candidate for such office who is or will be in a position to influence the award of advisory business and KCD has received compensation from such Government entity within the two years prior to the proposed date of the Contribution for providing it advisory services (as set forth herein); </w:t>
      </w:r>
    </w:p>
    <w:p>
      <w:pPr>
        <w:numPr>
          <w:ilvl w:val="0"/>
          <w:numId w:val="652"/>
        </w:numPr>
        <w:ind w:left="720" w:hanging="192"/>
        <w:jc w:val="left"/>
        <w:rPr>
          <w:rFonts w:eastAsia="Arial" w:cs="Arial"/>
          <w:sz w:val="20"/>
          <w:szCs w:val="20"/>
        </w:rPr>
      </w:pPr>
      <w:r>
        <w:rPr>
          <w:rFonts w:eastAsia="Arial" w:cs="Arial"/>
          <w:sz w:val="20"/>
          <w:szCs w:val="20"/>
        </w:rPr>
        <w:t>the purpose of which is to influence the awarding of an advisory contract or the decision to invest in a Covered Investment Pool managed by KCD and is likely to have the effect of influencing the award of an advisory contract or the decision to invest in a Covered Investment Pool by KCD; or</w:t>
      </w:r>
    </w:p>
    <w:p>
      <w:pPr>
        <w:numPr>
          <w:ilvl w:val="0"/>
          <w:numId w:val="652"/>
        </w:numPr>
        <w:spacing w:after="200"/>
        <w:ind w:left="720" w:hanging="192"/>
        <w:jc w:val="left"/>
        <w:rPr>
          <w:rFonts w:eastAsia="Arial" w:cs="Arial"/>
          <w:sz w:val="20"/>
          <w:szCs w:val="20"/>
        </w:rPr>
      </w:pPr>
      <w:r>
        <w:rPr>
          <w:rFonts w:eastAsia="Arial" w:cs="Arial"/>
          <w:sz w:val="20"/>
          <w:szCs w:val="20"/>
        </w:rPr>
        <w:t xml:space="preserve">which would result in serious adverse consequences to KCD. </w:t>
      </w:r>
    </w:p>
    <w:p/>
    <w:p>
      <w:pPr>
        <w:pStyle w:val="Heading5"/>
      </w:pPr>
      <w:r>
        <w:t>10.3.15.3.4 Returned Contributions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If a Covered Associate has made a Contribution in violation of these procedures, the Chief Compliance Officer will:</w:t>
      </w:r>
    </w:p>
    <w:p>
      <w:pPr>
        <w:numPr>
          <w:ilvl w:val="0"/>
          <w:numId w:val="653"/>
        </w:numPr>
        <w:spacing w:before="200"/>
        <w:ind w:left="720" w:hanging="192"/>
        <w:jc w:val="left"/>
        <w:rPr>
          <w:rFonts w:eastAsia="Arial" w:cs="Arial"/>
          <w:sz w:val="20"/>
          <w:szCs w:val="20"/>
        </w:rPr>
      </w:pPr>
      <w:r>
        <w:rPr>
          <w:rFonts w:eastAsia="Arial" w:cs="Arial"/>
          <w:sz w:val="20"/>
          <w:szCs w:val="20"/>
        </w:rPr>
        <w:t>Determine the date the Contribution was made; and</w:t>
      </w:r>
    </w:p>
    <w:p>
      <w:pPr>
        <w:numPr>
          <w:ilvl w:val="0"/>
          <w:numId w:val="653"/>
        </w:numPr>
        <w:spacing w:after="200"/>
        <w:ind w:left="720" w:hanging="192"/>
        <w:jc w:val="left"/>
        <w:rPr>
          <w:rFonts w:eastAsia="Arial" w:cs="Arial"/>
          <w:sz w:val="20"/>
          <w:szCs w:val="20"/>
        </w:rPr>
      </w:pPr>
      <w:r>
        <w:rPr>
          <w:rFonts w:eastAsia="Arial" w:cs="Arial"/>
          <w:sz w:val="20"/>
          <w:szCs w:val="20"/>
        </w:rPr>
        <w:t>Require the Covered Associate to take all available steps to have the Official, political action committee or political party return the Contribution to the Covered Associate if the Contribution was made (i) 60 days after KCD discovered the Contribution and (ii) 4 months after the Contribution was made.</w:t>
      </w:r>
    </w:p>
    <w:p>
      <w:pPr>
        <w:pStyle w:val="normal0"/>
        <w:spacing w:before="200" w:after="200"/>
        <w:rPr>
          <w:rFonts w:eastAsia="Arial" w:cs="Arial"/>
          <w:sz w:val="20"/>
          <w:szCs w:val="20"/>
        </w:rPr>
      </w:pPr>
      <w:r>
        <w:rPr>
          <w:rFonts w:eastAsia="Arial" w:cs="Arial"/>
          <w:sz w:val="20"/>
          <w:szCs w:val="20"/>
        </w:rPr>
        <w:t>The "Returned Contributions" exception is available:</w:t>
      </w:r>
    </w:p>
    <w:p>
      <w:pPr>
        <w:numPr>
          <w:ilvl w:val="0"/>
          <w:numId w:val="654"/>
        </w:numPr>
        <w:spacing w:before="200"/>
        <w:ind w:left="720" w:hanging="192"/>
        <w:jc w:val="left"/>
        <w:rPr>
          <w:rFonts w:eastAsia="Arial" w:cs="Arial"/>
          <w:sz w:val="20"/>
          <w:szCs w:val="20"/>
        </w:rPr>
      </w:pPr>
      <w:r>
        <w:rPr>
          <w:rFonts w:eastAsia="Arial" w:cs="Arial"/>
          <w:sz w:val="20"/>
          <w:szCs w:val="20"/>
        </w:rPr>
        <w:t>No more than 3 times during any 12-month period for KCD; and</w:t>
      </w:r>
    </w:p>
    <w:p>
      <w:pPr>
        <w:numPr>
          <w:ilvl w:val="0"/>
          <w:numId w:val="654"/>
        </w:numPr>
        <w:spacing w:after="200"/>
        <w:ind w:left="720" w:hanging="192"/>
        <w:jc w:val="left"/>
        <w:rPr>
          <w:rFonts w:eastAsia="Arial" w:cs="Arial"/>
          <w:sz w:val="20"/>
          <w:szCs w:val="20"/>
        </w:rPr>
      </w:pPr>
      <w:r>
        <w:rPr>
          <w:rFonts w:eastAsia="Arial" w:cs="Arial"/>
          <w:sz w:val="20"/>
          <w:szCs w:val="20"/>
        </w:rPr>
        <w:t>No more than once per Covered Associate.</w:t>
      </w:r>
    </w:p>
    <w:p/>
    <w:p>
      <w:pPr>
        <w:pStyle w:val="Heading5"/>
      </w:pPr>
      <w:r>
        <w:t>10.3.15.3.5 Coordinating and Soliciting Contributions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Neither KCD nor its Covered Associates may coordinate or Solicit Contributions to:</w:t>
      </w:r>
    </w:p>
    <w:p>
      <w:pPr>
        <w:numPr>
          <w:ilvl w:val="0"/>
          <w:numId w:val="655"/>
        </w:numPr>
        <w:spacing w:before="200"/>
        <w:ind w:left="720" w:hanging="192"/>
        <w:jc w:val="left"/>
        <w:rPr>
          <w:rFonts w:eastAsia="Arial" w:cs="Arial"/>
          <w:sz w:val="20"/>
          <w:szCs w:val="20"/>
        </w:rPr>
      </w:pPr>
      <w:r>
        <w:rPr>
          <w:rFonts w:eastAsia="Arial" w:cs="Arial"/>
          <w:sz w:val="20"/>
          <w:szCs w:val="20"/>
        </w:rPr>
        <w:t>an Official of a Government entity to which KCD is seeking to provide investment advisory services; or</w:t>
      </w:r>
    </w:p>
    <w:p>
      <w:pPr>
        <w:numPr>
          <w:ilvl w:val="0"/>
          <w:numId w:val="655"/>
        </w:numPr>
        <w:spacing w:after="200"/>
        <w:ind w:left="720" w:hanging="192"/>
        <w:jc w:val="left"/>
        <w:rPr>
          <w:rFonts w:eastAsia="Arial" w:cs="Arial"/>
          <w:sz w:val="20"/>
          <w:szCs w:val="20"/>
        </w:rPr>
      </w:pPr>
      <w:r>
        <w:rPr>
          <w:rFonts w:eastAsia="Arial" w:cs="Arial"/>
          <w:sz w:val="20"/>
          <w:szCs w:val="20"/>
        </w:rPr>
        <w:t>a political party of a state or locality where KCD is providing or seeking to provide investment advisory services to a Government entity.</w:t>
      </w:r>
    </w:p>
    <w:p>
      <w:pPr>
        <w:pStyle w:val="normal0"/>
        <w:spacing w:before="200" w:after="200"/>
        <w:rPr>
          <w:rFonts w:eastAsia="Arial" w:cs="Arial"/>
          <w:sz w:val="20"/>
          <w:szCs w:val="20"/>
        </w:rPr>
      </w:pPr>
      <w:r>
        <w:rPr>
          <w:rFonts w:eastAsia="Arial" w:cs="Arial"/>
          <w:sz w:val="20"/>
          <w:szCs w:val="20"/>
        </w:rPr>
        <w:t>No Covered Associate or KCD without the written consent of the Chief Compliance Officer may coordinate or solicit any person or political action committee to make a:</w:t>
      </w:r>
    </w:p>
    <w:p>
      <w:pPr>
        <w:numPr>
          <w:ilvl w:val="0"/>
          <w:numId w:val="656"/>
        </w:numPr>
        <w:spacing w:before="200"/>
        <w:ind w:left="720" w:hanging="192"/>
        <w:jc w:val="left"/>
        <w:rPr>
          <w:rFonts w:eastAsia="Arial" w:cs="Arial"/>
          <w:sz w:val="20"/>
          <w:szCs w:val="20"/>
        </w:rPr>
      </w:pPr>
      <w:r>
        <w:rPr>
          <w:rFonts w:eastAsia="Arial" w:cs="Arial"/>
          <w:sz w:val="20"/>
          <w:szCs w:val="20"/>
        </w:rPr>
        <w:t xml:space="preserve">Contribution to an Official; or </w:t>
      </w:r>
    </w:p>
    <w:p>
      <w:pPr>
        <w:numPr>
          <w:ilvl w:val="0"/>
          <w:numId w:val="656"/>
        </w:numPr>
        <w:spacing w:after="200"/>
        <w:ind w:left="720" w:hanging="192"/>
        <w:jc w:val="left"/>
        <w:rPr>
          <w:rFonts w:eastAsia="Arial" w:cs="Arial"/>
          <w:sz w:val="20"/>
          <w:szCs w:val="20"/>
        </w:rPr>
      </w:pPr>
      <w:r>
        <w:rPr>
          <w:rFonts w:eastAsia="Arial" w:cs="Arial"/>
          <w:sz w:val="20"/>
          <w:szCs w:val="20"/>
        </w:rPr>
        <w:t>payment to a political party of a state or locality.</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With regard to solicitations from a political action committee or a political party with no indication of how the collected funds will be disbursed, the SEC stated that investment advisers should inquire how any funds received from the adviser or its covered associates would be used. For example, if the political action committee or political party is soliciting funds for the purpose of supporting a limited number of government officials, then, depending upon the facts and circumstances, contributions to the political action committee or payments to the political party might well result in the same prohibition on compensation.</w:t>
            </w:r>
          </w:p>
        </w:tc>
      </w:tr>
    </w:tbl>
    <w:p/>
    <w:p>
      <w:pPr>
        <w:pStyle w:val="Heading5"/>
      </w:pPr>
      <w:r>
        <w:t>10.3.15.3.6 Campaign Activities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No Covered Associate or KCD without the written consent of the Chief Compliance Officer may:</w:t>
      </w:r>
    </w:p>
    <w:p>
      <w:pPr>
        <w:numPr>
          <w:ilvl w:val="0"/>
          <w:numId w:val="657"/>
        </w:numPr>
        <w:spacing w:before="200"/>
        <w:ind w:left="720" w:hanging="192"/>
        <w:jc w:val="left"/>
        <w:rPr>
          <w:rFonts w:eastAsia="Arial" w:cs="Arial"/>
          <w:sz w:val="20"/>
          <w:szCs w:val="20"/>
        </w:rPr>
      </w:pPr>
      <w:r>
        <w:rPr>
          <w:rFonts w:eastAsia="Arial" w:cs="Arial"/>
          <w:sz w:val="20"/>
          <w:szCs w:val="20"/>
        </w:rPr>
        <w:t>use the name of the firm in any fund-raising literature for an Official; or</w:t>
      </w:r>
    </w:p>
    <w:p>
      <w:pPr>
        <w:numPr>
          <w:ilvl w:val="0"/>
          <w:numId w:val="657"/>
        </w:numPr>
        <w:spacing w:after="200"/>
        <w:ind w:left="720" w:hanging="192"/>
        <w:jc w:val="left"/>
        <w:rPr>
          <w:rFonts w:eastAsia="Arial" w:cs="Arial"/>
          <w:sz w:val="20"/>
          <w:szCs w:val="20"/>
        </w:rPr>
      </w:pPr>
      <w:r>
        <w:rPr>
          <w:rFonts w:eastAsia="Arial" w:cs="Arial"/>
          <w:sz w:val="20"/>
          <w:szCs w:val="20"/>
        </w:rPr>
        <w:t>sponsor a meeting or conference that features an Official as an attendee or guest speaker and that involves fund-raising for such person.</w:t>
      </w:r>
    </w:p>
    <w:p/>
    <w:p>
      <w:pPr>
        <w:pStyle w:val="Heading5"/>
      </w:pPr>
      <w:r>
        <w:t>10.3.15.3.7 Political Action Committees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No Covered Associate or KCD without the written consent of the Chief Compliance Officer may make a Contribution to a political action committee or state or local political party. When deciding whether to approve a Contribution, the Chief Compliance Officer will take into account the following factors:</w:t>
      </w:r>
    </w:p>
    <w:p>
      <w:pPr>
        <w:numPr>
          <w:ilvl w:val="0"/>
          <w:numId w:val="658"/>
        </w:numPr>
        <w:spacing w:before="200"/>
        <w:ind w:left="720" w:hanging="192"/>
        <w:jc w:val="left"/>
        <w:rPr>
          <w:rFonts w:eastAsia="Arial" w:cs="Arial"/>
          <w:sz w:val="20"/>
          <w:szCs w:val="20"/>
        </w:rPr>
      </w:pPr>
      <w:r>
        <w:rPr>
          <w:rFonts w:eastAsia="Arial" w:cs="Arial"/>
          <w:sz w:val="20"/>
          <w:szCs w:val="20"/>
        </w:rPr>
        <w:t>how the Contribution will be used; and</w:t>
      </w:r>
    </w:p>
    <w:p>
      <w:pPr>
        <w:numPr>
          <w:ilvl w:val="0"/>
          <w:numId w:val="658"/>
        </w:numPr>
        <w:spacing w:after="200"/>
        <w:ind w:left="720" w:hanging="192"/>
        <w:jc w:val="left"/>
        <w:rPr>
          <w:rFonts w:eastAsia="Arial" w:cs="Arial"/>
          <w:sz w:val="20"/>
          <w:szCs w:val="20"/>
        </w:rPr>
      </w:pPr>
      <w:r>
        <w:rPr>
          <w:rFonts w:eastAsia="Arial" w:cs="Arial"/>
          <w:sz w:val="20"/>
          <w:szCs w:val="20"/>
        </w:rPr>
        <w:t>whether the political action committee or political party is closely associated with an official of a Government entity.</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According to the SEC, these restrictions in Rule 206(4)-5 are intended to prevent advisers from circumventing the rule's prohibition on direct contributions to certain elected officials such as by "bundling" a large number of small employee contributions to influence an election, or making contributions (or payments) indirectly through a state or local political party.</w:t>
            </w:r>
          </w:p>
        </w:tc>
      </w:tr>
    </w:tbl>
    <w:p/>
    <w:p>
      <w:pPr>
        <w:pStyle w:val="Heading5"/>
      </w:pPr>
      <w:r>
        <w:t>10.3.15.3.8 New Employees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 xml:space="preserve">Prior to a person becoming a new employee of KCD, KCD shall require the employee candidate to disclose all Contributions and payments made by such persons to Officials, political action committees and state and local political parties within the preceding 2 years (if the employee candidate will solicit clients) and 6 months (if the employee candidate will not solicit clients). </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When an employee becomes a Covered Associate, the SEC stated that the adviser must "look back" in time to that employee's Contributions to determine whether the time out applies to the adviser. If, for example, the Contribution was made more than two years (or for non-solicitors, six months) prior to the employee becoming a Covered Associate, the time out has run; if the Contribution was made less than two years (or six months) from the time the person becomes a covered associate, Rule 206(4)-5 prohibits the adviser that hires or promotes the contributing covered associate from receiving compensation for providing advisory services from the hiring or promotion date until the two-year period has run. The look-back provision is designed to prevent advisers from circumventing the rule by influencing the selection process by hiring persons who have made political contributions.</w:t>
            </w:r>
          </w:p>
        </w:tc>
      </w:tr>
    </w:tbl>
    <w:p>
      <w:bookmarkStart w:id="751" w:name="Sec_Chp_061016102255750_0610161022103153"/>
    </w:p>
    <w:p>
      <w:pPr>
        <w:pStyle w:val="Heading5"/>
      </w:pPr>
      <w:r>
        <w:t>10.3.15.3.9 Pay-to-Play Monitoring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the [Chief Compliance Officer] shall monitor political contributions of employees of KCD who are "covered associates" by, among other things, searching the following Internet data bases for contributions and matching those contributions to those reported by the employee:</w:t>
      </w:r>
    </w:p>
    <w:p>
      <w:pPr>
        <w:numPr>
          <w:ilvl w:val="0"/>
          <w:numId w:val="659"/>
        </w:numPr>
        <w:spacing w:before="200"/>
        <w:ind w:left="720" w:hanging="192"/>
        <w:jc w:val="left"/>
        <w:rPr>
          <w:rFonts w:eastAsia="Arial" w:cs="Arial"/>
          <w:sz w:val="20"/>
          <w:szCs w:val="20"/>
        </w:rPr>
      </w:pPr>
      <w:hyperlink r:id="rId20" w:tgtFrame="_blank" w:history="1">
        <w:r>
          <w:rPr>
            <w:rStyle w:val="Hyperlink"/>
            <w:rFonts w:eastAsia="Arial" w:cs="Arial"/>
            <w:color w:val="0000EE"/>
            <w:sz w:val="20"/>
            <w:szCs w:val="20"/>
            <w:u w:color="0000EE"/>
          </w:rPr>
          <w:t>http://www.opensecrets.org</w:t>
        </w:r>
      </w:hyperlink>
    </w:p>
    <w:p>
      <w:pPr>
        <w:numPr>
          <w:ilvl w:val="0"/>
          <w:numId w:val="659"/>
        </w:numPr>
        <w:ind w:left="720" w:hanging="192"/>
        <w:jc w:val="left"/>
        <w:rPr>
          <w:rFonts w:eastAsia="Arial" w:cs="Arial"/>
          <w:sz w:val="20"/>
          <w:szCs w:val="20"/>
        </w:rPr>
      </w:pPr>
      <w:hyperlink r:id="rId21" w:tgtFrame="_blank" w:history="1">
        <w:r>
          <w:rPr>
            <w:rStyle w:val="Hyperlink"/>
            <w:rFonts w:eastAsia="Arial" w:cs="Arial"/>
            <w:color w:val="0000EE"/>
            <w:sz w:val="20"/>
            <w:szCs w:val="20"/>
            <w:u w:color="0000EE"/>
          </w:rPr>
          <w:t>http://www.fec.gov/finance/disclosure/norindsea.shtml</w:t>
        </w:r>
      </w:hyperlink>
    </w:p>
    <w:p>
      <w:pPr>
        <w:numPr>
          <w:ilvl w:val="0"/>
          <w:numId w:val="659"/>
        </w:numPr>
        <w:spacing w:after="200"/>
        <w:ind w:left="720" w:hanging="192"/>
        <w:jc w:val="left"/>
        <w:rPr>
          <w:rFonts w:eastAsia="Arial" w:cs="Arial"/>
          <w:sz w:val="20"/>
          <w:szCs w:val="20"/>
        </w:rPr>
      </w:pPr>
      <w:r>
        <w:rPr>
          <w:rFonts w:eastAsia="Arial" w:cs="Arial"/>
          <w:sz w:val="20"/>
          <w:szCs w:val="20"/>
        </w:rPr>
        <w:t>relevant state and local political contribution data bases</w:t>
      </w:r>
    </w:p>
    <w:p>
      <w:pPr>
        <w:pStyle w:val="normal0"/>
        <w:spacing w:before="200" w:after="200"/>
        <w:rPr>
          <w:rFonts w:eastAsia="Arial" w:cs="Arial"/>
          <w:sz w:val="20"/>
          <w:szCs w:val="20"/>
        </w:rPr>
      </w:pPr>
      <w:r>
        <w:rPr>
          <w:rFonts w:eastAsia="Arial" w:cs="Arial"/>
          <w:sz w:val="20"/>
          <w:szCs w:val="20"/>
        </w:rPr>
        <w:t>KCD will consider using a third-party monitoring service that alerts KCD when employees make federal, state and local political contributions.</w:t>
      </w:r>
    </w:p>
    <w:p>
      <w:pPr>
        <w:pStyle w:val="normal0"/>
        <w:spacing w:before="200" w:after="200"/>
        <w:rPr>
          <w:rFonts w:eastAsia="Arial" w:cs="Arial"/>
          <w:sz w:val="20"/>
          <w:szCs w:val="20"/>
        </w:rPr>
      </w:pPr>
      <w:r>
        <w:rPr>
          <w:rFonts w:eastAsia="Arial" w:cs="Arial"/>
          <w:sz w:val="20"/>
          <w:szCs w:val="20"/>
        </w:rPr>
        <w:t>Each employee must execute a written certification annually that he or she has pre-cleared any and all political contributions with the Chief Compliance Officer.</w:t>
      </w:r>
    </w:p>
    <w:p>
      <w:pPr>
        <w:pStyle w:val="normal0"/>
        <w:spacing w:before="200" w:after="200"/>
        <w:rPr>
          <w:rFonts w:eastAsia="Arial" w:cs="Arial"/>
          <w:sz w:val="20"/>
          <w:szCs w:val="20"/>
        </w:rPr>
      </w:pPr>
      <w:r>
        <w:rPr>
          <w:rFonts w:eastAsia="Arial" w:cs="Arial"/>
          <w:sz w:val="20"/>
          <w:szCs w:val="20"/>
        </w:rPr>
        <w:t>Periodically, the Chief Compliance Officer shall:</w:t>
      </w:r>
    </w:p>
    <w:p>
      <w:pPr>
        <w:numPr>
          <w:ilvl w:val="0"/>
          <w:numId w:val="660"/>
        </w:numPr>
        <w:spacing w:before="200"/>
        <w:ind w:left="720" w:hanging="192"/>
        <w:jc w:val="left"/>
        <w:rPr>
          <w:rFonts w:eastAsia="Arial" w:cs="Arial"/>
          <w:sz w:val="20"/>
          <w:szCs w:val="20"/>
        </w:rPr>
      </w:pPr>
      <w:r>
        <w:rPr>
          <w:rFonts w:eastAsia="Arial" w:cs="Arial"/>
          <w:sz w:val="20"/>
          <w:szCs w:val="20"/>
        </w:rPr>
        <w:t>review the list of KCD's employees to verify which employees are "covered associates";</w:t>
      </w:r>
    </w:p>
    <w:p>
      <w:pPr>
        <w:numPr>
          <w:ilvl w:val="0"/>
          <w:numId w:val="660"/>
        </w:numPr>
        <w:ind w:left="720" w:hanging="192"/>
        <w:jc w:val="left"/>
        <w:rPr>
          <w:rFonts w:eastAsia="Arial" w:cs="Arial"/>
          <w:sz w:val="20"/>
          <w:szCs w:val="20"/>
        </w:rPr>
      </w:pPr>
      <w:r>
        <w:rPr>
          <w:rFonts w:eastAsia="Arial" w:cs="Arial"/>
          <w:sz w:val="20"/>
          <w:szCs w:val="20"/>
        </w:rPr>
        <w:t>make sure each covered associate has received sufficient training about the pay-to-play rules including how they are applicable to such person; and</w:t>
      </w:r>
    </w:p>
    <w:p>
      <w:pPr>
        <w:numPr>
          <w:ilvl w:val="0"/>
          <w:numId w:val="660"/>
        </w:numPr>
        <w:spacing w:after="200"/>
        <w:ind w:left="720" w:hanging="192"/>
        <w:jc w:val="left"/>
        <w:rPr>
          <w:rFonts w:eastAsia="Arial" w:cs="Arial"/>
          <w:sz w:val="20"/>
          <w:szCs w:val="20"/>
        </w:rPr>
      </w:pPr>
      <w:r>
        <w:rPr>
          <w:rFonts w:eastAsia="Arial" w:cs="Arial"/>
          <w:sz w:val="20"/>
          <w:szCs w:val="20"/>
        </w:rPr>
        <w:t>ensure that all donations made by applicable employees were properly made within required limits.</w:t>
      </w:r>
    </w:p>
    <w:p>
      <w:bookmarkEnd w:id="751"/>
    </w:p>
    <w:p>
      <w:pPr>
        <w:pStyle w:val="Heading4"/>
      </w:pPr>
      <w:r>
        <w:t>10.3.15.4 Pay-to-Play Solicitation Arrangements</w:t>
      </w:r>
    </w:p>
    <w:p/>
    <w:p>
      <w:pPr>
        <w:rPr>
          <w:rFonts w:eastAsia="Arial" w:cs="Arial"/>
          <w:sz w:val="16"/>
          <w:szCs w:val="16"/>
        </w:rPr>
      </w:pPr>
      <w:r>
        <w:rPr>
          <w:rFonts w:eastAsia="Arial" w:cs="Arial"/>
          <w:sz w:val="16"/>
          <w:szCs w:val="16"/>
        </w:rPr>
        <w:t>[Investment Advisers Act of 1940 Rule 206(4)-5]</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Rule 206(4)-5 prohibits investment advisers from receiving compensation for managing government assets for two years following political contributions to officials who can influence the hiring of that adviser. It bans soliciting or hiring third parties (placement agents) who are not regulated registered persons and imposes time-out periods.</w:t>
            </w:r>
          </w:p>
        </w:tc>
      </w:tr>
    </w:tbl>
    <w:p>
      <w:pPr>
        <w:pStyle w:val="normal0"/>
        <w:spacing w:before="200" w:after="200"/>
        <w:rPr>
          <w:rFonts w:eastAsia="Arial" w:cs="Arial"/>
          <w:sz w:val="20"/>
          <w:szCs w:val="20"/>
        </w:rPr>
      </w:pPr>
      <w:r>
        <w:rPr>
          <w:rFonts w:eastAsia="Arial" w:cs="Arial"/>
          <w:sz w:val="20"/>
          <w:szCs w:val="20"/>
        </w:rPr>
        <w:br/>
      </w:r>
      <w:r>
        <w:rPr>
          <w:rFonts w:eastAsia="Arial" w:cs="Arial"/>
          <w:sz w:val="20"/>
          <w:szCs w:val="20"/>
        </w:rPr>
        <w:t>The following procedures govern KCD's pay-to-play solicitation arrangements.</w:t>
      </w:r>
    </w:p>
    <w:p/>
    <w:p>
      <w:pPr>
        <w:pStyle w:val="Heading5"/>
      </w:pPr>
      <w:r>
        <w:t>10.3.15.4.1 Non-Regulated Persons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 xml:space="preserve">KCD may not provide or agree to provide, directly or indirectly, payment to any person for solicitation of Government entity advisory business on behalf of KCD unless that person is a Regulated Person. </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An investment adviser is prohibited from providing or agreeing to provide, directly or indirectly, payment to any person for solicitation of government advisory business on behalf of such adviser unless that person is registered with the SEC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a registered broker-dealer or investment adviser) and subject to pay-to-play restrictions either under the SEC's rule or the rules of a registered national securities association (</w:t>
            </w:r>
            <w:r>
              <w:rPr>
                <w:rFonts w:eastAsia="Arial" w:cs="Arial"/>
                <w:b w:val="0"/>
                <w:bCs w:val="0"/>
                <w:i/>
                <w:iCs/>
                <w:smallCaps w:val="0"/>
                <w:color w:val="000000"/>
                <w:sz w:val="20"/>
              </w:rPr>
              <w:t>e.g.,</w:t>
            </w:r>
            <w:r>
              <w:rPr>
                <w:rFonts w:eastAsia="Arial" w:cs="Arial"/>
                <w:b w:val="0"/>
                <w:bCs w:val="0"/>
                <w:i w:val="0"/>
                <w:iCs w:val="0"/>
                <w:smallCaps w:val="0"/>
                <w:color w:val="000000"/>
                <w:sz w:val="20"/>
              </w:rPr>
              <w:t xml:space="preserve"> FINRA).</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Rule 206(4)-5 permits payments to a third party that is a "regulated person," which is defined, in part, to include a registered broker or dealer that is itself subject to pay to play rules adopted by a registered national securities association. On August 18, 2016, the SEC approved a set of FINRA rules that apply only to firms that meet the definition of "capital acquisition broker" (CAB) and that elect to be governed under this rule set (collectively, the "CAB rules"). CABs are registered broker-dealers that engage in a limited range of activities, including distribution and solicitation activities with government entities on behalf of investment advisers. The CAB rules subject CABs to certain FINRA rules, but do not expressly provide that the FINRA pay to play rules apply to CABs. But, until the effective date of any rules subjecting CABs to the FINRA pay to play rules, CABs will not be included within the definition of "regulated person," and thus an investment adviser and its covered associates will be prohibited from providing payments to any person that is a CAB to solicit a government entity for investment advisory services. </w:t>
            </w:r>
            <w:r>
              <w:rPr>
                <w:rFonts w:eastAsia="Arial" w:cs="Arial"/>
                <w:b w:val="0"/>
                <w:bCs w:val="0"/>
                <w:i w:val="0"/>
                <w:iCs w:val="0"/>
                <w:smallCaps w:val="0"/>
                <w:color w:val="000000"/>
                <w:sz w:val="20"/>
              </w:rPr>
              <w:br/>
            </w:r>
          </w:p>
        </w:tc>
      </w:tr>
    </w:tbl>
    <w:p/>
    <w:p>
      <w:pPr>
        <w:pStyle w:val="Heading5"/>
      </w:pPr>
      <w:r>
        <w:t>10.3.15.4.2 Solicitation Arrangement Review</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Prior to KCD or any Covered Associate entering into a solicitation agreement or arrangement related to Government entity advisory business with a third-party, the following steps shall be taken:</w:t>
      </w:r>
    </w:p>
    <w:p>
      <w:pPr>
        <w:numPr>
          <w:ilvl w:val="0"/>
          <w:numId w:val="661"/>
        </w:numPr>
        <w:spacing w:before="200"/>
        <w:ind w:left="720" w:hanging="267"/>
        <w:jc w:val="left"/>
        <w:rPr>
          <w:rFonts w:eastAsia="Arial" w:cs="Arial"/>
          <w:sz w:val="20"/>
          <w:szCs w:val="20"/>
        </w:rPr>
      </w:pPr>
      <w:r>
        <w:rPr>
          <w:rFonts w:eastAsia="Arial" w:cs="Arial"/>
          <w:sz w:val="20"/>
          <w:szCs w:val="20"/>
        </w:rPr>
        <w:t>KCD shall draft a document describing the arrangement, including which Covered Associates and third-parties will participate in the arrangement, and the agreement that will govern such arrangement;</w:t>
      </w:r>
    </w:p>
    <w:p>
      <w:pPr>
        <w:numPr>
          <w:ilvl w:val="0"/>
          <w:numId w:val="661"/>
        </w:numPr>
        <w:ind w:left="720" w:hanging="267"/>
        <w:jc w:val="left"/>
        <w:rPr>
          <w:rFonts w:eastAsia="Arial" w:cs="Arial"/>
          <w:sz w:val="20"/>
          <w:szCs w:val="20"/>
        </w:rPr>
      </w:pPr>
      <w:r>
        <w:rPr>
          <w:rFonts w:eastAsia="Arial" w:cs="Arial"/>
          <w:sz w:val="20"/>
          <w:szCs w:val="20"/>
        </w:rPr>
        <w:t>The written description, agreement, information about the third-party and any other relevant documents shall be submitted to the Chief Compliance Officer and the relevant Covered Associates shall request his or her approval;</w:t>
      </w:r>
    </w:p>
    <w:p>
      <w:pPr>
        <w:numPr>
          <w:ilvl w:val="0"/>
          <w:numId w:val="661"/>
        </w:numPr>
        <w:ind w:left="720" w:hanging="267"/>
        <w:jc w:val="left"/>
        <w:rPr>
          <w:rFonts w:eastAsia="Arial" w:cs="Arial"/>
          <w:sz w:val="20"/>
          <w:szCs w:val="20"/>
        </w:rPr>
      </w:pPr>
      <w:r>
        <w:rPr>
          <w:rFonts w:eastAsia="Arial" w:cs="Arial"/>
          <w:sz w:val="20"/>
          <w:szCs w:val="20"/>
        </w:rPr>
        <w:t>The Chief Compliance Officer shall check the background of the third-party and participating personnel, including whether they have any criminal history or committed other violations;</w:t>
      </w:r>
    </w:p>
    <w:p>
      <w:pPr>
        <w:numPr>
          <w:ilvl w:val="0"/>
          <w:numId w:val="661"/>
        </w:numPr>
        <w:ind w:left="720" w:hanging="267"/>
        <w:jc w:val="left"/>
        <w:rPr>
          <w:rFonts w:eastAsia="Arial" w:cs="Arial"/>
          <w:sz w:val="20"/>
          <w:szCs w:val="20"/>
        </w:rPr>
      </w:pPr>
      <w:r>
        <w:rPr>
          <w:rFonts w:eastAsia="Arial" w:cs="Arial"/>
          <w:sz w:val="20"/>
          <w:szCs w:val="20"/>
        </w:rPr>
        <w:t>The Chief Compliance Officer shall request from the third-party, as a condition to KCD engaging such third-party, a written representation regarding whether it is a Regulated Person;</w:t>
      </w:r>
    </w:p>
    <w:p>
      <w:pPr>
        <w:numPr>
          <w:ilvl w:val="0"/>
          <w:numId w:val="661"/>
        </w:numPr>
        <w:ind w:left="720" w:hanging="267"/>
        <w:jc w:val="left"/>
        <w:rPr>
          <w:rFonts w:eastAsia="Arial" w:cs="Arial"/>
          <w:sz w:val="20"/>
          <w:szCs w:val="20"/>
        </w:rPr>
      </w:pPr>
      <w:r>
        <w:rPr>
          <w:rFonts w:eastAsia="Arial" w:cs="Arial"/>
          <w:sz w:val="20"/>
          <w:szCs w:val="20"/>
        </w:rPr>
        <w:t>The Chief Compliance Office shall conduct his or her own review to make sure that the third-party has not made political contributions or otherwise engaged in conduct that would disqualify it from the definition of Regulated Person; and</w:t>
      </w:r>
    </w:p>
    <w:p>
      <w:pPr>
        <w:numPr>
          <w:ilvl w:val="0"/>
          <w:numId w:val="661"/>
        </w:numPr>
        <w:spacing w:after="200"/>
        <w:ind w:left="720" w:hanging="267"/>
        <w:jc w:val="left"/>
        <w:rPr>
          <w:rFonts w:eastAsia="Arial" w:cs="Arial"/>
          <w:sz w:val="20"/>
          <w:szCs w:val="20"/>
        </w:rPr>
      </w:pPr>
      <w:r>
        <w:rPr>
          <w:rFonts w:eastAsia="Arial" w:cs="Arial"/>
          <w:sz w:val="20"/>
          <w:szCs w:val="20"/>
        </w:rPr>
        <w:t>The Chief Compliance Officer shall approve the third-party solicitation agreement and/or arrangement if it complies with the procedures set forth herein.</w:t>
      </w:r>
    </w:p>
    <w:p>
      <w:bookmarkStart w:id="752" w:name="Sec_Chp_061016102255750_0610161022103154"/>
    </w:p>
    <w:p>
      <w:pPr>
        <w:pStyle w:val="Heading5"/>
      </w:pPr>
      <w:r>
        <w:t>10.3.15.4.3 Ongoing Regulated Person Status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After KCD has entered into a solicitation agreement and arrangement with a third-party solicitor, the Chief Compliance Officer shall periodically confirm the status of such solicitor as a Regulated Person by:</w:t>
      </w:r>
    </w:p>
    <w:p>
      <w:pPr>
        <w:numPr>
          <w:ilvl w:val="0"/>
          <w:numId w:val="662"/>
        </w:numPr>
        <w:spacing w:before="200"/>
        <w:ind w:left="720" w:hanging="192"/>
        <w:jc w:val="left"/>
        <w:rPr>
          <w:rFonts w:eastAsia="Arial" w:cs="Arial"/>
          <w:sz w:val="20"/>
          <w:szCs w:val="20"/>
        </w:rPr>
      </w:pPr>
      <w:r>
        <w:rPr>
          <w:rFonts w:eastAsia="Arial" w:cs="Arial"/>
          <w:sz w:val="20"/>
          <w:szCs w:val="20"/>
        </w:rPr>
        <w:t>Obtaining a representation from the third-party solicitor as to its Regulated Person status; or</w:t>
      </w:r>
    </w:p>
    <w:p>
      <w:pPr>
        <w:numPr>
          <w:ilvl w:val="0"/>
          <w:numId w:val="662"/>
        </w:numPr>
        <w:spacing w:after="200"/>
        <w:ind w:left="720" w:hanging="192"/>
        <w:jc w:val="left"/>
        <w:rPr>
          <w:rFonts w:eastAsia="Arial" w:cs="Arial"/>
          <w:sz w:val="20"/>
          <w:szCs w:val="20"/>
        </w:rPr>
      </w:pPr>
      <w:r>
        <w:rPr>
          <w:rFonts w:eastAsia="Arial" w:cs="Arial"/>
          <w:sz w:val="20"/>
          <w:szCs w:val="20"/>
        </w:rPr>
        <w:t>Obtaining other evidence supporting the conclusion that the third-party solicitor is a Regulated Person.</w:t>
      </w:r>
    </w:p>
    <w:p>
      <w:bookmarkEnd w:id="752"/>
    </w:p>
    <w:p>
      <w:pPr>
        <w:pStyle w:val="Heading4"/>
      </w:pPr>
      <w:r>
        <w:t>10.3.15.5 Pay-to-Play Sub-Adviser Arrangements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The following procedures govern KCD's pay-to-play solicitation arrangements involving third-parties where KCD either hires a sub-adviser or acts as a sub-adviser.</w:t>
      </w:r>
    </w:p>
    <w:p/>
    <w:p>
      <w:pPr>
        <w:pStyle w:val="Heading5"/>
      </w:pPr>
      <w:r>
        <w:t>10.3.15.5.1 Firm Acts as Sub-Adviser to Manage Government Entity Assets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Prior to KCD entering into an agreement or arrangement with a third-party adviser where KCD will serve as a sub-adviser to an account or Covered Investment Pool consisting of Government entity assets managed by the third-party adviser, the Chief Compliance Officer shall:</w:t>
      </w:r>
    </w:p>
    <w:p>
      <w:pPr>
        <w:numPr>
          <w:ilvl w:val="0"/>
          <w:numId w:val="663"/>
        </w:numPr>
        <w:spacing w:before="200"/>
        <w:ind w:left="720" w:hanging="192"/>
        <w:jc w:val="left"/>
        <w:rPr>
          <w:rFonts w:eastAsia="Arial" w:cs="Arial"/>
          <w:sz w:val="20"/>
          <w:szCs w:val="20"/>
        </w:rPr>
      </w:pPr>
      <w:r>
        <w:rPr>
          <w:rFonts w:eastAsia="Arial" w:cs="Arial"/>
          <w:sz w:val="20"/>
          <w:szCs w:val="20"/>
        </w:rPr>
        <w:t>Disclose in writing to the third-party adviser whether KCD or any of its Covered Associates have made a contribution or payment that would result in a serious adverse consequence to the third-party adviser under Rule 206(4)-5; and</w:t>
      </w:r>
    </w:p>
    <w:p>
      <w:pPr>
        <w:numPr>
          <w:ilvl w:val="0"/>
          <w:numId w:val="663"/>
        </w:numPr>
        <w:spacing w:after="200"/>
        <w:ind w:left="720" w:hanging="192"/>
        <w:jc w:val="left"/>
        <w:rPr>
          <w:rFonts w:eastAsia="Arial" w:cs="Arial"/>
          <w:sz w:val="20"/>
          <w:szCs w:val="20"/>
        </w:rPr>
      </w:pPr>
      <w:r>
        <w:rPr>
          <w:rFonts w:eastAsia="Arial" w:cs="Arial"/>
          <w:sz w:val="20"/>
          <w:szCs w:val="20"/>
        </w:rPr>
        <w:t>Verify on an ongoing basis that neither KCD nor any of its Covered Associates has made a Contribution or payment that would result in a serious adverse consequence to the third-party adviser under Rule 206(4)-5 .</w:t>
      </w:r>
    </w:p>
    <w:p>
      <w:bookmarkStart w:id="753" w:name="Sec_Chp_061016102255750_0610161022103155"/>
    </w:p>
    <w:p>
      <w:pPr>
        <w:pStyle w:val="Heading5"/>
      </w:pPr>
      <w:r>
        <w:t>10.3.15.5.2 Firm Hires Sub-Adviser to Manage Government Entity Assets</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Prior to KCD entering into an agreement or arrangement with a third-party that will serve as a sub-adviser to an account or Covered Investment Pool consisting of Government entity assets managed by KCD, the Chief Compliance Officer shall require the third-party sub-adviser to:</w:t>
      </w:r>
    </w:p>
    <w:p>
      <w:pPr>
        <w:numPr>
          <w:ilvl w:val="0"/>
          <w:numId w:val="664"/>
        </w:numPr>
        <w:spacing w:before="200"/>
        <w:ind w:left="720" w:hanging="192"/>
        <w:jc w:val="left"/>
        <w:rPr>
          <w:rFonts w:eastAsia="Arial" w:cs="Arial"/>
          <w:sz w:val="20"/>
          <w:szCs w:val="20"/>
        </w:rPr>
      </w:pPr>
      <w:r>
        <w:rPr>
          <w:rFonts w:eastAsia="Arial" w:cs="Arial"/>
          <w:sz w:val="20"/>
          <w:szCs w:val="20"/>
        </w:rPr>
        <w:t>Disclose in writing to KCD whether the third-party sub-adviser or any of its Covered Associates have made a Contribution or payment that would result in a serious adverse consequence to KCD under Rule 206(4)-5; and</w:t>
      </w:r>
    </w:p>
    <w:p>
      <w:pPr>
        <w:numPr>
          <w:ilvl w:val="0"/>
          <w:numId w:val="664"/>
        </w:numPr>
        <w:spacing w:after="200"/>
        <w:ind w:left="720" w:hanging="192"/>
        <w:jc w:val="left"/>
        <w:rPr>
          <w:rFonts w:eastAsia="Arial" w:cs="Arial"/>
          <w:sz w:val="20"/>
          <w:szCs w:val="20"/>
        </w:rPr>
      </w:pPr>
      <w:r>
        <w:rPr>
          <w:rFonts w:eastAsia="Arial" w:cs="Arial"/>
          <w:sz w:val="20"/>
          <w:szCs w:val="20"/>
        </w:rPr>
        <w:t>Verify on an ongoing basis that neither the third-party sub-adviser nor any of its Covered Associates has made a Contribution or payment that would result in a serious adverse consequence to KCD under Rule 206(4)-5.</w:t>
      </w:r>
    </w:p>
    <w:p>
      <w:bookmarkEnd w:id="753"/>
      <w:bookmarkStart w:id="754" w:name="Sec_Chp_061016102255750_06101103166"/>
    </w:p>
    <w:p>
      <w:pPr>
        <w:pStyle w:val="Heading4"/>
      </w:pPr>
      <w:r>
        <w:t>10.3.15.6 Pay-to-Play SEC Guidance</w:t>
      </w:r>
    </w:p>
    <w:p/>
    <w:p>
      <w:pPr>
        <w:rPr>
          <w:rFonts w:eastAsia="Arial" w:cs="Arial"/>
          <w:sz w:val="16"/>
          <w:szCs w:val="16"/>
        </w:rPr>
      </w:pPr>
      <w:r>
        <w:rPr>
          <w:rFonts w:eastAsia="Arial" w:cs="Arial"/>
          <w:sz w:val="16"/>
          <w:szCs w:val="16"/>
        </w:rPr>
        <w:t>[Investment Advisers Act of 1940 Rule 206(4)-5]</w:t>
      </w:r>
    </w:p>
    <w:p/>
    <w:p>
      <w:pPr>
        <w:pStyle w:val="normal0"/>
        <w:spacing w:after="200"/>
        <w:rPr>
          <w:rFonts w:eastAsia="Arial" w:cs="Arial"/>
          <w:sz w:val="20"/>
          <w:szCs w:val="20"/>
        </w:rPr>
      </w:pPr>
      <w:r>
        <w:rPr>
          <w:rFonts w:eastAsia="Arial" w:cs="Arial"/>
          <w:sz w:val="20"/>
          <w:szCs w:val="20"/>
        </w:rPr>
        <w:t xml:space="preserve">When a compliance officer of KCD has questions regarding particular aspects about the SEC's pay-to-play rules, he or she will refer to the Staff Responses to Questions About Pay to Play Rules. Compliance personnel will also monitor updates made by the SEC to the Staff Responses to Questions About Pay to Play Rules. The SEC guidance is found on the SEC's web site at: </w:t>
      </w:r>
      <w:hyperlink r:id="rId22" w:tgtFrame="_blank" w:history="1">
        <w:r>
          <w:rPr>
            <w:rStyle w:val="Hyperlink"/>
            <w:rFonts w:eastAsia="Arial" w:cs="Arial"/>
            <w:color w:val="0000EE"/>
            <w:sz w:val="20"/>
            <w:szCs w:val="20"/>
            <w:u w:color="0000EE"/>
          </w:rPr>
          <w:t>http://www.sec.gov/divisions/investment/pay-to-play-faq.htm</w:t>
        </w:r>
      </w:hyperlink>
      <w:r>
        <w:rPr>
          <w:rFonts w:eastAsia="Arial" w:cs="Arial"/>
          <w:sz w:val="20"/>
          <w:szCs w:val="20"/>
        </w:rPr>
        <w:t>.</w:t>
      </w:r>
    </w:p>
    <w:p>
      <w:bookmarkEnd w:id="754"/>
      <w:bookmarkStart w:id="755" w:name="Sec_Chp_061016102255750_06101610316"/>
    </w:p>
    <w:p>
      <w:pPr>
        <w:pStyle w:val="Heading3"/>
      </w:pPr>
      <w:bookmarkStart w:id="756" w:name="_Toc256000198"/>
      <w:r>
        <w:t>10.3.16 Social Media Procedures</w:t>
      </w:r>
      <w:bookmarkEnd w:id="756"/>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recognizes the importance of the social media in shaping public thinking about KCD and KCD's current and potential advisory services, employees, partners and clients. KCD also recognizes the importance of its employees joining in and helping shape industry conversation and direction through blogging and interaction in social media. So, KCD is committed to supporting employees' rights to interact knowledgeably and socially in the blogosphere and on the Internet through blogging and interaction in social media.</w:t>
      </w:r>
    </w:p>
    <w:p>
      <w:pPr>
        <w:pStyle w:val="normal0"/>
        <w:spacing w:before="200" w:after="200"/>
        <w:rPr>
          <w:rFonts w:eastAsia="Arial" w:cs="Arial"/>
          <w:sz w:val="20"/>
          <w:szCs w:val="20"/>
        </w:rPr>
      </w:pPr>
      <w:r>
        <w:rPr>
          <w:rFonts w:eastAsia="Arial" w:cs="Arial"/>
          <w:sz w:val="20"/>
          <w:szCs w:val="20"/>
        </w:rPr>
        <w:t>These procedures are designed to help employees make appropriate decisions about work-related blogging and the contents of blogs, personal Web sites, postings on wikis and other interactive sites, postings on video or picture sharing sites, or in the comments that you make online on blogs, elsewhere on the public Internet, and in responding to comments from posters either publicly or via e-mail. These procedures also protect the privacy, confidentiality and interests of KCD and its current and potential advisory services, employees, partners, clients and competitors.</w:t>
      </w:r>
    </w:p>
    <w:p>
      <w:pPr>
        <w:pStyle w:val="normal0"/>
        <w:spacing w:before="200" w:after="200"/>
        <w:rPr>
          <w:rFonts w:eastAsia="Arial" w:cs="Arial"/>
          <w:sz w:val="20"/>
          <w:szCs w:val="20"/>
        </w:rPr>
      </w:pPr>
      <w:r>
        <w:rPr>
          <w:rFonts w:eastAsia="Arial" w:cs="Arial"/>
          <w:sz w:val="20"/>
          <w:szCs w:val="20"/>
        </w:rPr>
        <w:t>Note that these policies and guidelines apply only to work-related communications and sites and issues and are not meant to infringe upon an employee's personal interaction or commentary online that do not involve KCD or firm business.</w:t>
      </w:r>
    </w:p>
    <w:p>
      <w:bookmarkEnd w:id="755"/>
      <w:bookmarkStart w:id="757" w:name="Sec_Chp_061016102255750_061016103161"/>
    </w:p>
    <w:p>
      <w:pPr>
        <w:pStyle w:val="Heading4"/>
      </w:pPr>
      <w:r>
        <w:t>10.3.16.1 Social Media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"Social media" includes:</w:t>
      </w:r>
    </w:p>
    <w:p>
      <w:pPr>
        <w:numPr>
          <w:ilvl w:val="0"/>
          <w:numId w:val="665"/>
        </w:numPr>
        <w:spacing w:before="200"/>
        <w:ind w:left="720" w:hanging="192"/>
        <w:jc w:val="left"/>
        <w:rPr>
          <w:rFonts w:eastAsia="Arial" w:cs="Arial"/>
          <w:sz w:val="20"/>
          <w:szCs w:val="20"/>
        </w:rPr>
      </w:pPr>
      <w:r>
        <w:rPr>
          <w:rFonts w:eastAsia="Arial" w:cs="Arial"/>
          <w:sz w:val="20"/>
          <w:szCs w:val="20"/>
        </w:rPr>
        <w:t>Facebook</w:t>
      </w:r>
    </w:p>
    <w:p>
      <w:pPr>
        <w:numPr>
          <w:ilvl w:val="0"/>
          <w:numId w:val="665"/>
        </w:numPr>
        <w:ind w:left="720" w:hanging="192"/>
        <w:jc w:val="left"/>
        <w:rPr>
          <w:rFonts w:eastAsia="Arial" w:cs="Arial"/>
          <w:sz w:val="20"/>
          <w:szCs w:val="20"/>
        </w:rPr>
      </w:pPr>
      <w:r>
        <w:rPr>
          <w:rFonts w:eastAsia="Arial" w:cs="Arial"/>
          <w:sz w:val="20"/>
          <w:szCs w:val="20"/>
        </w:rPr>
        <w:t>Twitter</w:t>
      </w:r>
    </w:p>
    <w:p>
      <w:pPr>
        <w:numPr>
          <w:ilvl w:val="0"/>
          <w:numId w:val="665"/>
        </w:numPr>
        <w:ind w:left="720" w:hanging="192"/>
        <w:jc w:val="left"/>
        <w:rPr>
          <w:rFonts w:eastAsia="Arial" w:cs="Arial"/>
          <w:sz w:val="20"/>
          <w:szCs w:val="20"/>
        </w:rPr>
      </w:pPr>
      <w:r>
        <w:rPr>
          <w:rFonts w:eastAsia="Arial" w:cs="Arial"/>
          <w:sz w:val="20"/>
          <w:szCs w:val="20"/>
        </w:rPr>
        <w:t>LinkedIn</w:t>
      </w:r>
    </w:p>
    <w:p>
      <w:pPr>
        <w:numPr>
          <w:ilvl w:val="0"/>
          <w:numId w:val="665"/>
        </w:numPr>
        <w:ind w:left="720" w:hanging="192"/>
        <w:jc w:val="left"/>
        <w:rPr>
          <w:rFonts w:eastAsia="Arial" w:cs="Arial"/>
          <w:sz w:val="20"/>
          <w:szCs w:val="20"/>
        </w:rPr>
      </w:pPr>
      <w:r>
        <w:rPr>
          <w:rFonts w:eastAsia="Arial" w:cs="Arial"/>
          <w:sz w:val="20"/>
          <w:szCs w:val="20"/>
        </w:rPr>
        <w:t>Blogs and micro-blogs</w:t>
      </w:r>
    </w:p>
    <w:p>
      <w:pPr>
        <w:numPr>
          <w:ilvl w:val="0"/>
          <w:numId w:val="665"/>
        </w:numPr>
        <w:ind w:left="720" w:hanging="192"/>
        <w:jc w:val="left"/>
        <w:rPr>
          <w:rFonts w:eastAsia="Arial" w:cs="Arial"/>
          <w:sz w:val="20"/>
          <w:szCs w:val="20"/>
        </w:rPr>
      </w:pPr>
      <w:r>
        <w:rPr>
          <w:rFonts w:eastAsia="Arial" w:cs="Arial"/>
          <w:sz w:val="20"/>
          <w:szCs w:val="20"/>
        </w:rPr>
        <w:t>YouTube</w:t>
      </w:r>
    </w:p>
    <w:p>
      <w:pPr>
        <w:numPr>
          <w:ilvl w:val="0"/>
          <w:numId w:val="665"/>
        </w:numPr>
        <w:ind w:left="720" w:hanging="192"/>
        <w:jc w:val="left"/>
        <w:rPr>
          <w:rFonts w:eastAsia="Arial" w:cs="Arial"/>
          <w:sz w:val="20"/>
          <w:szCs w:val="20"/>
        </w:rPr>
      </w:pPr>
      <w:r>
        <w:rPr>
          <w:rFonts w:eastAsia="Arial" w:cs="Arial"/>
          <w:sz w:val="20"/>
          <w:szCs w:val="20"/>
        </w:rPr>
        <w:t>Flickr</w:t>
      </w:r>
    </w:p>
    <w:p>
      <w:pPr>
        <w:numPr>
          <w:ilvl w:val="0"/>
          <w:numId w:val="665"/>
        </w:numPr>
        <w:ind w:left="720" w:hanging="192"/>
        <w:jc w:val="left"/>
        <w:rPr>
          <w:rFonts w:eastAsia="Arial" w:cs="Arial"/>
          <w:sz w:val="20"/>
          <w:szCs w:val="20"/>
        </w:rPr>
      </w:pPr>
      <w:r>
        <w:rPr>
          <w:rFonts w:eastAsia="Arial" w:cs="Arial"/>
          <w:sz w:val="20"/>
          <w:szCs w:val="20"/>
        </w:rPr>
        <w:t>MySpace</w:t>
      </w:r>
    </w:p>
    <w:p>
      <w:pPr>
        <w:numPr>
          <w:ilvl w:val="0"/>
          <w:numId w:val="665"/>
        </w:numPr>
        <w:ind w:left="720" w:hanging="192"/>
        <w:jc w:val="left"/>
        <w:rPr>
          <w:rFonts w:eastAsia="Arial" w:cs="Arial"/>
          <w:sz w:val="20"/>
          <w:szCs w:val="20"/>
        </w:rPr>
      </w:pPr>
      <w:r>
        <w:rPr>
          <w:rFonts w:eastAsia="Arial" w:cs="Arial"/>
          <w:sz w:val="20"/>
          <w:szCs w:val="20"/>
        </w:rPr>
        <w:t>Digg</w:t>
      </w:r>
    </w:p>
    <w:p>
      <w:pPr>
        <w:numPr>
          <w:ilvl w:val="0"/>
          <w:numId w:val="665"/>
        </w:numPr>
        <w:ind w:left="720" w:hanging="192"/>
        <w:jc w:val="left"/>
        <w:rPr>
          <w:rFonts w:eastAsia="Arial" w:cs="Arial"/>
          <w:sz w:val="20"/>
          <w:szCs w:val="20"/>
        </w:rPr>
      </w:pPr>
      <w:r>
        <w:rPr>
          <w:rFonts w:eastAsia="Arial" w:cs="Arial"/>
          <w:sz w:val="20"/>
          <w:szCs w:val="20"/>
        </w:rPr>
        <w:t>Reddit</w:t>
      </w:r>
    </w:p>
    <w:p>
      <w:pPr>
        <w:numPr>
          <w:ilvl w:val="0"/>
          <w:numId w:val="665"/>
        </w:numPr>
        <w:ind w:left="720" w:hanging="192"/>
        <w:jc w:val="left"/>
        <w:rPr>
          <w:rFonts w:eastAsia="Arial" w:cs="Arial"/>
          <w:sz w:val="20"/>
          <w:szCs w:val="20"/>
        </w:rPr>
      </w:pPr>
      <w:r>
        <w:rPr>
          <w:rFonts w:eastAsia="Arial" w:cs="Arial"/>
          <w:sz w:val="20"/>
          <w:szCs w:val="20"/>
        </w:rPr>
        <w:t>RSS</w:t>
      </w:r>
    </w:p>
    <w:p>
      <w:pPr>
        <w:numPr>
          <w:ilvl w:val="0"/>
          <w:numId w:val="665"/>
        </w:numPr>
        <w:ind w:left="720" w:hanging="192"/>
        <w:jc w:val="left"/>
        <w:rPr>
          <w:rFonts w:eastAsia="Arial" w:cs="Arial"/>
          <w:sz w:val="20"/>
          <w:szCs w:val="20"/>
        </w:rPr>
      </w:pPr>
      <w:r>
        <w:rPr>
          <w:rFonts w:eastAsia="Arial" w:cs="Arial"/>
          <w:sz w:val="20"/>
          <w:szCs w:val="20"/>
        </w:rPr>
        <w:t>Participation in interactive electronic forums such as chat rooms or online seminars</w:t>
      </w:r>
    </w:p>
    <w:p>
      <w:pPr>
        <w:numPr>
          <w:ilvl w:val="0"/>
          <w:numId w:val="665"/>
        </w:numPr>
        <w:spacing w:after="200"/>
        <w:ind w:left="720" w:hanging="192"/>
        <w:jc w:val="left"/>
        <w:rPr>
          <w:rFonts w:eastAsia="Arial" w:cs="Arial"/>
          <w:sz w:val="20"/>
          <w:szCs w:val="20"/>
        </w:rPr>
      </w:pPr>
      <w:r>
        <w:rPr>
          <w:rFonts w:eastAsia="Arial" w:cs="Arial"/>
          <w:sz w:val="20"/>
          <w:szCs w:val="20"/>
        </w:rPr>
        <w:t>Similar electronic communications</w:t>
      </w:r>
    </w:p>
    <w:p>
      <w:bookmarkEnd w:id="757"/>
      <w:bookmarkStart w:id="758" w:name="Sec_Chp_061016102255750_061016103162"/>
    </w:p>
    <w:p>
      <w:pPr>
        <w:pStyle w:val="Heading4"/>
      </w:pPr>
      <w:r>
        <w:t>10.3.16.2 Guidelines for Interaction about the Firm through Social Media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Without the express written permission of the </w:t>
      </w:r>
      <w:r>
        <w:rPr>
          <w:rFonts w:eastAsia="Arial" w:cs="Arial"/>
          <w:sz w:val="20"/>
          <w:szCs w:val="20"/>
        </w:rPr>
        <w:t>Chief Compliance Officer</w:t>
      </w:r>
      <w:r>
        <w:rPr>
          <w:rFonts w:eastAsia="Arial" w:cs="Arial"/>
          <w:sz w:val="20"/>
          <w:szCs w:val="20"/>
        </w:rPr>
        <w:t>, an employee of KCD with respect to off-channel communications may not:</w:t>
      </w:r>
    </w:p>
    <w:p>
      <w:pPr>
        <w:numPr>
          <w:ilvl w:val="0"/>
          <w:numId w:val="666"/>
        </w:numPr>
        <w:spacing w:before="200"/>
        <w:ind w:left="720" w:hanging="192"/>
        <w:jc w:val="left"/>
        <w:rPr>
          <w:rFonts w:eastAsia="Arial" w:cs="Arial"/>
          <w:sz w:val="20"/>
          <w:szCs w:val="20"/>
        </w:rPr>
      </w:pPr>
      <w:r>
        <w:rPr>
          <w:rFonts w:eastAsia="Arial" w:cs="Arial"/>
          <w:sz w:val="20"/>
          <w:szCs w:val="20"/>
        </w:rPr>
        <w:t>Develop a Web site or write a blog that will mention KCD and/or current and potential advisory services, employees, partners, clients and competitors of KCD.</w:t>
      </w:r>
    </w:p>
    <w:p>
      <w:pPr>
        <w:numPr>
          <w:ilvl w:val="0"/>
          <w:numId w:val="666"/>
        </w:numPr>
        <w:ind w:left="720" w:hanging="192"/>
        <w:jc w:val="left"/>
        <w:rPr>
          <w:rFonts w:eastAsia="Arial" w:cs="Arial"/>
          <w:sz w:val="20"/>
          <w:szCs w:val="20"/>
        </w:rPr>
      </w:pPr>
      <w:r>
        <w:rPr>
          <w:rFonts w:eastAsia="Arial" w:cs="Arial"/>
          <w:sz w:val="20"/>
          <w:szCs w:val="20"/>
        </w:rPr>
        <w:t>Speak on behalf of KCD in a social media communication.</w:t>
      </w:r>
    </w:p>
    <w:p>
      <w:pPr>
        <w:numPr>
          <w:ilvl w:val="0"/>
          <w:numId w:val="666"/>
        </w:numPr>
        <w:ind w:left="720" w:hanging="192"/>
        <w:jc w:val="left"/>
        <w:rPr>
          <w:rFonts w:eastAsia="Arial" w:cs="Arial"/>
          <w:sz w:val="20"/>
          <w:szCs w:val="20"/>
        </w:rPr>
      </w:pPr>
      <w:r>
        <w:rPr>
          <w:rFonts w:eastAsia="Arial" w:cs="Arial"/>
          <w:sz w:val="20"/>
          <w:szCs w:val="20"/>
        </w:rPr>
        <w:t>Sell any product or service that would compete with any of KCD's products or services.</w:t>
      </w:r>
    </w:p>
    <w:p>
      <w:pPr>
        <w:numPr>
          <w:ilvl w:val="0"/>
          <w:numId w:val="666"/>
        </w:numPr>
        <w:ind w:left="720" w:hanging="192"/>
        <w:jc w:val="left"/>
        <w:rPr>
          <w:rFonts w:eastAsia="Arial" w:cs="Arial"/>
          <w:sz w:val="20"/>
          <w:szCs w:val="20"/>
        </w:rPr>
      </w:pPr>
      <w:r>
        <w:rPr>
          <w:rFonts w:eastAsia="Arial" w:cs="Arial"/>
          <w:sz w:val="20"/>
          <w:szCs w:val="20"/>
        </w:rPr>
        <w:t>Use company logos and trademarks in a social media communication.</w:t>
      </w:r>
    </w:p>
    <w:p>
      <w:pPr>
        <w:numPr>
          <w:ilvl w:val="0"/>
          <w:numId w:val="666"/>
        </w:numPr>
        <w:spacing w:after="200"/>
        <w:ind w:left="720" w:hanging="192"/>
        <w:jc w:val="left"/>
        <w:rPr>
          <w:rFonts w:eastAsia="Arial" w:cs="Arial"/>
          <w:sz w:val="20"/>
          <w:szCs w:val="20"/>
        </w:rPr>
      </w:pPr>
      <w:r>
        <w:rPr>
          <w:rFonts w:eastAsia="Arial" w:cs="Arial"/>
          <w:sz w:val="20"/>
          <w:szCs w:val="20"/>
        </w:rPr>
        <w:t>Discuss competitors, clients and vendors in a social media communication.</w:t>
      </w:r>
    </w:p>
    <w:p>
      <w:pPr>
        <w:pStyle w:val="normal0"/>
        <w:spacing w:before="200" w:after="200"/>
        <w:rPr>
          <w:rFonts w:eastAsia="Arial" w:cs="Arial"/>
          <w:sz w:val="20"/>
          <w:szCs w:val="20"/>
        </w:rPr>
      </w:pPr>
      <w:r>
        <w:rPr>
          <w:rFonts w:eastAsia="Arial" w:cs="Arial"/>
          <w:sz w:val="20"/>
          <w:szCs w:val="20"/>
        </w:rPr>
        <w:t xml:space="preserve">The </w:t>
      </w:r>
      <w:r>
        <w:rPr>
          <w:rFonts w:eastAsia="Arial" w:cs="Arial"/>
          <w:sz w:val="20"/>
          <w:szCs w:val="20"/>
        </w:rPr>
        <w:t>Chief Compliance Officer</w:t>
      </w:r>
      <w:r>
        <w:rPr>
          <w:rFonts w:eastAsia="Arial" w:cs="Arial"/>
          <w:sz w:val="20"/>
          <w:szCs w:val="20"/>
        </w:rPr>
        <w:t xml:space="preserve"> may grant permission for a particular off-channel communication only if:</w:t>
      </w:r>
    </w:p>
    <w:p>
      <w:pPr>
        <w:numPr>
          <w:ilvl w:val="0"/>
          <w:numId w:val="667"/>
        </w:numPr>
        <w:spacing w:before="200"/>
        <w:ind w:left="720" w:hanging="192"/>
        <w:jc w:val="left"/>
        <w:rPr>
          <w:rFonts w:eastAsia="Arial" w:cs="Arial"/>
          <w:sz w:val="20"/>
          <w:szCs w:val="20"/>
        </w:rPr>
      </w:pPr>
      <w:r>
        <w:rPr>
          <w:rFonts w:eastAsia="Arial" w:cs="Arial"/>
          <w:sz w:val="20"/>
          <w:szCs w:val="20"/>
        </w:rPr>
        <w:t>The use of the social media is for business purposes only;</w:t>
      </w:r>
    </w:p>
    <w:p>
      <w:pPr>
        <w:numPr>
          <w:ilvl w:val="0"/>
          <w:numId w:val="667"/>
        </w:numPr>
        <w:ind w:left="720" w:hanging="192"/>
        <w:jc w:val="left"/>
        <w:rPr>
          <w:rFonts w:eastAsia="Arial" w:cs="Arial"/>
          <w:sz w:val="20"/>
          <w:szCs w:val="20"/>
        </w:rPr>
      </w:pPr>
      <w:r>
        <w:rPr>
          <w:rFonts w:eastAsia="Arial" w:cs="Arial"/>
          <w:sz w:val="20"/>
          <w:szCs w:val="20"/>
        </w:rPr>
        <w:t>The social media site or app has been approved for use by KCD;</w:t>
      </w:r>
    </w:p>
    <w:p>
      <w:pPr>
        <w:numPr>
          <w:ilvl w:val="0"/>
          <w:numId w:val="667"/>
        </w:numPr>
        <w:ind w:left="720" w:hanging="192"/>
        <w:jc w:val="left"/>
        <w:rPr>
          <w:rFonts w:eastAsia="Arial" w:cs="Arial"/>
          <w:sz w:val="20"/>
          <w:szCs w:val="20"/>
        </w:rPr>
      </w:pPr>
      <w:r>
        <w:rPr>
          <w:rFonts w:eastAsia="Arial" w:cs="Arial"/>
          <w:sz w:val="20"/>
          <w:szCs w:val="20"/>
        </w:rPr>
        <w:t>Interactive posts of Firm employees are monitored or reviewed by KCD real-time or by archiving such communications and then reviewing them; and</w:t>
      </w:r>
    </w:p>
    <w:p>
      <w:pPr>
        <w:numPr>
          <w:ilvl w:val="0"/>
          <w:numId w:val="667"/>
        </w:numPr>
        <w:spacing w:after="200"/>
        <w:ind w:left="720" w:hanging="192"/>
        <w:jc w:val="left"/>
        <w:rPr>
          <w:rFonts w:eastAsia="Arial" w:cs="Arial"/>
          <w:sz w:val="20"/>
          <w:szCs w:val="20"/>
        </w:rPr>
      </w:pPr>
      <w:r>
        <w:rPr>
          <w:rFonts w:eastAsia="Arial" w:cs="Arial"/>
          <w:sz w:val="20"/>
          <w:szCs w:val="20"/>
        </w:rPr>
        <w:t>Employees engaged in the social media will have received the necessary training on these social media procedures and have the necessary background to engage in such activities.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The SEC has and likely will continue a widespread investigation into the unauthorized use by employees of financial firms such as investment advisers of off-channel communications for business-related purposes including the use of electronic messaging apps, such as WhatsApp and WeChat. Financial firms' record retention practices related to the work-related communications have also been investigated. The SEC, in the past, has levied fines against investment advisers for failures by the firms and their employees to maintain and preserve electronic communications.</w:t>
            </w:r>
          </w:p>
        </w:tc>
      </w:tr>
    </w:tbl>
    <w:p>
      <w:pPr>
        <w:pStyle w:val="normal0"/>
        <w:spacing w:before="200" w:after="200"/>
        <w:rPr>
          <w:rFonts w:eastAsia="Arial" w:cs="Arial"/>
          <w:sz w:val="20"/>
          <w:szCs w:val="20"/>
        </w:rPr>
      </w:pPr>
      <w:r>
        <w:rPr>
          <w:rFonts w:eastAsia="Arial" w:cs="Arial"/>
          <w:sz w:val="20"/>
          <w:szCs w:val="20"/>
        </w:rPr>
        <w:t>KCD recognizes the challenges of preventing employees from using off-channel communications, various social media apps or, if such use permitted, maintain records of off-channel communications by employees on such apps. Recognizing these challenges, KCD:</w:t>
      </w:r>
    </w:p>
    <w:p>
      <w:pPr>
        <w:numPr>
          <w:ilvl w:val="0"/>
          <w:numId w:val="668"/>
        </w:numPr>
        <w:spacing w:before="200"/>
        <w:ind w:left="720" w:hanging="192"/>
        <w:jc w:val="left"/>
        <w:rPr>
          <w:rFonts w:eastAsia="Arial" w:cs="Arial"/>
          <w:sz w:val="20"/>
          <w:szCs w:val="20"/>
        </w:rPr>
      </w:pPr>
      <w:r>
        <w:rPr>
          <w:rFonts w:eastAsia="Arial" w:cs="Arial"/>
          <w:sz w:val="20"/>
          <w:szCs w:val="20"/>
        </w:rPr>
        <w:t>will seek cooperation with employees to track Firm communications on various social media platforms;</w:t>
      </w:r>
    </w:p>
    <w:p>
      <w:pPr>
        <w:numPr>
          <w:ilvl w:val="0"/>
          <w:numId w:val="668"/>
        </w:numPr>
        <w:ind w:left="720" w:hanging="192"/>
        <w:jc w:val="left"/>
        <w:rPr>
          <w:rFonts w:eastAsia="Arial" w:cs="Arial"/>
          <w:sz w:val="20"/>
          <w:szCs w:val="20"/>
        </w:rPr>
      </w:pPr>
      <w:r>
        <w:rPr>
          <w:rFonts w:eastAsia="Arial" w:cs="Arial"/>
          <w:sz w:val="20"/>
          <w:szCs w:val="20"/>
        </w:rPr>
        <w:t>will store in a non-alterable, non-rewritable format to ensure data integrity on such platforms if required by the Advisers Act's books and records rules; and</w:t>
      </w:r>
    </w:p>
    <w:p>
      <w:pPr>
        <w:numPr>
          <w:ilvl w:val="0"/>
          <w:numId w:val="668"/>
        </w:numPr>
        <w:spacing w:after="200"/>
        <w:ind w:left="720" w:hanging="192"/>
        <w:jc w:val="left"/>
        <w:rPr>
          <w:rFonts w:eastAsia="Arial" w:cs="Arial"/>
          <w:sz w:val="20"/>
          <w:szCs w:val="20"/>
        </w:rPr>
      </w:pPr>
      <w:r>
        <w:rPr>
          <w:rFonts w:eastAsia="Arial" w:cs="Arial"/>
          <w:sz w:val="20"/>
          <w:szCs w:val="20"/>
        </w:rPr>
        <w:t>will seek to inspect the employees' phones and other applicable devices where the social media platforms reside.</w:t>
      </w:r>
    </w:p>
    <w:p>
      <w:bookmarkEnd w:id="758"/>
      <w:bookmarkStart w:id="759" w:name="Sec_Chp_061016102255750_061016103163"/>
    </w:p>
    <w:p>
      <w:pPr>
        <w:pStyle w:val="Heading4"/>
      </w:pPr>
      <w:r>
        <w:t>10.3.16.3 Investment Recommendation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No employee may make an investment recommendation or recommend a specific investment product to a client or anyone else through a social media communication or link to such a recommendation unless a senior investment officer (e.g., the Chief Investment Officer) has previously approved the content of social media communication.</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Communications through social media that include specific investment recommendations or recommend specific investment products present greater challenges for a firm's compliance program than other types of communications, including whether such communications are suitable for the client and how such communications are maintained for in a manner that complies with applicable recordkeeping rules.</w:t>
            </w:r>
          </w:p>
        </w:tc>
      </w:tr>
    </w:tbl>
    <w:p>
      <w:bookmarkEnd w:id="759"/>
      <w:bookmarkStart w:id="760" w:name="Sec_Chp_061016102255750_061016103164"/>
    </w:p>
    <w:p>
      <w:pPr>
        <w:pStyle w:val="Heading4"/>
      </w:pPr>
      <w:r>
        <w:t>10.3.16.4 Advertising and Marketing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treat all "static" social media communications as advertisements subject to the marketing procedures of this Compliance Manual. </w:t>
      </w:r>
    </w:p>
    <w:p>
      <w:pPr>
        <w:pStyle w:val="normal0"/>
        <w:spacing w:before="200" w:after="200"/>
        <w:rPr>
          <w:rFonts w:eastAsia="Arial" w:cs="Arial"/>
          <w:sz w:val="20"/>
          <w:szCs w:val="20"/>
        </w:rPr>
      </w:pPr>
      <w:r>
        <w:rPr>
          <w:rFonts w:eastAsia="Arial" w:cs="Arial"/>
          <w:sz w:val="20"/>
          <w:szCs w:val="20"/>
        </w:rPr>
        <w:t>Static content are postings like a profile, background or wall information. Static content is generally accessible to all visitors and usually remains posted until it is removed. This content is pre-conceived and there is an opportunity for it to be reviewed prior to its use in social media.</w:t>
      </w:r>
    </w:p>
    <w:p>
      <w:pPr>
        <w:pStyle w:val="normal0"/>
        <w:spacing w:before="200" w:after="200"/>
        <w:rPr>
          <w:rFonts w:eastAsia="Arial" w:cs="Arial"/>
          <w:sz w:val="20"/>
          <w:szCs w:val="20"/>
        </w:rPr>
      </w:pPr>
      <w:r>
        <w:rPr>
          <w:rFonts w:eastAsia="Arial" w:cs="Arial"/>
          <w:sz w:val="20"/>
          <w:szCs w:val="20"/>
        </w:rPr>
        <w:t>Non-static content are real-time, interactive communications, such as interactive posts, tweets, status updates and comments. Since non-static content are spontaneous, there is no time for someone to review in advance the content in these communications.</w:t>
      </w:r>
    </w:p>
    <w:p>
      <w:pPr>
        <w:spacing w:before="200" w:after="200"/>
        <w:rPr>
          <w:rFonts w:eastAsia="Arial" w:cs="Arial"/>
          <w:sz w:val="20"/>
          <w:szCs w:val="20"/>
        </w:rPr>
      </w:pPr>
      <w:r>
        <w:rPr>
          <w:rFonts w:eastAsia="Arial" w:cs="Arial"/>
          <w:sz w:val="20"/>
          <w:szCs w:val="20"/>
        </w:rPr>
        <w:t>Firm employees may not advertise or otherwise post content about Firm advisory services through their personal social media accounts without the written consent of KCD's Chief Compliance Officer. From time to time, the Chief Compliance Officer shall review publicly available content on social media accounts of employees for purposes of reviewing any postings or content related to KCD and the advisory services it provides to clients.</w:t>
      </w:r>
    </w:p>
    <w:p>
      <w:bookmarkEnd w:id="760"/>
      <w:bookmarkStart w:id="761" w:name="Sec_Chp_061016102255750_061016103165"/>
    </w:p>
    <w:p>
      <w:pPr>
        <w:pStyle w:val="Heading4"/>
      </w:pPr>
      <w:r>
        <w:t>10.3.16.5 Third-Party Posts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Third-party social media posts generally are not attributable to KCD. KCD will deem a third-party social media static communication as an advertisement by KCD subject to the marketing procedures of this Compliance Manual if KCD:</w:t>
      </w:r>
    </w:p>
    <w:p>
      <w:pPr>
        <w:numPr>
          <w:ilvl w:val="0"/>
          <w:numId w:val="669"/>
        </w:numPr>
        <w:spacing w:before="200"/>
        <w:ind w:left="720" w:hanging="192"/>
        <w:jc w:val="left"/>
        <w:rPr>
          <w:rFonts w:eastAsia="Arial" w:cs="Arial"/>
          <w:sz w:val="20"/>
          <w:szCs w:val="20"/>
        </w:rPr>
      </w:pPr>
      <w:r>
        <w:rPr>
          <w:rFonts w:eastAsia="Arial" w:cs="Arial"/>
          <w:sz w:val="20"/>
          <w:szCs w:val="20"/>
        </w:rPr>
        <w:t xml:space="preserve">involved itself in the preparation of the content of the third-party static social media communication; or </w:t>
      </w:r>
    </w:p>
    <w:p>
      <w:pPr>
        <w:numPr>
          <w:ilvl w:val="0"/>
          <w:numId w:val="669"/>
        </w:numPr>
        <w:spacing w:after="200"/>
        <w:ind w:left="720" w:hanging="192"/>
        <w:jc w:val="left"/>
        <w:rPr>
          <w:rFonts w:eastAsia="Arial" w:cs="Arial"/>
          <w:sz w:val="20"/>
          <w:szCs w:val="20"/>
        </w:rPr>
      </w:pPr>
      <w:r>
        <w:rPr>
          <w:rFonts w:eastAsia="Arial" w:cs="Arial"/>
          <w:sz w:val="20"/>
          <w:szCs w:val="20"/>
        </w:rPr>
        <w:t>explicitly or implicitly endorses or approves the third-party static social media communication.</w:t>
      </w:r>
    </w:p>
    <w:p>
      <w:bookmarkEnd w:id="761"/>
      <w:bookmarkStart w:id="762" w:name="Sec_Chp_061016102255750_061016103166"/>
    </w:p>
    <w:p>
      <w:pPr>
        <w:pStyle w:val="Heading4"/>
      </w:pPr>
      <w:r>
        <w:t>10.3.16.6 Testimonials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reviews social media sites including Facebook, LinkedIn and LinkedFA to determine whether there is a recommendation or other positive statement or indication (e.g., thumbs up). Upon finding such a statement or indication, KCD will determine whether it might be viewed as a testimonial and, if so, KCD will:</w:t>
      </w:r>
    </w:p>
    <w:p>
      <w:pPr>
        <w:numPr>
          <w:ilvl w:val="0"/>
          <w:numId w:val="670"/>
        </w:numPr>
        <w:spacing w:before="200"/>
        <w:ind w:left="720" w:hanging="192"/>
        <w:jc w:val="left"/>
        <w:rPr>
          <w:rFonts w:eastAsia="Arial" w:cs="Arial"/>
          <w:sz w:val="20"/>
          <w:szCs w:val="20"/>
        </w:rPr>
      </w:pPr>
      <w:r>
        <w:rPr>
          <w:rFonts w:eastAsia="Arial" w:cs="Arial"/>
          <w:sz w:val="20"/>
          <w:szCs w:val="20"/>
        </w:rPr>
        <w:t>request the sponsor or owner of the social media site to remove the favorable communication; and</w:t>
      </w:r>
    </w:p>
    <w:p>
      <w:pPr>
        <w:numPr>
          <w:ilvl w:val="0"/>
          <w:numId w:val="670"/>
        </w:numPr>
        <w:spacing w:after="200"/>
        <w:ind w:left="720" w:hanging="192"/>
        <w:jc w:val="left"/>
        <w:rPr>
          <w:rFonts w:eastAsia="Arial" w:cs="Arial"/>
          <w:sz w:val="20"/>
          <w:szCs w:val="20"/>
        </w:rPr>
      </w:pPr>
      <w:r>
        <w:rPr>
          <w:rFonts w:eastAsia="Arial" w:cs="Arial"/>
          <w:sz w:val="20"/>
          <w:szCs w:val="20"/>
        </w:rPr>
        <w:t>if the communication cannot be removed, KCD will remove itself from the site.</w:t>
      </w:r>
    </w:p>
    <w:p>
      <w:bookmarkEnd w:id="762"/>
      <w:bookmarkStart w:id="763" w:name="Sec_Chp_061016102255750_061016103167"/>
    </w:p>
    <w:p>
      <w:pPr>
        <w:pStyle w:val="Heading4"/>
      </w:pPr>
      <w:r>
        <w:t>10.3.16.7 Complaints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treat any complaints posted by a client of KCD on a social media site as a complaint subject to procedures in this Compliance Manual governing such complaints.</w:t>
      </w:r>
    </w:p>
    <w:p>
      <w:bookmarkEnd w:id="763"/>
      <w:bookmarkStart w:id="764" w:name="Sec_Chp_061016102255750_061016103168"/>
    </w:p>
    <w:p>
      <w:pPr>
        <w:pStyle w:val="Heading4"/>
      </w:pPr>
      <w:r>
        <w:t>10.3.16.8 Confidential Information Component of the Social Media Policy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Employees may not share information that is confidential and proprietary about KCD through a social media communication. This includes, but is not limited to, information about advisory services, financial information, number of clients, number of employees, firm strategy and any other information that has not been publicly released by KCD.</w:t>
      </w:r>
    </w:p>
    <w:p>
      <w:pPr>
        <w:pStyle w:val="normal0"/>
        <w:spacing w:before="200" w:after="200"/>
        <w:rPr>
          <w:rFonts w:eastAsia="Arial" w:cs="Arial"/>
          <w:sz w:val="20"/>
          <w:szCs w:val="20"/>
        </w:rPr>
      </w:pPr>
      <w:r>
        <w:rPr>
          <w:rFonts w:eastAsia="Arial" w:cs="Arial"/>
          <w:sz w:val="20"/>
          <w:szCs w:val="20"/>
        </w:rPr>
        <w:t xml:space="preserve">These are given as examples only and do not cover the range of what KCD considers confidential and proprietary. If an employee has any question about whether information has been released publicly or doubts of any kind, speak with the Chief Compliance Officer before releasing information that could potentially harm KCD, or KCD's current and potential advisory services, employees, partners, and clients. </w:t>
      </w:r>
    </w:p>
    <w:p>
      <w:bookmarkEnd w:id="764"/>
      <w:bookmarkStart w:id="765" w:name="Sec_Chp_061016102255750_061016103169"/>
    </w:p>
    <w:p>
      <w:pPr>
        <w:pStyle w:val="Heading4"/>
      </w:pPr>
      <w:r>
        <w:t>10.3.16.9 Respect and Privacy Rights Components of the Blogging Policy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an employee has written permission to communicate about KCD in a social media communication, he or she shall:</w:t>
      </w:r>
    </w:p>
    <w:p>
      <w:pPr>
        <w:numPr>
          <w:ilvl w:val="0"/>
          <w:numId w:val="671"/>
        </w:numPr>
        <w:spacing w:before="200"/>
        <w:ind w:left="720" w:hanging="192"/>
        <w:jc w:val="left"/>
        <w:rPr>
          <w:rFonts w:eastAsia="Arial" w:cs="Arial"/>
          <w:sz w:val="20"/>
          <w:szCs w:val="20"/>
        </w:rPr>
      </w:pPr>
      <w:r>
        <w:rPr>
          <w:rFonts w:eastAsia="Arial" w:cs="Arial"/>
          <w:sz w:val="20"/>
          <w:szCs w:val="20"/>
        </w:rPr>
        <w:t>Abide by KCD's values and employee conduct expectations, including those specified in KCD's Code of Ethics;</w:t>
      </w:r>
    </w:p>
    <w:p>
      <w:pPr>
        <w:numPr>
          <w:ilvl w:val="0"/>
          <w:numId w:val="671"/>
        </w:numPr>
        <w:ind w:left="720" w:hanging="192"/>
        <w:jc w:val="left"/>
        <w:rPr>
          <w:rFonts w:eastAsia="Arial" w:cs="Arial"/>
          <w:sz w:val="20"/>
          <w:szCs w:val="20"/>
        </w:rPr>
      </w:pPr>
      <w:r>
        <w:rPr>
          <w:rFonts w:eastAsia="Arial" w:cs="Arial"/>
          <w:sz w:val="20"/>
          <w:szCs w:val="20"/>
        </w:rPr>
        <w:t>Identify himself or herself and if communicating about KCD, indicate the employee's position and what he or she does for KCD;</w:t>
      </w:r>
    </w:p>
    <w:p>
      <w:pPr>
        <w:numPr>
          <w:ilvl w:val="0"/>
          <w:numId w:val="671"/>
        </w:numPr>
        <w:ind w:left="720" w:hanging="192"/>
        <w:jc w:val="left"/>
        <w:rPr>
          <w:rFonts w:eastAsia="Arial" w:cs="Arial"/>
          <w:sz w:val="20"/>
          <w:szCs w:val="20"/>
        </w:rPr>
      </w:pPr>
      <w:r>
        <w:rPr>
          <w:rFonts w:eastAsia="Arial" w:cs="Arial"/>
          <w:sz w:val="20"/>
          <w:szCs w:val="20"/>
        </w:rPr>
        <w:t>When appropriate, include a disclaimer or other explanation that the employee's views expressed are exclusively his or her own and do not represent the views of KCD;</w:t>
      </w:r>
    </w:p>
    <w:p>
      <w:pPr>
        <w:numPr>
          <w:ilvl w:val="0"/>
          <w:numId w:val="671"/>
        </w:numPr>
        <w:ind w:left="720" w:hanging="192"/>
        <w:jc w:val="left"/>
        <w:rPr>
          <w:rFonts w:eastAsia="Arial" w:cs="Arial"/>
          <w:sz w:val="20"/>
          <w:szCs w:val="20"/>
        </w:rPr>
      </w:pPr>
      <w:r>
        <w:rPr>
          <w:rFonts w:eastAsia="Arial" w:cs="Arial"/>
          <w:sz w:val="20"/>
          <w:szCs w:val="20"/>
        </w:rPr>
        <w:t>Speak respectfully about KCD and its employees, clients, partners and competitors. Such employee may not engage in name calling or behavior that will reflect negatively on KCD's reputation. Note that the use of copyrighted materials, unfounded or derogatory statements, or misrepresentation is not viewed favorably by KCD and can result in disciplinary action up to and including employment termination;</w:t>
      </w:r>
    </w:p>
    <w:p>
      <w:pPr>
        <w:numPr>
          <w:ilvl w:val="0"/>
          <w:numId w:val="671"/>
        </w:numPr>
        <w:ind w:left="720" w:hanging="192"/>
        <w:jc w:val="left"/>
        <w:rPr>
          <w:rFonts w:eastAsia="Arial" w:cs="Arial"/>
          <w:sz w:val="20"/>
          <w:szCs w:val="20"/>
        </w:rPr>
      </w:pPr>
      <w:r>
        <w:rPr>
          <w:rFonts w:eastAsia="Arial" w:cs="Arial"/>
          <w:sz w:val="20"/>
          <w:szCs w:val="20"/>
        </w:rPr>
        <w:t>Write or otherwise communicate knowledgeably, accurately, and using appropriate professionalism. Despite disclaimers, Web interaction can result in members of the public forming opinions about KCD and its employees, partners, clients and advisory services;</w:t>
      </w:r>
    </w:p>
    <w:p>
      <w:pPr>
        <w:numPr>
          <w:ilvl w:val="0"/>
          <w:numId w:val="671"/>
        </w:numPr>
        <w:ind w:left="720" w:hanging="192"/>
        <w:jc w:val="left"/>
        <w:rPr>
          <w:rFonts w:eastAsia="Arial" w:cs="Arial"/>
          <w:sz w:val="20"/>
          <w:szCs w:val="20"/>
        </w:rPr>
      </w:pPr>
      <w:r>
        <w:rPr>
          <w:rFonts w:eastAsia="Arial" w:cs="Arial"/>
          <w:sz w:val="20"/>
          <w:szCs w:val="20"/>
        </w:rPr>
        <w:t>Honor the privacy rights of KCD's current employees by seeking their permission before writing about or displaying internal firm happenings that might be considered to be a breach of their privacy and confidentiality; and</w:t>
      </w:r>
    </w:p>
    <w:p>
      <w:pPr>
        <w:numPr>
          <w:ilvl w:val="0"/>
          <w:numId w:val="671"/>
        </w:numPr>
        <w:spacing w:after="200"/>
        <w:ind w:left="720" w:hanging="192"/>
        <w:jc w:val="left"/>
        <w:rPr>
          <w:rFonts w:eastAsia="Arial" w:cs="Arial"/>
          <w:sz w:val="20"/>
          <w:szCs w:val="20"/>
        </w:rPr>
      </w:pPr>
      <w:r>
        <w:rPr>
          <w:rFonts w:eastAsia="Arial" w:cs="Arial"/>
          <w:sz w:val="20"/>
          <w:szCs w:val="20"/>
        </w:rPr>
        <w:t>Understand that the employee is personally responsible for the content he or she publishes on the social media site and can be disciplined if the commentary, content or images are defamatory, harassing, libelous or otherwise inappropriate.</w:t>
      </w:r>
    </w:p>
    <w:p>
      <w:bookmarkEnd w:id="765"/>
      <w:bookmarkStart w:id="766" w:name="Sec_Chp_061016102255750_0610161031610"/>
    </w:p>
    <w:p>
      <w:pPr>
        <w:pStyle w:val="Heading4"/>
      </w:pPr>
      <w:r>
        <w:t>10.3.16.10 Legal Liability Component of the Blogging Policy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employee is legally liable for anything he or she writes or presents online or through a social media communication. Employees can be disciplined by KCD for commentary, content or images that are defamatory, pornographic, proprietary, harassing, libelous, or that can create a hostile work environment. Employees can also be sued by firm employees, competitors, and any individual or company that views their commentary, content, or images as defamatory, pornographic, proprietary, harassing, libelous or creating a hostile work environment.</w:t>
      </w:r>
    </w:p>
    <w:p>
      <w:bookmarkEnd w:id="766"/>
      <w:bookmarkStart w:id="767" w:name="Sec_Chp_061016102255750_0610161031611"/>
    </w:p>
    <w:p>
      <w:pPr>
        <w:pStyle w:val="Heading4"/>
      </w:pPr>
      <w:r>
        <w:t>10.3.16.11 Records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All documents concerning static social media communications shall be maintained in KCD's books and records. </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Firms that remove static social media content, whether by deleting comments on a blog or taking down a Facebook post, may run afoul of recordkeeping requirements if a copy of the deleted communication is not archived. Removal of content without saving a screenshot could constitute destruction of records under the Advisers Act.</w:t>
            </w:r>
          </w:p>
        </w:tc>
      </w:tr>
    </w:tbl>
    <w:p>
      <w:bookmarkEnd w:id="767"/>
      <w:bookmarkStart w:id="768" w:name="Sec_Chp_061016102255750_0610161031712"/>
    </w:p>
    <w:p>
      <w:pPr>
        <w:pStyle w:val="Heading4"/>
      </w:pPr>
      <w:r>
        <w:t>10.3.16.12 Mobile Device Access and Use Policy</w:t>
      </w:r>
    </w:p>
    <w:p/>
    <w:p>
      <w:pPr>
        <w:rPr>
          <w:rFonts w:eastAsia="Arial" w:cs="Arial"/>
          <w:sz w:val="16"/>
          <w:szCs w:val="16"/>
        </w:rPr>
      </w:pPr>
    </w:p>
    <w:p>
      <w:pPr>
        <w:numPr>
          <w:ilvl w:val="0"/>
          <w:numId w:val="672"/>
        </w:numPr>
        <w:ind w:left="720" w:hanging="267"/>
        <w:jc w:val="left"/>
        <w:rPr>
          <w:rFonts w:eastAsia="Arial" w:cs="Arial"/>
          <w:sz w:val="20"/>
          <w:szCs w:val="20"/>
        </w:rPr>
      </w:pPr>
      <w:r>
        <w:rPr>
          <w:rFonts w:eastAsia="Arial" w:cs="Arial"/>
          <w:sz w:val="20"/>
          <w:szCs w:val="20"/>
        </w:rPr>
        <w:t xml:space="preserve">Authority to Issue Mobile Devices </w:t>
      </w:r>
    </w:p>
    <w:p>
      <w:pPr>
        <w:numPr>
          <w:ilvl w:val="1"/>
          <w:numId w:val="672"/>
        </w:numPr>
        <w:ind w:left="1440" w:hanging="220"/>
        <w:jc w:val="left"/>
        <w:rPr>
          <w:rFonts w:eastAsia="Arial" w:cs="Arial"/>
          <w:sz w:val="20"/>
          <w:szCs w:val="20"/>
        </w:rPr>
      </w:pPr>
      <w:r>
        <w:rPr>
          <w:rFonts w:eastAsia="Arial" w:cs="Arial"/>
          <w:sz w:val="20"/>
          <w:szCs w:val="20"/>
        </w:rPr>
        <w:t>KCD does not issue mobile devices to employees.</w:t>
      </w:r>
    </w:p>
    <w:p>
      <w:pPr>
        <w:numPr>
          <w:ilvl w:val="1"/>
          <w:numId w:val="672"/>
        </w:numPr>
        <w:ind w:left="1440" w:hanging="220"/>
        <w:jc w:val="left"/>
        <w:rPr>
          <w:rFonts w:eastAsia="Arial" w:cs="Arial"/>
          <w:sz w:val="20"/>
          <w:szCs w:val="20"/>
        </w:rPr>
      </w:pPr>
      <w:r>
        <w:rPr>
          <w:rFonts w:eastAsia="Arial" w:cs="Arial"/>
          <w:sz w:val="20"/>
          <w:szCs w:val="20"/>
        </w:rPr>
        <w:t>Approval of use of a mobile device will be made by the Chief Compliance Officer.</w:t>
      </w:r>
    </w:p>
    <w:p>
      <w:pPr>
        <w:numPr>
          <w:ilvl w:val="1"/>
          <w:numId w:val="672"/>
        </w:numPr>
        <w:ind w:left="1440" w:hanging="220"/>
        <w:jc w:val="left"/>
        <w:rPr>
          <w:rFonts w:eastAsia="Arial" w:cs="Arial"/>
          <w:sz w:val="20"/>
          <w:szCs w:val="20"/>
        </w:rPr>
      </w:pPr>
      <w:r>
        <w:rPr>
          <w:rFonts w:eastAsia="Arial" w:cs="Arial"/>
          <w:sz w:val="20"/>
          <w:szCs w:val="20"/>
        </w:rPr>
        <w:t>Mobile device users must take reasonable care of mobile devices in their possession and ensure that they remain secure at all times. Any loss, damage or theft is to be reported to the Chief Compliance Officer as soon as practicable.</w:t>
      </w:r>
    </w:p>
    <w:p>
      <w:pPr>
        <w:numPr>
          <w:ilvl w:val="0"/>
          <w:numId w:val="672"/>
        </w:numPr>
        <w:ind w:left="720" w:hanging="267"/>
        <w:jc w:val="left"/>
        <w:rPr>
          <w:rFonts w:eastAsia="Arial" w:cs="Arial"/>
          <w:sz w:val="20"/>
          <w:szCs w:val="20"/>
        </w:rPr>
      </w:pPr>
      <w:r>
        <w:rPr>
          <w:rFonts w:eastAsia="Arial" w:cs="Arial"/>
          <w:sz w:val="20"/>
          <w:szCs w:val="20"/>
        </w:rPr>
        <w:t xml:space="preserve">Authority to Connect </w:t>
      </w:r>
    </w:p>
    <w:p>
      <w:pPr>
        <w:numPr>
          <w:ilvl w:val="1"/>
          <w:numId w:val="672"/>
        </w:numPr>
        <w:ind w:left="1440" w:hanging="220"/>
        <w:jc w:val="left"/>
        <w:rPr>
          <w:rFonts w:eastAsia="Arial" w:cs="Arial"/>
          <w:sz w:val="20"/>
          <w:szCs w:val="20"/>
        </w:rPr>
      </w:pPr>
      <w:r>
        <w:rPr>
          <w:rFonts w:eastAsia="Arial" w:cs="Arial"/>
          <w:sz w:val="20"/>
          <w:szCs w:val="20"/>
        </w:rPr>
        <w:t>Mobile accounts must be connected to KCD's contracted supplier.</w:t>
      </w:r>
    </w:p>
    <w:p>
      <w:pPr>
        <w:numPr>
          <w:ilvl w:val="1"/>
          <w:numId w:val="672"/>
        </w:numPr>
        <w:ind w:left="1440" w:hanging="220"/>
        <w:jc w:val="left"/>
        <w:rPr>
          <w:rFonts w:eastAsia="Arial" w:cs="Arial"/>
          <w:sz w:val="20"/>
          <w:szCs w:val="20"/>
        </w:rPr>
      </w:pPr>
      <w:r>
        <w:rPr>
          <w:rFonts w:eastAsia="Arial" w:cs="Arial"/>
          <w:sz w:val="20"/>
          <w:szCs w:val="20"/>
        </w:rPr>
        <w:t>Requests to have a new mobile device connected must be made in writing to the Chief Compliance Officer.</w:t>
      </w:r>
    </w:p>
    <w:p>
      <w:pPr>
        <w:numPr>
          <w:ilvl w:val="0"/>
          <w:numId w:val="672"/>
        </w:numPr>
        <w:ind w:left="720" w:hanging="267"/>
        <w:jc w:val="left"/>
        <w:rPr>
          <w:rFonts w:eastAsia="Arial" w:cs="Arial"/>
          <w:sz w:val="20"/>
          <w:szCs w:val="20"/>
        </w:rPr>
      </w:pPr>
      <w:r>
        <w:rPr>
          <w:rFonts w:eastAsia="Arial" w:cs="Arial"/>
          <w:sz w:val="20"/>
          <w:szCs w:val="20"/>
        </w:rPr>
        <w:t xml:space="preserve">Personal Use </w:t>
      </w:r>
    </w:p>
    <w:p>
      <w:pPr>
        <w:numPr>
          <w:ilvl w:val="1"/>
          <w:numId w:val="672"/>
        </w:numPr>
        <w:ind w:left="1440" w:hanging="220"/>
        <w:jc w:val="left"/>
        <w:rPr>
          <w:rFonts w:eastAsia="Arial" w:cs="Arial"/>
          <w:sz w:val="20"/>
          <w:szCs w:val="20"/>
        </w:rPr>
      </w:pPr>
      <w:r>
        <w:rPr>
          <w:rFonts w:eastAsia="Arial" w:cs="Arial"/>
          <w:sz w:val="20"/>
          <w:szCs w:val="20"/>
        </w:rPr>
        <w:t>Employees may use mobile devices for personal use.</w:t>
      </w:r>
    </w:p>
    <w:p>
      <w:pPr>
        <w:numPr>
          <w:ilvl w:val="1"/>
          <w:numId w:val="672"/>
        </w:numPr>
        <w:ind w:left="1440" w:hanging="220"/>
        <w:jc w:val="left"/>
        <w:rPr>
          <w:rFonts w:eastAsia="Arial" w:cs="Arial"/>
          <w:sz w:val="20"/>
          <w:szCs w:val="20"/>
        </w:rPr>
      </w:pPr>
      <w:r>
        <w:rPr>
          <w:rFonts w:eastAsia="Arial" w:cs="Arial"/>
          <w:sz w:val="20"/>
          <w:szCs w:val="20"/>
        </w:rPr>
        <w:t>The user is to pay the full balance of all personal accounts issued by the due date.</w:t>
      </w:r>
    </w:p>
    <w:p>
      <w:pPr>
        <w:numPr>
          <w:ilvl w:val="0"/>
          <w:numId w:val="672"/>
        </w:numPr>
        <w:ind w:left="720" w:hanging="267"/>
        <w:jc w:val="left"/>
        <w:rPr>
          <w:rFonts w:eastAsia="Arial" w:cs="Arial"/>
          <w:sz w:val="20"/>
          <w:szCs w:val="20"/>
        </w:rPr>
      </w:pPr>
      <w:r>
        <w:rPr>
          <w:rFonts w:eastAsia="Arial" w:cs="Arial"/>
          <w:sz w:val="20"/>
          <w:szCs w:val="20"/>
        </w:rPr>
        <w:t xml:space="preserve">Personal Mobile Devices </w:t>
      </w:r>
    </w:p>
    <w:p>
      <w:pPr>
        <w:numPr>
          <w:ilvl w:val="1"/>
          <w:numId w:val="672"/>
        </w:numPr>
        <w:ind w:left="1440" w:hanging="220"/>
        <w:jc w:val="left"/>
        <w:rPr>
          <w:rFonts w:eastAsia="Arial" w:cs="Arial"/>
          <w:sz w:val="20"/>
          <w:szCs w:val="20"/>
        </w:rPr>
      </w:pPr>
      <w:r>
        <w:rPr>
          <w:rFonts w:eastAsia="Arial" w:cs="Arial"/>
          <w:sz w:val="20"/>
          <w:szCs w:val="20"/>
        </w:rPr>
        <w:t>Personal mobile devices and personal mobile device accounts may be used for Firm business provided that business communications are conducted via the KCD electronic systems.</w:t>
      </w:r>
    </w:p>
    <w:p>
      <w:pPr>
        <w:numPr>
          <w:ilvl w:val="0"/>
          <w:numId w:val="672"/>
        </w:numPr>
        <w:ind w:left="720" w:hanging="267"/>
        <w:jc w:val="left"/>
        <w:rPr>
          <w:rFonts w:eastAsia="Arial" w:cs="Arial"/>
          <w:sz w:val="20"/>
          <w:szCs w:val="20"/>
        </w:rPr>
      </w:pPr>
      <w:r>
        <w:rPr>
          <w:rFonts w:eastAsia="Arial" w:cs="Arial"/>
          <w:sz w:val="20"/>
          <w:szCs w:val="20"/>
        </w:rPr>
        <w:t xml:space="preserve">Misconduct </w:t>
      </w:r>
    </w:p>
    <w:p>
      <w:pPr>
        <w:numPr>
          <w:ilvl w:val="1"/>
          <w:numId w:val="672"/>
        </w:numPr>
        <w:ind w:left="1440" w:hanging="220"/>
        <w:jc w:val="left"/>
        <w:rPr>
          <w:rFonts w:eastAsia="Arial" w:cs="Arial"/>
          <w:sz w:val="20"/>
          <w:szCs w:val="20"/>
        </w:rPr>
      </w:pPr>
      <w:r>
        <w:rPr>
          <w:rFonts w:eastAsia="Arial" w:cs="Arial"/>
          <w:sz w:val="20"/>
          <w:szCs w:val="20"/>
        </w:rPr>
        <w:t>Failure to abide by these procedures may amount to misconduct or, depending on the circumstances, serious misconduct; non-compliance could result in action being taken against the employee.</w:t>
      </w:r>
    </w:p>
    <w:p>
      <w:pPr>
        <w:numPr>
          <w:ilvl w:val="0"/>
          <w:numId w:val="672"/>
        </w:numPr>
        <w:ind w:left="720" w:hanging="267"/>
        <w:jc w:val="left"/>
        <w:rPr>
          <w:rFonts w:eastAsia="Arial" w:cs="Arial"/>
          <w:sz w:val="20"/>
          <w:szCs w:val="20"/>
        </w:rPr>
      </w:pPr>
      <w:r>
        <w:rPr>
          <w:rFonts w:eastAsia="Arial" w:cs="Arial"/>
          <w:sz w:val="20"/>
          <w:szCs w:val="20"/>
        </w:rPr>
        <w:t xml:space="preserve">Security </w:t>
      </w:r>
    </w:p>
    <w:p>
      <w:pPr>
        <w:numPr>
          <w:ilvl w:val="1"/>
          <w:numId w:val="672"/>
        </w:numPr>
        <w:ind w:left="1440" w:hanging="220"/>
        <w:jc w:val="left"/>
        <w:rPr>
          <w:rFonts w:eastAsia="Arial" w:cs="Arial"/>
          <w:sz w:val="20"/>
          <w:szCs w:val="20"/>
        </w:rPr>
      </w:pPr>
      <w:r>
        <w:rPr>
          <w:rFonts w:eastAsia="Arial" w:cs="Arial"/>
          <w:sz w:val="20"/>
          <w:szCs w:val="20"/>
        </w:rPr>
        <w:t xml:space="preserve">The following steps will be taken to enhance the security of the mobile device: </w:t>
      </w:r>
    </w:p>
    <w:p>
      <w:pPr>
        <w:numPr>
          <w:ilvl w:val="2"/>
          <w:numId w:val="672"/>
        </w:numPr>
        <w:ind w:left="2160" w:hanging="192"/>
        <w:jc w:val="left"/>
        <w:rPr>
          <w:rFonts w:eastAsia="Arial" w:cs="Arial"/>
          <w:sz w:val="20"/>
          <w:szCs w:val="20"/>
        </w:rPr>
      </w:pPr>
      <w:r>
        <w:rPr>
          <w:rFonts w:eastAsia="Arial" w:cs="Arial"/>
          <w:sz w:val="20"/>
          <w:szCs w:val="20"/>
        </w:rPr>
        <w:t>Each employee will password protect their mobile devices, and;</w:t>
      </w:r>
    </w:p>
    <w:p>
      <w:pPr>
        <w:numPr>
          <w:ilvl w:val="2"/>
          <w:numId w:val="672"/>
        </w:numPr>
        <w:spacing w:after="200"/>
        <w:ind w:left="2160" w:hanging="192"/>
        <w:jc w:val="left"/>
        <w:rPr>
          <w:rFonts w:eastAsia="Arial" w:cs="Arial"/>
          <w:sz w:val="20"/>
          <w:szCs w:val="20"/>
        </w:rPr>
      </w:pPr>
      <w:r>
        <w:rPr>
          <w:rFonts w:eastAsia="Arial" w:cs="Arial"/>
          <w:sz w:val="20"/>
          <w:szCs w:val="20"/>
        </w:rPr>
        <w:t>Periodically, KCD remotely will verify the security of the mobile device.</w:t>
      </w:r>
    </w:p>
    <w:p>
      <w:bookmarkEnd w:id="768"/>
      <w:bookmarkStart w:id="769" w:name="Sec_Chp_061016102255750_06101610317"/>
    </w:p>
    <w:p>
      <w:pPr>
        <w:pStyle w:val="Heading3"/>
      </w:pPr>
      <w:bookmarkStart w:id="770" w:name="_Toc256000199"/>
      <w:r>
        <w:t>10.3.17 Annual Personnel Review</w:t>
      </w:r>
      <w:bookmarkEnd w:id="770"/>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conduct or arrange for an annual review of each investment adviser representative of KCD. The annual review will include, at a minimum, the following:</w:t>
      </w:r>
    </w:p>
    <w:p>
      <w:pPr>
        <w:numPr>
          <w:ilvl w:val="0"/>
          <w:numId w:val="673"/>
        </w:numPr>
        <w:spacing w:before="200"/>
        <w:ind w:left="720" w:hanging="192"/>
        <w:jc w:val="left"/>
        <w:rPr>
          <w:rFonts w:eastAsia="Arial" w:cs="Arial"/>
          <w:sz w:val="20"/>
          <w:szCs w:val="20"/>
        </w:rPr>
      </w:pPr>
      <w:r>
        <w:rPr>
          <w:rFonts w:eastAsia="Arial" w:cs="Arial"/>
          <w:sz w:val="20"/>
          <w:szCs w:val="20"/>
        </w:rPr>
        <w:t xml:space="preserve">Ascertaining that applicable license information is current and that all licenses have been renewed; </w:t>
      </w:r>
    </w:p>
    <w:p>
      <w:pPr>
        <w:numPr>
          <w:ilvl w:val="0"/>
          <w:numId w:val="673"/>
        </w:numPr>
        <w:ind w:left="720" w:hanging="192"/>
        <w:jc w:val="left"/>
        <w:rPr>
          <w:rFonts w:eastAsia="Arial" w:cs="Arial"/>
          <w:sz w:val="20"/>
          <w:szCs w:val="20"/>
        </w:rPr>
      </w:pPr>
      <w:r>
        <w:rPr>
          <w:rFonts w:eastAsia="Arial" w:cs="Arial"/>
          <w:sz w:val="20"/>
          <w:szCs w:val="20"/>
        </w:rPr>
        <w:t>Review of qualifications/responsibilities to determine if changes/upgrades are necessary;</w:t>
      </w:r>
    </w:p>
    <w:p>
      <w:pPr>
        <w:numPr>
          <w:ilvl w:val="0"/>
          <w:numId w:val="673"/>
        </w:numPr>
        <w:ind w:left="720" w:hanging="192"/>
        <w:jc w:val="left"/>
        <w:rPr>
          <w:rFonts w:eastAsia="Arial" w:cs="Arial"/>
          <w:sz w:val="20"/>
          <w:szCs w:val="20"/>
        </w:rPr>
      </w:pPr>
      <w:r>
        <w:rPr>
          <w:rFonts w:eastAsia="Arial" w:cs="Arial"/>
          <w:sz w:val="20"/>
          <w:szCs w:val="20"/>
        </w:rPr>
        <w:t>Review of specific education, training and compliance issues;</w:t>
      </w:r>
    </w:p>
    <w:p>
      <w:pPr>
        <w:numPr>
          <w:ilvl w:val="0"/>
          <w:numId w:val="673"/>
        </w:numPr>
        <w:ind w:left="720" w:hanging="192"/>
        <w:jc w:val="left"/>
        <w:rPr>
          <w:rFonts w:eastAsia="Arial" w:cs="Arial"/>
          <w:sz w:val="20"/>
          <w:szCs w:val="20"/>
        </w:rPr>
      </w:pPr>
      <w:r>
        <w:rPr>
          <w:rFonts w:eastAsia="Arial" w:cs="Arial"/>
          <w:sz w:val="20"/>
          <w:szCs w:val="20"/>
        </w:rPr>
        <w:t>Review of activities related to business conducted outside of KCD and personal securities accounts; and</w:t>
      </w:r>
    </w:p>
    <w:p>
      <w:pPr>
        <w:numPr>
          <w:ilvl w:val="0"/>
          <w:numId w:val="673"/>
        </w:numPr>
        <w:spacing w:after="200"/>
        <w:ind w:left="720" w:hanging="192"/>
        <w:jc w:val="left"/>
        <w:rPr>
          <w:rFonts w:eastAsia="Arial" w:cs="Arial"/>
          <w:sz w:val="20"/>
          <w:szCs w:val="20"/>
        </w:rPr>
      </w:pPr>
      <w:r>
        <w:rPr>
          <w:rFonts w:eastAsia="Arial" w:cs="Arial"/>
          <w:sz w:val="20"/>
          <w:szCs w:val="20"/>
        </w:rPr>
        <w:t>Other items as relevant to the individual.</w:t>
      </w:r>
    </w:p>
    <w:p>
      <w:pPr>
        <w:pStyle w:val="normal0"/>
        <w:spacing w:before="200" w:after="200"/>
        <w:rPr>
          <w:rFonts w:eastAsia="Arial" w:cs="Arial"/>
          <w:sz w:val="20"/>
          <w:szCs w:val="20"/>
        </w:rPr>
      </w:pPr>
      <w:r>
        <w:rPr>
          <w:rFonts w:eastAsia="Arial" w:cs="Arial"/>
          <w:sz w:val="20"/>
          <w:szCs w:val="20"/>
        </w:rPr>
        <w:t xml:space="preserve">In addition, the Chief Compliance Officer shall request and require each employee to certify in writing on an annual basis that he or she has: </w:t>
      </w:r>
    </w:p>
    <w:p>
      <w:pPr>
        <w:numPr>
          <w:ilvl w:val="0"/>
          <w:numId w:val="674"/>
        </w:numPr>
        <w:spacing w:before="200"/>
        <w:ind w:left="720" w:hanging="267"/>
        <w:jc w:val="left"/>
        <w:rPr>
          <w:rFonts w:eastAsia="Arial" w:cs="Arial"/>
          <w:sz w:val="20"/>
          <w:szCs w:val="20"/>
        </w:rPr>
      </w:pPr>
      <w:r>
        <w:rPr>
          <w:rFonts w:eastAsia="Arial" w:cs="Arial"/>
          <w:sz w:val="20"/>
          <w:szCs w:val="20"/>
        </w:rPr>
        <w:t>complied with the Compliance Manual and its procedures;</w:t>
      </w:r>
    </w:p>
    <w:p>
      <w:pPr>
        <w:numPr>
          <w:ilvl w:val="0"/>
          <w:numId w:val="674"/>
        </w:numPr>
        <w:ind w:left="720" w:hanging="267"/>
        <w:jc w:val="left"/>
        <w:rPr>
          <w:rFonts w:eastAsia="Arial" w:cs="Arial"/>
          <w:sz w:val="20"/>
          <w:szCs w:val="20"/>
        </w:rPr>
      </w:pPr>
      <w:r>
        <w:rPr>
          <w:rFonts w:eastAsia="Arial" w:cs="Arial"/>
          <w:sz w:val="20"/>
          <w:szCs w:val="20"/>
        </w:rPr>
        <w:t>read and understands the Compliance Manual and its procedures;</w:t>
      </w:r>
    </w:p>
    <w:p>
      <w:pPr>
        <w:numPr>
          <w:ilvl w:val="0"/>
          <w:numId w:val="674"/>
        </w:numPr>
        <w:ind w:left="720" w:hanging="267"/>
        <w:jc w:val="left"/>
        <w:rPr>
          <w:rFonts w:eastAsia="Arial" w:cs="Arial"/>
          <w:sz w:val="20"/>
          <w:szCs w:val="20"/>
        </w:rPr>
      </w:pPr>
      <w:r>
        <w:rPr>
          <w:rFonts w:eastAsia="Arial" w:cs="Arial"/>
          <w:sz w:val="20"/>
          <w:szCs w:val="20"/>
        </w:rPr>
        <w:t>received a copy of KCD's Code of Ethics;</w:t>
      </w:r>
      <w:r>
        <w:rPr>
          <w:rFonts w:eastAsia="Arial" w:cs="Arial"/>
          <w:sz w:val="25"/>
          <w:szCs w:val="25"/>
          <w:vertAlign w:val="superscript"/>
        </w:rPr>
        <w:t>*</w:t>
      </w:r>
    </w:p>
    <w:p>
      <w:pPr>
        <w:numPr>
          <w:ilvl w:val="0"/>
          <w:numId w:val="674"/>
        </w:numPr>
        <w:ind w:left="720" w:hanging="267"/>
        <w:jc w:val="left"/>
        <w:rPr>
          <w:rFonts w:eastAsia="Arial" w:cs="Arial"/>
          <w:sz w:val="20"/>
          <w:szCs w:val="20"/>
        </w:rPr>
      </w:pPr>
      <w:r>
        <w:rPr>
          <w:rFonts w:eastAsia="Arial" w:cs="Arial"/>
          <w:sz w:val="20"/>
          <w:szCs w:val="20"/>
        </w:rPr>
        <w:t>read and understands the Code of Ethics;</w:t>
      </w:r>
      <w:r>
        <w:rPr>
          <w:rFonts w:eastAsia="Arial" w:cs="Arial"/>
          <w:sz w:val="25"/>
          <w:szCs w:val="25"/>
          <w:vertAlign w:val="superscript"/>
        </w:rPr>
        <w:t>*</w:t>
      </w:r>
    </w:p>
    <w:p>
      <w:pPr>
        <w:numPr>
          <w:ilvl w:val="0"/>
          <w:numId w:val="674"/>
        </w:numPr>
        <w:ind w:left="720" w:hanging="267"/>
        <w:jc w:val="left"/>
        <w:rPr>
          <w:rFonts w:eastAsia="Arial" w:cs="Arial"/>
          <w:sz w:val="20"/>
          <w:szCs w:val="20"/>
        </w:rPr>
      </w:pPr>
      <w:r>
        <w:rPr>
          <w:rFonts w:eastAsia="Arial" w:cs="Arial"/>
          <w:sz w:val="20"/>
          <w:szCs w:val="20"/>
        </w:rPr>
        <w:t>disclosed, precleared (if applicable) and reported all transactions in Securities consistent with the requirements of the Code of Ethics;</w:t>
      </w:r>
      <w:r>
        <w:rPr>
          <w:rFonts w:eastAsia="Arial" w:cs="Arial"/>
          <w:sz w:val="25"/>
          <w:szCs w:val="25"/>
          <w:vertAlign w:val="superscript"/>
        </w:rPr>
        <w:t>*</w:t>
      </w:r>
    </w:p>
    <w:p>
      <w:pPr>
        <w:numPr>
          <w:ilvl w:val="0"/>
          <w:numId w:val="674"/>
        </w:numPr>
        <w:ind w:left="720" w:hanging="267"/>
        <w:jc w:val="left"/>
        <w:rPr>
          <w:rFonts w:eastAsia="Arial" w:cs="Arial"/>
          <w:sz w:val="20"/>
          <w:szCs w:val="20"/>
        </w:rPr>
      </w:pPr>
      <w:r>
        <w:rPr>
          <w:rFonts w:eastAsia="Arial" w:cs="Arial"/>
          <w:sz w:val="20"/>
          <w:szCs w:val="20"/>
        </w:rPr>
        <w:t>complied with KCD's guidelines on interaction through social media;</w:t>
      </w:r>
    </w:p>
    <w:p>
      <w:pPr>
        <w:numPr>
          <w:ilvl w:val="0"/>
          <w:numId w:val="674"/>
        </w:numPr>
        <w:ind w:left="720" w:hanging="267"/>
        <w:jc w:val="left"/>
        <w:rPr>
          <w:rFonts w:eastAsia="Arial" w:cs="Arial"/>
          <w:sz w:val="20"/>
          <w:szCs w:val="20"/>
        </w:rPr>
      </w:pPr>
      <w:r>
        <w:rPr>
          <w:rFonts w:eastAsia="Arial" w:cs="Arial"/>
          <w:sz w:val="20"/>
          <w:szCs w:val="20"/>
        </w:rPr>
        <w:t>pre-cleared and reported all political contributions;</w:t>
      </w:r>
    </w:p>
    <w:p>
      <w:pPr>
        <w:numPr>
          <w:ilvl w:val="0"/>
          <w:numId w:val="674"/>
        </w:numPr>
        <w:ind w:left="720" w:hanging="267"/>
        <w:jc w:val="left"/>
        <w:rPr>
          <w:rFonts w:eastAsia="Arial" w:cs="Arial"/>
          <w:sz w:val="20"/>
          <w:szCs w:val="20"/>
        </w:rPr>
      </w:pPr>
      <w:r>
        <w:rPr>
          <w:rFonts w:eastAsia="Arial" w:cs="Arial"/>
          <w:sz w:val="20"/>
          <w:szCs w:val="20"/>
        </w:rPr>
        <w:t>complied with all insider trading procedures;</w:t>
      </w:r>
    </w:p>
    <w:p>
      <w:pPr>
        <w:numPr>
          <w:ilvl w:val="0"/>
          <w:numId w:val="674"/>
        </w:numPr>
        <w:ind w:left="720" w:hanging="267"/>
        <w:jc w:val="left"/>
        <w:rPr>
          <w:rFonts w:eastAsia="Arial" w:cs="Arial"/>
          <w:sz w:val="20"/>
          <w:szCs w:val="20"/>
        </w:rPr>
      </w:pPr>
      <w:r>
        <w:rPr>
          <w:rFonts w:eastAsia="Arial" w:cs="Arial"/>
          <w:sz w:val="20"/>
          <w:szCs w:val="20"/>
        </w:rPr>
        <w:t>complied with KCD's e-mail policy and procedures;</w:t>
      </w:r>
    </w:p>
    <w:p>
      <w:pPr>
        <w:numPr>
          <w:ilvl w:val="0"/>
          <w:numId w:val="674"/>
        </w:numPr>
        <w:ind w:left="720" w:hanging="378"/>
        <w:jc w:val="left"/>
        <w:rPr>
          <w:rFonts w:eastAsia="Arial" w:cs="Arial"/>
          <w:sz w:val="20"/>
          <w:szCs w:val="20"/>
        </w:rPr>
      </w:pPr>
      <w:r>
        <w:rPr>
          <w:rFonts w:eastAsia="Arial" w:cs="Arial"/>
          <w:sz w:val="20"/>
          <w:szCs w:val="20"/>
        </w:rPr>
        <w:t>reported all outside business activities; and</w:t>
      </w:r>
    </w:p>
    <w:p>
      <w:pPr>
        <w:numPr>
          <w:ilvl w:val="0"/>
          <w:numId w:val="674"/>
        </w:numPr>
        <w:spacing w:after="200"/>
        <w:ind w:left="720" w:hanging="378"/>
        <w:jc w:val="left"/>
        <w:rPr>
          <w:rFonts w:eastAsia="Arial" w:cs="Arial"/>
          <w:sz w:val="20"/>
          <w:szCs w:val="20"/>
        </w:rPr>
      </w:pPr>
      <w:r>
        <w:rPr>
          <w:rFonts w:eastAsia="Arial" w:cs="Arial"/>
          <w:sz w:val="20"/>
          <w:szCs w:val="20"/>
        </w:rPr>
        <w:t>complied with all of KCD's gift and entertainment procedures, including those applicable to foreign government officials.</w:t>
      </w:r>
    </w:p>
    <w:p>
      <w:pPr>
        <w:pStyle w:val="normal0"/>
        <w:spacing w:before="200" w:after="200"/>
        <w:rPr>
          <w:rFonts w:eastAsia="Arial" w:cs="Arial"/>
          <w:sz w:val="20"/>
          <w:szCs w:val="20"/>
        </w:rPr>
      </w:pPr>
      <w:r>
        <w:rPr>
          <w:rFonts w:eastAsia="Arial" w:cs="Arial"/>
          <w:sz w:val="25"/>
          <w:szCs w:val="25"/>
          <w:vertAlign w:val="superscript"/>
        </w:rPr>
        <w:t>*</w:t>
      </w:r>
      <w:r>
        <w:rPr>
          <w:rFonts w:eastAsia="Arial" w:cs="Arial"/>
          <w:sz w:val="20"/>
          <w:szCs w:val="20"/>
        </w:rPr>
        <w:t xml:space="preserve"> Applicable only to access persons.</w:t>
      </w:r>
    </w:p>
    <w:p>
      <w:bookmarkEnd w:id="769"/>
    </w:p>
    <w:p>
      <w:pPr>
        <w:pStyle w:val="Heading3"/>
      </w:pPr>
      <w:bookmarkStart w:id="771" w:name="_Toc256000200"/>
      <w:r>
        <w:t>10.3.18 Whistleblowers</w:t>
      </w:r>
      <w:bookmarkEnd w:id="771"/>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The Dodd-Frank Act amended the Securities Exchange Act of 1934 ("Exchange Act") by adding Section 21F, entitled "Securities Whistleblower Incentives and Protection." To implement Section 21F, among other things, the SEC adopted Rule 21F-17 under the Exchange Act, which provides that "no person may take any action to impede an individual from communicating directly with the SEC staff about a possible securities law violation, including enforcing, or threatening to enforce, a confidentiality agreement . . . with respect to such communications." Section 21F does not mandate that investment advisers have whistleblower compliance procedures; however, the SEC Staff has indicated that such procedures are advisable. See "Examining Whistleblower Compliance Procedures," OCIE National Exam Risk Alert (October 24, 2016).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has a Whistleblower Program in place that is administered by its Office of the Whistleblower. Rule 21F-17 provides for significant financial incentives for whistleblowers to report violations of the federal securities laws to the SEC.</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is committed to complying with all applicable federal securities and rules thereunder. While KCD does not encourage frivolous complaints, KCD does expect its officers, employees and agents to report any irregularities and other suspected wrongdoing regarding questionable accounting or auditing matters. It is KCD's policy that its employees may submit complaints of such information on a confidential and anonymous basis without fear of dismissal or retaliation of any kind.</w:t>
      </w:r>
    </w:p>
    <w:p>
      <w:pPr>
        <w:pStyle w:val="normal0"/>
        <w:spacing w:before="200" w:after="200"/>
        <w:rPr>
          <w:rFonts w:eastAsia="Arial" w:cs="Arial"/>
          <w:sz w:val="20"/>
          <w:szCs w:val="20"/>
        </w:rPr>
      </w:pPr>
      <w:r>
        <w:rPr>
          <w:rFonts w:eastAsia="Arial" w:cs="Arial"/>
          <w:sz w:val="20"/>
          <w:szCs w:val="20"/>
        </w:rPr>
        <w:t>All employees are not only expected to, but are required to report their concerns about potentially illegal conduct as well as violations of company policies. It is imperative that supervised persons have the opportunity to report any concerns or suspicions of improper activity at KCD (whether by a supervised person or other party) confidentially and without retaliation.</w:t>
      </w:r>
    </w:p>
    <w:p/>
    <w:p>
      <w:pPr>
        <w:pStyle w:val="Heading4"/>
      </w:pPr>
      <w:r>
        <w:t>10.3.18.1 Prohibited Firm Anti-Whistleblower Policies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This Compliance Manual including its Code of Ethics, an employment agreement and a severance agreement will not contain any provision that:</w:t>
      </w:r>
    </w:p>
    <w:p>
      <w:pPr>
        <w:numPr>
          <w:ilvl w:val="0"/>
          <w:numId w:val="675"/>
        </w:numPr>
        <w:spacing w:before="200"/>
        <w:ind w:left="720" w:hanging="192"/>
        <w:jc w:val="left"/>
        <w:rPr>
          <w:rFonts w:eastAsia="Arial" w:cs="Arial"/>
          <w:sz w:val="20"/>
          <w:szCs w:val="20"/>
        </w:rPr>
      </w:pPr>
      <w:r>
        <w:rPr>
          <w:rFonts w:eastAsia="Arial" w:cs="Arial"/>
          <w:sz w:val="20"/>
          <w:szCs w:val="20"/>
        </w:rPr>
        <w:t>purport to limit the types of information that an employee may convey to the SEC or other authorities;</w:t>
      </w:r>
    </w:p>
    <w:p>
      <w:pPr>
        <w:numPr>
          <w:ilvl w:val="0"/>
          <w:numId w:val="675"/>
        </w:numPr>
        <w:ind w:left="720" w:hanging="192"/>
        <w:jc w:val="left"/>
        <w:rPr>
          <w:rFonts w:eastAsia="Arial" w:cs="Arial"/>
          <w:sz w:val="20"/>
          <w:szCs w:val="20"/>
        </w:rPr>
      </w:pPr>
      <w:r>
        <w:rPr>
          <w:rFonts w:eastAsia="Arial" w:cs="Arial"/>
          <w:sz w:val="20"/>
          <w:szCs w:val="20"/>
        </w:rPr>
        <w:t>require departing employees to waive their rights to any individual monetary recovery in connection with reporting information to the government;</w:t>
      </w:r>
    </w:p>
    <w:p>
      <w:pPr>
        <w:numPr>
          <w:ilvl w:val="0"/>
          <w:numId w:val="675"/>
        </w:numPr>
        <w:ind w:left="720" w:hanging="192"/>
        <w:jc w:val="left"/>
        <w:rPr>
          <w:rFonts w:eastAsia="Arial" w:cs="Arial"/>
          <w:sz w:val="20"/>
          <w:szCs w:val="20"/>
        </w:rPr>
      </w:pPr>
      <w:r>
        <w:rPr>
          <w:rFonts w:eastAsia="Arial" w:cs="Arial"/>
          <w:sz w:val="20"/>
          <w:szCs w:val="20"/>
        </w:rPr>
        <w:t>require an employee to represent that he or she has not assisted in any investigation involving KCD;</w:t>
      </w:r>
    </w:p>
    <w:p>
      <w:pPr>
        <w:numPr>
          <w:ilvl w:val="0"/>
          <w:numId w:val="675"/>
        </w:numPr>
        <w:ind w:left="720" w:hanging="192"/>
        <w:jc w:val="left"/>
        <w:rPr>
          <w:rFonts w:eastAsia="Arial" w:cs="Arial"/>
          <w:sz w:val="20"/>
          <w:szCs w:val="20"/>
        </w:rPr>
      </w:pPr>
      <w:r>
        <w:rPr>
          <w:rFonts w:eastAsia="Arial" w:cs="Arial"/>
          <w:sz w:val="20"/>
          <w:szCs w:val="20"/>
        </w:rPr>
        <w:t>prohibit any and all disclosures of confidential information, without any exception for voluntary communications with the SEC concerning possible securities laws violations; or</w:t>
      </w:r>
    </w:p>
    <w:p>
      <w:pPr>
        <w:numPr>
          <w:ilvl w:val="0"/>
          <w:numId w:val="675"/>
        </w:numPr>
        <w:spacing w:after="200"/>
        <w:ind w:left="720" w:hanging="192"/>
        <w:jc w:val="left"/>
        <w:rPr>
          <w:rFonts w:eastAsia="Arial" w:cs="Arial"/>
          <w:sz w:val="20"/>
          <w:szCs w:val="20"/>
        </w:rPr>
      </w:pPr>
      <w:r>
        <w:rPr>
          <w:rFonts w:eastAsia="Arial" w:cs="Arial"/>
          <w:sz w:val="20"/>
          <w:szCs w:val="20"/>
        </w:rPr>
        <w:t>purport to permit disclosures of confidential information only as required by law, without any exception for voluntary communications with the SEC concerning possible securities laws violations.</w:t>
      </w:r>
    </w:p>
    <w:p/>
    <w:p>
      <w:pPr>
        <w:pStyle w:val="Heading4"/>
      </w:pPr>
      <w:r>
        <w:t>10.3.18.2 Reporting of Violations of Federal Securities Laws</w:t>
      </w:r>
    </w:p>
    <w:p/>
    <w:p>
      <w:pPr>
        <w:rPr>
          <w:rFonts w:eastAsia="Arial" w:cs="Arial"/>
          <w:sz w:val="16"/>
          <w:szCs w:val="16"/>
        </w:rPr>
      </w:pPr>
    </w:p>
    <w:p>
      <w:pPr>
        <w:numPr>
          <w:ilvl w:val="0"/>
          <w:numId w:val="676"/>
        </w:numPr>
        <w:ind w:left="720" w:hanging="267"/>
        <w:jc w:val="left"/>
        <w:rPr>
          <w:rFonts w:eastAsia="Arial" w:cs="Arial"/>
          <w:sz w:val="20"/>
          <w:szCs w:val="20"/>
        </w:rPr>
      </w:pPr>
      <w:r>
        <w:rPr>
          <w:rFonts w:eastAsia="Arial" w:cs="Arial"/>
          <w:sz w:val="20"/>
          <w:szCs w:val="20"/>
        </w:rPr>
        <w:t>A Firm supervised person shall promptly report ("Reporting Person"), and is encouraged to promptly report, to the CCO or his or her designee:</w:t>
      </w:r>
    </w:p>
    <w:p>
      <w:pPr>
        <w:numPr>
          <w:ilvl w:val="1"/>
          <w:numId w:val="676"/>
        </w:numPr>
        <w:ind w:left="1440" w:hanging="220"/>
        <w:jc w:val="left"/>
        <w:rPr>
          <w:rFonts w:eastAsia="Arial" w:cs="Arial"/>
          <w:sz w:val="20"/>
          <w:szCs w:val="20"/>
        </w:rPr>
      </w:pPr>
      <w:r>
        <w:rPr>
          <w:rFonts w:eastAsia="Arial" w:cs="Arial"/>
          <w:sz w:val="20"/>
          <w:szCs w:val="20"/>
        </w:rPr>
        <w:t>a potential violation of any federal securities laws;</w:t>
      </w:r>
    </w:p>
    <w:p>
      <w:pPr>
        <w:numPr>
          <w:ilvl w:val="1"/>
          <w:numId w:val="676"/>
        </w:numPr>
        <w:ind w:left="1440" w:hanging="220"/>
        <w:jc w:val="left"/>
        <w:rPr>
          <w:rFonts w:eastAsia="Arial" w:cs="Arial"/>
          <w:sz w:val="20"/>
          <w:szCs w:val="20"/>
        </w:rPr>
      </w:pPr>
      <w:r>
        <w:rPr>
          <w:rFonts w:eastAsia="Arial" w:cs="Arial"/>
          <w:sz w:val="20"/>
          <w:szCs w:val="20"/>
        </w:rPr>
        <w:t>any misconduct that might result in a potential violation of the federal securities laws; and</w:t>
      </w:r>
    </w:p>
    <w:p>
      <w:pPr>
        <w:numPr>
          <w:ilvl w:val="1"/>
          <w:numId w:val="676"/>
        </w:numPr>
        <w:ind w:left="1440" w:hanging="220"/>
        <w:jc w:val="left"/>
        <w:rPr>
          <w:rFonts w:eastAsia="Arial" w:cs="Arial"/>
          <w:sz w:val="20"/>
          <w:szCs w:val="20"/>
        </w:rPr>
      </w:pPr>
      <w:r>
        <w:rPr>
          <w:rFonts w:eastAsia="Arial" w:cs="Arial"/>
          <w:sz w:val="20"/>
          <w:szCs w:val="20"/>
        </w:rPr>
        <w:t>a breach of fiduciary duty arising under any federal law ("Whistleblower's Report").</w:t>
      </w:r>
    </w:p>
    <w:p>
      <w:pPr>
        <w:numPr>
          <w:ilvl w:val="0"/>
          <w:numId w:val="676"/>
        </w:numPr>
        <w:ind w:left="720" w:hanging="267"/>
        <w:jc w:val="left"/>
        <w:rPr>
          <w:rFonts w:eastAsia="Arial" w:cs="Arial"/>
          <w:sz w:val="20"/>
          <w:szCs w:val="20"/>
        </w:rPr>
      </w:pPr>
      <w:r>
        <w:rPr>
          <w:rFonts w:eastAsia="Arial" w:cs="Arial"/>
          <w:sz w:val="20"/>
          <w:szCs w:val="20"/>
        </w:rPr>
        <w:t>The CCO shall promptly review the Whistleblower's Report and send the Whistleblower's Report with his or her preliminary recommendations to the senior management of KCD or a designated senior manager.</w:t>
      </w:r>
    </w:p>
    <w:p>
      <w:pPr>
        <w:numPr>
          <w:ilvl w:val="0"/>
          <w:numId w:val="676"/>
        </w:numPr>
        <w:ind w:left="720" w:hanging="267"/>
        <w:jc w:val="left"/>
        <w:rPr>
          <w:rFonts w:eastAsia="Arial" w:cs="Arial"/>
          <w:sz w:val="20"/>
          <w:szCs w:val="20"/>
        </w:rPr>
      </w:pPr>
      <w:r>
        <w:rPr>
          <w:rFonts w:eastAsia="Arial" w:cs="Arial"/>
          <w:sz w:val="20"/>
          <w:szCs w:val="20"/>
        </w:rPr>
        <w:t>After review of the Whistleblower Report, Firm senior management or the designated senior manager shall determine, with assistance of outside counsel, whether an internal investigation is warranted.</w:t>
      </w:r>
    </w:p>
    <w:p>
      <w:pPr>
        <w:numPr>
          <w:ilvl w:val="0"/>
          <w:numId w:val="676"/>
        </w:numPr>
        <w:ind w:left="720" w:hanging="267"/>
        <w:jc w:val="left"/>
        <w:rPr>
          <w:rFonts w:eastAsia="Arial" w:cs="Arial"/>
          <w:sz w:val="20"/>
          <w:szCs w:val="20"/>
        </w:rPr>
      </w:pPr>
      <w:r>
        <w:rPr>
          <w:rFonts w:eastAsia="Arial" w:cs="Arial"/>
          <w:sz w:val="20"/>
          <w:szCs w:val="20"/>
        </w:rPr>
        <w:t>If an internal investigation is warranted, the incident shall be investigated within a reasonable timeframe (e.g., 45 days), taking into account the nature and complexity of the reported violation and the issues raised therein.</w:t>
      </w:r>
    </w:p>
    <w:p>
      <w:pPr>
        <w:numPr>
          <w:ilvl w:val="0"/>
          <w:numId w:val="676"/>
        </w:numPr>
        <w:ind w:left="720" w:hanging="267"/>
        <w:jc w:val="left"/>
        <w:rPr>
          <w:rFonts w:eastAsia="Arial" w:cs="Arial"/>
          <w:sz w:val="20"/>
          <w:szCs w:val="20"/>
        </w:rPr>
      </w:pPr>
      <w:r>
        <w:rPr>
          <w:rFonts w:eastAsia="Arial" w:cs="Arial"/>
          <w:sz w:val="20"/>
          <w:szCs w:val="20"/>
        </w:rPr>
        <w:t>After the internal investigation concludes, Firm senior management with assistance of outside counsel, shall determine the proper course of action which may include taking remedial actions and possibly self-reporting of the incident to the SEC. Any actions taken in response to a complaint will be reported to the Reporting Person to the extent allowed by law, unless the complaint was submitted on an anonymous basis.</w:t>
      </w:r>
    </w:p>
    <w:p>
      <w:pPr>
        <w:numPr>
          <w:ilvl w:val="0"/>
          <w:numId w:val="676"/>
        </w:numPr>
        <w:ind w:left="720" w:hanging="267"/>
        <w:jc w:val="left"/>
        <w:rPr>
          <w:rFonts w:eastAsia="Arial" w:cs="Arial"/>
          <w:sz w:val="20"/>
          <w:szCs w:val="20"/>
        </w:rPr>
      </w:pPr>
      <w:r>
        <w:rPr>
          <w:rFonts w:eastAsia="Arial" w:cs="Arial"/>
          <w:sz w:val="20"/>
          <w:szCs w:val="20"/>
        </w:rPr>
        <w:t>If the Reporting Person is not satisfied with the outcome of the investigation or the remedial action taken with respect thereto, if any, he or she may submit directly to Firm senior management for its review a written complaint with an explanation of why the investigation or remedial action was inadequate. Such Reporting Person may submit a revised Whistleblower's Report on an anonymous basis in his or her sole discretion.</w:t>
      </w:r>
    </w:p>
    <w:p>
      <w:pPr>
        <w:numPr>
          <w:ilvl w:val="0"/>
          <w:numId w:val="676"/>
        </w:numPr>
        <w:spacing w:after="200"/>
        <w:ind w:left="720" w:hanging="267"/>
        <w:jc w:val="left"/>
        <w:rPr>
          <w:rFonts w:eastAsia="Arial" w:cs="Arial"/>
          <w:sz w:val="20"/>
          <w:szCs w:val="20"/>
        </w:rPr>
      </w:pPr>
      <w:r>
        <w:rPr>
          <w:rFonts w:eastAsia="Arial" w:cs="Arial"/>
          <w:sz w:val="20"/>
          <w:szCs w:val="20"/>
        </w:rPr>
        <w:t>Firm senior management or a designated senior manager will review the revised Whistleblower's Report, together with documentation of the initial investigation, and determine in its sole discretion if the revised Whistleblower's Report merits further investigation. Senior management will initiate a subsequent investigation to the extent and in the manner it deems appropriate. Firm senior management may enlist employees of KCD and outside legal, accounting and other advisers, as appropriate, to undertake the subsequent investigation. Firm senior management or a designated senior manager will inform the Reporting Person of any remedial action taken in response to his or her revised complaint to the extent allowed by law, unless the company was submitted on an anonymous basis.</w:t>
      </w:r>
    </w:p>
    <w:p/>
    <w:p>
      <w:pPr>
        <w:pStyle w:val="Heading4"/>
      </w:pPr>
      <w:r>
        <w:t>10.3.18.3 Whistleblower Responsibility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Firm supervised person must act in good faith in reporting a complaint, concern or federal securities laws violation and must have reasonable grounds for believing such an incident has occurred. A malicious allegation known to be false is considered a serious offense and will be subject to disciplinary action that may include termination of employment.</w:t>
      </w:r>
    </w:p>
    <w:p/>
    <w:p>
      <w:pPr>
        <w:pStyle w:val="Heading4"/>
      </w:pPr>
      <w:r>
        <w:t>10.3.18.4 Confidentiality of Whistleblower Reports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takes seriously any report regarding a potential violation of policy or other improper or illegal activity, and recognizes the importance of keeping the identity of the reporting person strictly confidential. Supervised persons are to be assured that KCD will appropriately manage all such reported concerns or suspicions of improper activity in a timely and professional manner, confidentially and without retaliation. In order to protect the confidentiality of the supervised person submitting such a report and to enable KCD to conduct a comprehensive investigation of reported misconduct, supervised persons should understand that those individuals responsible for conducting any investigation are generally precluded from communicating information pertaining to the scope and/or status of such reviews.</w:t>
      </w:r>
    </w:p>
    <w:p/>
    <w:p>
      <w:pPr>
        <w:pStyle w:val="Heading4"/>
      </w:pPr>
      <w:r>
        <w:t>10.3.18.5 No Retaliation Policy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This Policy and the related procedures offer protection from retaliation against Firm supervised persons who make any complaint with respect to perceived securities laws violations, provided the complaint is made in good faith. "Good faith" means that the supervised person reporting the securities laws violations has a reasonably held belief that his or her report is true and has not been made either for personal gain or for any ulterior motive. It is KCD's policy that no Reporting Person who submits a Whistleblower's Report made in good faith will not experience retaliation, harassment, or unfavorable or adverse employment consequences. A Firm supervised person who retaliates against a Reporting Person reporting a complaint will be subject to disciplinary action, which may include termination of employment. A Reporting Person who believes he or she has been subject to retaliation or reprisal as a result of reporting a concern or making a complaint is to report such action to the CCO or to KCD's other senior management in the event the concern pertains to the CCO.</w:t>
      </w:r>
    </w:p>
    <w:p>
      <w:bookmarkStart w:id="772" w:name="Sec_Chp_061016102255750_0610161031710319"/>
    </w:p>
    <w:p>
      <w:pPr>
        <w:pStyle w:val="Heading4"/>
      </w:pPr>
      <w:r>
        <w:t>10.3.18.6 Whistleblower Records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and cause to be maintained in a readily accessible place the following records:</w:t>
      </w:r>
    </w:p>
    <w:p>
      <w:pPr>
        <w:numPr>
          <w:ilvl w:val="0"/>
          <w:numId w:val="677"/>
        </w:numPr>
        <w:spacing w:before="200"/>
        <w:ind w:left="720" w:hanging="192"/>
        <w:jc w:val="left"/>
        <w:rPr>
          <w:rFonts w:eastAsia="Arial" w:cs="Arial"/>
          <w:sz w:val="20"/>
          <w:szCs w:val="20"/>
        </w:rPr>
      </w:pPr>
      <w:r>
        <w:rPr>
          <w:rFonts w:eastAsia="Arial" w:cs="Arial"/>
          <w:sz w:val="20"/>
          <w:szCs w:val="20"/>
        </w:rPr>
        <w:t>A copy of each Whistleblower's Report;</w:t>
      </w:r>
    </w:p>
    <w:p>
      <w:pPr>
        <w:numPr>
          <w:ilvl w:val="0"/>
          <w:numId w:val="677"/>
        </w:numPr>
        <w:spacing w:after="200"/>
        <w:ind w:left="720" w:hanging="192"/>
        <w:jc w:val="left"/>
        <w:rPr>
          <w:rFonts w:eastAsia="Arial" w:cs="Arial"/>
          <w:sz w:val="20"/>
          <w:szCs w:val="20"/>
        </w:rPr>
      </w:pPr>
      <w:r>
        <w:rPr>
          <w:rFonts w:eastAsia="Arial" w:cs="Arial"/>
          <w:sz w:val="20"/>
          <w:szCs w:val="20"/>
        </w:rPr>
        <w:t>A record of any decision and reasons supporting such decision related to Firm actions taken with respect to each Whistleblower's Report.</w:t>
      </w:r>
    </w:p>
    <w:p>
      <w:bookmarkEnd w:id="772"/>
    </w:p>
    <w:p>
      <w:pPr>
        <w:pStyle w:val="Heading3"/>
      </w:pPr>
      <w:bookmarkStart w:id="773" w:name="_Toc256000201"/>
      <w:r>
        <w:t>10.3.19 Firm Disciplinary Actions</w:t>
      </w:r>
      <w:bookmarkEnd w:id="773"/>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an employee fails to comply with a procedure in this Compliance Manual or any applicable laws or rules, or engages in unethical or immoral behavior, such employee will be subject to disciplinary action by KCD ranging from a letter of reprimand to termination. An employee who violates a law or rule may be subject to civil or criminal penalties.</w:t>
      </w:r>
    </w:p>
    <w:p>
      <w:pPr>
        <w:pStyle w:val="normal0"/>
        <w:spacing w:before="200" w:after="200"/>
        <w:rPr>
          <w:rFonts w:eastAsia="Arial" w:cs="Arial"/>
          <w:sz w:val="20"/>
          <w:szCs w:val="20"/>
        </w:rPr>
      </w:pPr>
      <w:r>
        <w:rPr>
          <w:rFonts w:eastAsia="Arial" w:cs="Arial"/>
          <w:sz w:val="20"/>
          <w:szCs w:val="20"/>
        </w:rPr>
        <w:t>KCD may take appropriate action based on its sole judgment that the conduct poses reputational risk to KCD, violates a procedure or law or rule, or is unethical. KCD prior to taking disciplinary action shall notify the employee and provide that employee with the opportunity to discuss the incident leading to the matter that is the subject of the possible Firm disciplinary action. KCD when imposing disciplinary action will follow all applicable employment laws including those laws in the jurisdiction where KCD is located.</w:t>
      </w:r>
    </w:p>
    <w:p>
      <w:pPr>
        <w:pStyle w:val="normal0"/>
        <w:spacing w:before="200" w:after="200"/>
        <w:rPr>
          <w:rFonts w:eastAsia="Arial" w:cs="Arial"/>
          <w:sz w:val="20"/>
          <w:szCs w:val="20"/>
        </w:rPr>
      </w:pPr>
      <w:r>
        <w:rPr>
          <w:rFonts w:eastAsia="Arial" w:cs="Arial"/>
          <w:sz w:val="20"/>
          <w:szCs w:val="20"/>
        </w:rPr>
        <w:t>An employee who suspects that he or she may have committed a violation that could lead to a disciplinary action may self-report, and is encouraged to self-report, such action. Such self-reporting will be considered by KCD, which may adjust the proposed sanction favorably for the employee.</w:t>
      </w:r>
    </w:p>
    <w:p>
      <w:bookmarkStart w:id="774" w:name="Sec_Chp_061016102255750_0610161031710320"/>
    </w:p>
    <w:p>
      <w:pPr>
        <w:pStyle w:val="Heading3"/>
      </w:pPr>
      <w:bookmarkStart w:id="775" w:name="_Toc256000202"/>
      <w:r>
        <w:t>10.3.20 Alternative Data</w:t>
      </w:r>
      <w:bookmarkEnd w:id="775"/>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and its investment professionals may only use alternative data in a manner that is consistent with these procedures.</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"Alternative data" refers to many different types of information increasingly used in financial analysis, beyond traditional financial statements, company filings, and press releases. Alternative data does not necessarily contain material non-public information (MNPI). Examples of "alternative data" include information gleaned from satellite and drone imagery of crop fields and retailers' parking lots, analyses of aggregate credit card transactions, social media and internet search data, geolocation data from consumers' mobile phones, and email data obtained from apps and tools that consumers may utilize. </w:t>
            </w:r>
          </w:p>
        </w:tc>
      </w:tr>
    </w:tbl>
    <w:p>
      <w:pPr>
        <w:rPr>
          <w:rFonts w:eastAsia="Arial" w:cs="Arial"/>
          <w:sz w:val="20"/>
          <w:szCs w:val="20"/>
        </w:rPr>
      </w:pPr>
    </w:p>
    <w:p>
      <w:pPr>
        <w:numPr>
          <w:ilvl w:val="0"/>
          <w:numId w:val="678"/>
        </w:numPr>
        <w:spacing w:before="200"/>
        <w:ind w:left="720" w:hanging="267"/>
        <w:jc w:val="left"/>
        <w:rPr>
          <w:rFonts w:eastAsia="Arial" w:cs="Arial"/>
          <w:sz w:val="20"/>
          <w:szCs w:val="20"/>
        </w:rPr>
      </w:pPr>
      <w:r>
        <w:rPr>
          <w:rFonts w:eastAsia="Arial" w:cs="Arial"/>
          <w:sz w:val="20"/>
          <w:szCs w:val="20"/>
        </w:rPr>
        <w:t>Prior to contracting for or otherwise acquiring alternative data from a vendor, KCD will perform due diligence on the vendor and create and maintain records of such due diligence. In performing such due diligence, KCD will use a standard questionnaire developed by KCD so that its due diligence efforts are consistent across all alternative data vendors;</w:t>
      </w:r>
    </w:p>
    <w:p>
      <w:pPr>
        <w:numPr>
          <w:ilvl w:val="0"/>
          <w:numId w:val="678"/>
        </w:numPr>
        <w:ind w:left="720" w:hanging="267"/>
        <w:jc w:val="left"/>
        <w:rPr>
          <w:rFonts w:eastAsia="Arial" w:cs="Arial"/>
          <w:sz w:val="20"/>
          <w:szCs w:val="20"/>
        </w:rPr>
      </w:pPr>
      <w:r>
        <w:rPr>
          <w:rFonts w:eastAsia="Arial" w:cs="Arial"/>
          <w:sz w:val="20"/>
          <w:szCs w:val="20"/>
        </w:rPr>
        <w:t>KCD shall maintain and keep updated a list of all alternative data vendors;</w:t>
      </w:r>
    </w:p>
    <w:p>
      <w:pPr>
        <w:numPr>
          <w:ilvl w:val="0"/>
          <w:numId w:val="678"/>
        </w:numPr>
        <w:ind w:left="720" w:hanging="267"/>
        <w:jc w:val="left"/>
        <w:rPr>
          <w:rFonts w:eastAsia="Arial" w:cs="Arial"/>
          <w:sz w:val="20"/>
          <w:szCs w:val="20"/>
        </w:rPr>
      </w:pPr>
      <w:r>
        <w:rPr>
          <w:rFonts w:eastAsia="Arial" w:cs="Arial"/>
          <w:sz w:val="20"/>
          <w:szCs w:val="20"/>
        </w:rPr>
        <w:t>Periodically, KCD shall re-perform due diligence on each alternative data vendor;</w:t>
      </w:r>
    </w:p>
    <w:p>
      <w:pPr>
        <w:numPr>
          <w:ilvl w:val="0"/>
          <w:numId w:val="678"/>
        </w:numPr>
        <w:ind w:left="720" w:hanging="267"/>
        <w:jc w:val="left"/>
        <w:rPr>
          <w:rFonts w:eastAsia="Arial" w:cs="Arial"/>
          <w:sz w:val="20"/>
          <w:szCs w:val="20"/>
        </w:rPr>
      </w:pPr>
      <w:r>
        <w:rPr>
          <w:rFonts w:eastAsia="Arial" w:cs="Arial"/>
          <w:sz w:val="20"/>
          <w:szCs w:val="20"/>
        </w:rPr>
        <w:t>KCD shall only obtain alternative data from a vendor if obtaining such data is lawful including not causing a violation of insider trading laws by using MPNI or aiding and abetting in violations of such laws; and</w:t>
      </w:r>
    </w:p>
    <w:p>
      <w:pPr>
        <w:numPr>
          <w:ilvl w:val="0"/>
          <w:numId w:val="678"/>
        </w:numPr>
        <w:spacing w:after="200"/>
        <w:ind w:left="720" w:hanging="267"/>
        <w:jc w:val="left"/>
        <w:rPr>
          <w:rFonts w:eastAsia="Arial" w:cs="Arial"/>
          <w:sz w:val="20"/>
          <w:szCs w:val="20"/>
        </w:rPr>
      </w:pPr>
      <w:r>
        <w:rPr>
          <w:rFonts w:eastAsia="Arial" w:cs="Arial"/>
          <w:sz w:val="20"/>
          <w:szCs w:val="20"/>
        </w:rPr>
        <w:t>When a Firm employee becomes suspicious of or questions the legal propriety of obtaining any given alternative data or the vendor supplying such data, he or she shall promptly contact the Chief Compliance Officer to address the suspicious activities and any red flags presented by such an arrangement.</w:t>
      </w:r>
    </w:p>
    <w:p>
      <w:bookmarkEnd w:id="774"/>
      <w:bookmarkStart w:id="776" w:name="Sec_Chp_061016102255750_0610032021223"/>
    </w:p>
    <w:p>
      <w:pPr>
        <w:pStyle w:val="Heading3"/>
      </w:pPr>
      <w:bookmarkStart w:id="777" w:name="_Toc256000203"/>
      <w:r>
        <w:t>10.3.21 Value Added Clients</w:t>
      </w:r>
      <w:bookmarkEnd w:id="777"/>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from time to time have value-added clients who have the potential to possess material non-public inside information (MNPI). These procedures govern those relationships.</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"Value-added client" refers to clients that are corporate executives or financial professional investors who may have MNPI. The term can be understood to cover those clients who are corporate officers or directors of public companies, private fund executives, or brokerage executives. While the SEC refers to "value-added investors" when discussing MNPI issues raised by relationships with such persons, the term "value-added client" is used in these procedures since issues raised by such persons can occur when such person is either an investor in a fund advised by KCD or a separately managed account client of KCD.</w:t>
            </w:r>
          </w:p>
        </w:tc>
      </w:tr>
    </w:tbl>
    <w:p>
      <w:pPr>
        <w:rPr>
          <w:rFonts w:eastAsia="Arial" w:cs="Arial"/>
          <w:sz w:val="20"/>
          <w:szCs w:val="20"/>
        </w:rPr>
      </w:pPr>
    </w:p>
    <w:p>
      <w:pPr>
        <w:numPr>
          <w:ilvl w:val="0"/>
          <w:numId w:val="679"/>
        </w:numPr>
        <w:spacing w:before="200"/>
        <w:ind w:left="720" w:hanging="267"/>
        <w:jc w:val="left"/>
        <w:rPr>
          <w:rFonts w:eastAsia="Arial" w:cs="Arial"/>
          <w:sz w:val="20"/>
          <w:szCs w:val="20"/>
        </w:rPr>
      </w:pPr>
      <w:r>
        <w:rPr>
          <w:rFonts w:eastAsia="Arial" w:cs="Arial"/>
          <w:sz w:val="20"/>
          <w:szCs w:val="20"/>
        </w:rPr>
        <w:t>KCD shall maintain and keep up to date a list of all of its value-added clients;</w:t>
      </w:r>
    </w:p>
    <w:p>
      <w:pPr>
        <w:numPr>
          <w:ilvl w:val="0"/>
          <w:numId w:val="679"/>
        </w:numPr>
        <w:ind w:left="720" w:hanging="267"/>
        <w:jc w:val="left"/>
        <w:rPr>
          <w:rFonts w:eastAsia="Arial" w:cs="Arial"/>
          <w:sz w:val="20"/>
          <w:szCs w:val="20"/>
        </w:rPr>
      </w:pPr>
      <w:r>
        <w:rPr>
          <w:rFonts w:eastAsia="Arial" w:cs="Arial"/>
          <w:sz w:val="20"/>
          <w:szCs w:val="20"/>
        </w:rPr>
        <w:t>Periodically KCD will conduct Internet or other types of searches to identify whether clients are value-added clients and, if so, add them to KCD's list of value-added clients;</w:t>
      </w:r>
    </w:p>
    <w:p>
      <w:pPr>
        <w:numPr>
          <w:ilvl w:val="0"/>
          <w:numId w:val="679"/>
        </w:numPr>
        <w:ind w:left="720" w:hanging="267"/>
        <w:jc w:val="left"/>
        <w:rPr>
          <w:rFonts w:eastAsia="Arial" w:cs="Arial"/>
          <w:sz w:val="20"/>
          <w:szCs w:val="20"/>
        </w:rPr>
      </w:pPr>
      <w:r>
        <w:rPr>
          <w:rFonts w:eastAsia="Arial" w:cs="Arial"/>
          <w:sz w:val="20"/>
          <w:szCs w:val="20"/>
        </w:rPr>
        <w:t>KCD recognizes that value-added clients have more potential to possess MNPI than other Firm clients and thus the advisory-client relationship of such person imposes a higher degree of potential prohibited trading by KCD on the basis of MNPI;</w:t>
      </w:r>
    </w:p>
    <w:p>
      <w:pPr>
        <w:numPr>
          <w:ilvl w:val="0"/>
          <w:numId w:val="679"/>
        </w:numPr>
        <w:ind w:left="720" w:hanging="267"/>
        <w:jc w:val="left"/>
        <w:rPr>
          <w:rFonts w:eastAsia="Arial" w:cs="Arial"/>
          <w:sz w:val="20"/>
          <w:szCs w:val="20"/>
        </w:rPr>
      </w:pPr>
      <w:r>
        <w:rPr>
          <w:rFonts w:eastAsia="Arial" w:cs="Arial"/>
          <w:sz w:val="20"/>
          <w:szCs w:val="20"/>
        </w:rPr>
        <w:t>KCD shall instruct all investment personnel about the risks of communicating with value-added clients;</w:t>
      </w:r>
    </w:p>
    <w:p>
      <w:pPr>
        <w:numPr>
          <w:ilvl w:val="0"/>
          <w:numId w:val="679"/>
        </w:numPr>
        <w:ind w:left="720" w:hanging="267"/>
        <w:jc w:val="left"/>
        <w:rPr>
          <w:rFonts w:eastAsia="Arial" w:cs="Arial"/>
          <w:sz w:val="20"/>
          <w:szCs w:val="20"/>
        </w:rPr>
      </w:pPr>
      <w:r>
        <w:rPr>
          <w:rFonts w:eastAsia="Arial" w:cs="Arial"/>
          <w:sz w:val="20"/>
          <w:szCs w:val="20"/>
        </w:rPr>
        <w:t>All employees who have contact with value-added clients shall document such contacts including the date of communications with the value-added clients, the company that employs the value-added client, his or her position at such company, and what was communicated by the value-added client;</w:t>
      </w:r>
    </w:p>
    <w:p>
      <w:pPr>
        <w:numPr>
          <w:ilvl w:val="0"/>
          <w:numId w:val="679"/>
        </w:numPr>
        <w:ind w:left="720" w:hanging="267"/>
        <w:jc w:val="left"/>
        <w:rPr>
          <w:rFonts w:eastAsia="Arial" w:cs="Arial"/>
          <w:sz w:val="20"/>
          <w:szCs w:val="20"/>
        </w:rPr>
      </w:pPr>
      <w:r>
        <w:rPr>
          <w:rFonts w:eastAsia="Arial" w:cs="Arial"/>
          <w:sz w:val="20"/>
          <w:szCs w:val="20"/>
        </w:rPr>
        <w:t>The Chief Compliance Officer periodically shall review emails with value-added clients for any suspicious communications; and</w:t>
      </w:r>
    </w:p>
    <w:p>
      <w:pPr>
        <w:numPr>
          <w:ilvl w:val="0"/>
          <w:numId w:val="679"/>
        </w:numPr>
        <w:spacing w:after="200"/>
        <w:ind w:left="720" w:hanging="267"/>
        <w:jc w:val="left"/>
        <w:rPr>
          <w:rFonts w:eastAsia="Arial" w:cs="Arial"/>
          <w:sz w:val="20"/>
          <w:szCs w:val="20"/>
        </w:rPr>
      </w:pPr>
      <w:r>
        <w:rPr>
          <w:rFonts w:eastAsia="Arial" w:cs="Arial"/>
          <w:sz w:val="20"/>
          <w:szCs w:val="20"/>
        </w:rPr>
        <w:t>The Chief Compliance Officer shall review all client and firm trading in securities of issuers that are associated with KCD's value-added clients with special emphasis on public announcements by the issuers at or around Firm contact with the value added client.</w:t>
      </w:r>
    </w:p>
    <w:p>
      <w:bookmarkEnd w:id="776"/>
      <w:bookmarkStart w:id="778" w:name="Sec_Chp_061016102255750_187877"/>
    </w:p>
    <w:p>
      <w:pPr>
        <w:pStyle w:val="Heading3"/>
      </w:pPr>
      <w:bookmarkStart w:id="779" w:name="_Toc256000204"/>
      <w:r>
        <w:t>10.3.22 Offboarding and Former Employees</w:t>
      </w:r>
      <w:bookmarkEnd w:id="779"/>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an employee terminating his or her relationship with KCD, the Chief Compliance Officer or designee will:</w:t>
      </w:r>
    </w:p>
    <w:p>
      <w:pPr>
        <w:numPr>
          <w:ilvl w:val="0"/>
          <w:numId w:val="680"/>
        </w:numPr>
        <w:spacing w:before="200"/>
        <w:ind w:left="720" w:hanging="192"/>
        <w:jc w:val="left"/>
        <w:rPr>
          <w:rFonts w:eastAsia="Arial" w:cs="Arial"/>
          <w:sz w:val="20"/>
          <w:szCs w:val="20"/>
        </w:rPr>
      </w:pPr>
      <w:r>
        <w:rPr>
          <w:rFonts w:eastAsia="Arial" w:cs="Arial"/>
          <w:sz w:val="20"/>
          <w:szCs w:val="20"/>
        </w:rPr>
        <w:t>perform an exit interview;</w:t>
      </w:r>
    </w:p>
    <w:p>
      <w:pPr>
        <w:numPr>
          <w:ilvl w:val="0"/>
          <w:numId w:val="680"/>
        </w:numPr>
        <w:ind w:left="720" w:hanging="192"/>
        <w:jc w:val="left"/>
        <w:rPr>
          <w:rFonts w:eastAsia="Arial" w:cs="Arial"/>
          <w:sz w:val="20"/>
          <w:szCs w:val="20"/>
        </w:rPr>
      </w:pPr>
      <w:r>
        <w:rPr>
          <w:rFonts w:eastAsia="Arial" w:cs="Arial"/>
          <w:sz w:val="20"/>
          <w:szCs w:val="20"/>
        </w:rPr>
        <w:t>obtain from the departing employee his or her new contact information; and</w:t>
      </w:r>
    </w:p>
    <w:p>
      <w:pPr>
        <w:numPr>
          <w:ilvl w:val="0"/>
          <w:numId w:val="680"/>
        </w:numPr>
        <w:spacing w:after="200"/>
        <w:ind w:left="720" w:hanging="192"/>
        <w:jc w:val="left"/>
        <w:rPr>
          <w:rFonts w:eastAsia="Arial" w:cs="Arial"/>
          <w:sz w:val="20"/>
          <w:szCs w:val="20"/>
        </w:rPr>
      </w:pPr>
      <w:r>
        <w:rPr>
          <w:rFonts w:eastAsia="Arial" w:cs="Arial"/>
          <w:sz w:val="20"/>
          <w:szCs w:val="20"/>
        </w:rPr>
        <w:t>obtain from the departing employee all firm equipment he or she may have.</w:t>
      </w:r>
    </w:p>
    <w:p>
      <w:pPr>
        <w:pStyle w:val="normal0"/>
        <w:spacing w:before="200" w:after="200"/>
        <w:rPr>
          <w:rFonts w:eastAsia="Arial" w:cs="Arial"/>
          <w:sz w:val="20"/>
          <w:szCs w:val="20"/>
        </w:rPr>
      </w:pPr>
      <w:r>
        <w:rPr>
          <w:rFonts w:eastAsia="Arial" w:cs="Arial"/>
          <w:sz w:val="20"/>
          <w:szCs w:val="20"/>
        </w:rPr>
        <w:t>KCD shall take the following steps when offboarding employees:</w:t>
      </w:r>
    </w:p>
    <w:p>
      <w:pPr>
        <w:numPr>
          <w:ilvl w:val="0"/>
          <w:numId w:val="681"/>
        </w:numPr>
        <w:spacing w:before="200"/>
        <w:ind w:left="720" w:hanging="192"/>
        <w:jc w:val="left"/>
        <w:rPr>
          <w:rFonts w:eastAsia="Arial" w:cs="Arial"/>
          <w:sz w:val="20"/>
          <w:szCs w:val="20"/>
        </w:rPr>
      </w:pPr>
      <w:r>
        <w:rPr>
          <w:rFonts w:eastAsia="Arial" w:cs="Arial"/>
          <w:sz w:val="20"/>
          <w:szCs w:val="20"/>
        </w:rPr>
        <w:t>Maintain a list of former employees;</w:t>
      </w:r>
    </w:p>
    <w:p>
      <w:pPr>
        <w:numPr>
          <w:ilvl w:val="0"/>
          <w:numId w:val="681"/>
        </w:numPr>
        <w:ind w:left="720" w:hanging="192"/>
        <w:jc w:val="left"/>
        <w:rPr>
          <w:rFonts w:eastAsia="Arial" w:cs="Arial"/>
          <w:sz w:val="20"/>
          <w:szCs w:val="20"/>
        </w:rPr>
      </w:pPr>
      <w:r>
        <w:rPr>
          <w:rFonts w:eastAsia="Arial" w:cs="Arial"/>
          <w:sz w:val="20"/>
          <w:szCs w:val="20"/>
        </w:rPr>
        <w:t>Inform current officers and employees of KCD promptly after learning that an employee will be departing;</w:t>
      </w:r>
    </w:p>
    <w:p>
      <w:pPr>
        <w:numPr>
          <w:ilvl w:val="0"/>
          <w:numId w:val="681"/>
        </w:numPr>
        <w:ind w:left="720" w:hanging="192"/>
        <w:jc w:val="left"/>
        <w:rPr>
          <w:rFonts w:eastAsia="Arial" w:cs="Arial"/>
          <w:sz w:val="20"/>
          <w:szCs w:val="20"/>
        </w:rPr>
      </w:pPr>
      <w:r>
        <w:rPr>
          <w:rFonts w:eastAsia="Arial" w:cs="Arial"/>
          <w:sz w:val="20"/>
          <w:szCs w:val="20"/>
        </w:rPr>
        <w:t>Update KCD's organizational chart;</w:t>
      </w:r>
    </w:p>
    <w:p>
      <w:pPr>
        <w:numPr>
          <w:ilvl w:val="0"/>
          <w:numId w:val="681"/>
        </w:numPr>
        <w:ind w:left="720" w:hanging="192"/>
        <w:jc w:val="left"/>
        <w:rPr>
          <w:rFonts w:eastAsia="Arial" w:cs="Arial"/>
          <w:sz w:val="20"/>
          <w:szCs w:val="20"/>
        </w:rPr>
      </w:pPr>
      <w:r>
        <w:rPr>
          <w:rFonts w:eastAsia="Arial" w:cs="Arial"/>
          <w:sz w:val="20"/>
          <w:szCs w:val="20"/>
        </w:rPr>
        <w:t>Amend Form ADV within the required timeframe;</w:t>
      </w:r>
    </w:p>
    <w:p>
      <w:pPr>
        <w:numPr>
          <w:ilvl w:val="0"/>
          <w:numId w:val="681"/>
        </w:numPr>
        <w:ind w:left="720" w:hanging="192"/>
        <w:jc w:val="left"/>
        <w:rPr>
          <w:rFonts w:eastAsia="Arial" w:cs="Arial"/>
          <w:sz w:val="20"/>
          <w:szCs w:val="20"/>
        </w:rPr>
      </w:pPr>
      <w:r>
        <w:rPr>
          <w:rFonts w:eastAsia="Arial" w:cs="Arial"/>
          <w:sz w:val="20"/>
          <w:szCs w:val="20"/>
        </w:rPr>
        <w:t>File a U-5 with FINRA if applicable, and</w:t>
      </w:r>
    </w:p>
    <w:p>
      <w:pPr>
        <w:numPr>
          <w:ilvl w:val="0"/>
          <w:numId w:val="681"/>
        </w:numPr>
        <w:spacing w:after="200"/>
        <w:ind w:left="720" w:hanging="192"/>
        <w:jc w:val="left"/>
        <w:rPr>
          <w:rFonts w:eastAsia="Arial" w:cs="Arial"/>
          <w:sz w:val="20"/>
          <w:szCs w:val="20"/>
        </w:rPr>
      </w:pPr>
      <w:r>
        <w:rPr>
          <w:rFonts w:eastAsia="Arial" w:cs="Arial"/>
          <w:sz w:val="20"/>
          <w:szCs w:val="20"/>
        </w:rPr>
        <w:t>Revoke such employee's access to KCD's computer systems.</w:t>
      </w:r>
    </w:p>
    <w:p>
      <w:bookmarkEnd w:id="778"/>
      <w:bookmarkStart w:id="780" w:name="Sec_Chp_061016102255750_061016102256812"/>
    </w:p>
    <w:p>
      <w:pPr>
        <w:pStyle w:val="Heading2"/>
      </w:pPr>
      <w:bookmarkStart w:id="781" w:name="_Toc256000205"/>
      <w:r>
        <w:t>10.4 Form ADV Disclosure</w:t>
      </w:r>
      <w:bookmarkEnd w:id="781"/>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will cause KCD to briefly describe in its Brochure (Part 2A) the employee trading policies and procedures. This disclosure should describe the conflict of interests between KCD and its clients with respect to investment opportunities and how KCD addresses these conflicts. </w:t>
      </w:r>
    </w:p>
    <w:p>
      <w:pPr>
        <w:pStyle w:val="normal0"/>
        <w:spacing w:before="200" w:after="200"/>
        <w:rPr>
          <w:rFonts w:eastAsia="Arial" w:cs="Arial"/>
          <w:sz w:val="20"/>
          <w:szCs w:val="20"/>
        </w:rPr>
      </w:pPr>
      <w:r>
        <w:rPr>
          <w:rFonts w:eastAsia="Arial" w:cs="Arial"/>
          <w:sz w:val="20"/>
          <w:szCs w:val="20"/>
        </w:rPr>
        <w:t>If KCD engages in pay-to-play activities, it will disclose the nature of activities in its Brochure (Part 2A), including the fact that KCD contributes money to political officials or candidates of government entities while KCD is managing the assets, or seeking to manage the assets, of such government entities.</w:t>
      </w:r>
    </w:p>
    <w:p>
      <w:bookmarkEnd w:id="780"/>
      <w:bookmarkStart w:id="782" w:name="Sec_Chp_061016102255750_0610161022105"/>
    </w:p>
    <w:p>
      <w:pPr>
        <w:pStyle w:val="Heading2"/>
      </w:pPr>
      <w:bookmarkStart w:id="783" w:name="_Toc256000206"/>
      <w:r>
        <w:t>10.5 Books and Records</w:t>
      </w:r>
      <w:bookmarkEnd w:id="783"/>
    </w:p>
    <w:p/>
    <w:p>
      <w:pPr>
        <w:rPr>
          <w:rFonts w:eastAsia="Arial" w:cs="Arial"/>
          <w:sz w:val="16"/>
          <w:szCs w:val="16"/>
        </w:rPr>
      </w:pPr>
      <w:r>
        <w:rPr>
          <w:rFonts w:eastAsia="Arial" w:cs="Arial"/>
          <w:sz w:val="16"/>
          <w:szCs w:val="16"/>
        </w:rPr>
        <w:t>[Investment Advisers Act of 1940 Rule 204-2(a)(13), 204A-1, 204A-1(a)(5), 204A-1(b) and 204A-1(c)]</w:t>
      </w:r>
    </w:p>
    <w:p/>
    <w:p>
      <w:pPr>
        <w:pStyle w:val="normal0"/>
        <w:spacing w:after="200"/>
        <w:rPr>
          <w:rFonts w:eastAsia="Arial" w:cs="Arial"/>
          <w:sz w:val="20"/>
          <w:szCs w:val="20"/>
        </w:rPr>
      </w:pPr>
      <w:r>
        <w:rPr>
          <w:rFonts w:eastAsia="Arial" w:cs="Arial"/>
          <w:sz w:val="20"/>
          <w:szCs w:val="20"/>
        </w:rPr>
        <w:t xml:space="preserve">The following employee-related records shall be maintained by KCD: </w:t>
      </w:r>
    </w:p>
    <w:p>
      <w:bookmarkEnd w:id="782"/>
      <w:bookmarkStart w:id="784" w:name="Sec_Chp_061016102255750_06101610221051"/>
    </w:p>
    <w:p>
      <w:pPr>
        <w:pStyle w:val="Heading3"/>
      </w:pPr>
      <w:bookmarkStart w:id="785" w:name="_Toc256000207"/>
      <w:r>
        <w:t>10.5.1 Code of Ethics Records</w:t>
      </w:r>
      <w:bookmarkEnd w:id="785"/>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maintain in its Employees Procedures books and records the following records related to each Access Person's personal securities trades:</w:t>
      </w:r>
    </w:p>
    <w:p>
      <w:pPr>
        <w:numPr>
          <w:ilvl w:val="0"/>
          <w:numId w:val="682"/>
        </w:numPr>
        <w:spacing w:before="200"/>
        <w:ind w:left="720" w:hanging="192"/>
        <w:jc w:val="left"/>
        <w:rPr>
          <w:rFonts w:eastAsia="Arial" w:cs="Arial"/>
          <w:sz w:val="20"/>
          <w:szCs w:val="20"/>
        </w:rPr>
      </w:pPr>
      <w:r>
        <w:rPr>
          <w:rFonts w:eastAsia="Arial" w:cs="Arial"/>
          <w:sz w:val="20"/>
          <w:szCs w:val="20"/>
        </w:rPr>
        <w:t xml:space="preserve">A copy of KCD's code of ethics adopted and implemented pursuant to Rule 204A-1 that is in effect or at any time within the past five years was in effect; </w:t>
      </w:r>
    </w:p>
    <w:p>
      <w:pPr>
        <w:numPr>
          <w:ilvl w:val="0"/>
          <w:numId w:val="682"/>
        </w:numPr>
        <w:ind w:left="720" w:hanging="192"/>
        <w:jc w:val="left"/>
        <w:rPr>
          <w:rFonts w:eastAsia="Arial" w:cs="Arial"/>
          <w:sz w:val="20"/>
          <w:szCs w:val="20"/>
        </w:rPr>
      </w:pPr>
      <w:r>
        <w:rPr>
          <w:rFonts w:eastAsia="Arial" w:cs="Arial"/>
          <w:sz w:val="20"/>
          <w:szCs w:val="20"/>
        </w:rPr>
        <w:t xml:space="preserve">A record of any violation of the code of ethics and of any action taken as a result of the violation; </w:t>
      </w:r>
    </w:p>
    <w:p>
      <w:pPr>
        <w:numPr>
          <w:ilvl w:val="0"/>
          <w:numId w:val="682"/>
        </w:numPr>
        <w:ind w:left="720" w:hanging="192"/>
        <w:jc w:val="left"/>
        <w:rPr>
          <w:rFonts w:eastAsia="Arial" w:cs="Arial"/>
          <w:sz w:val="20"/>
          <w:szCs w:val="20"/>
        </w:rPr>
      </w:pPr>
      <w:r>
        <w:rPr>
          <w:rFonts w:eastAsia="Arial" w:cs="Arial"/>
          <w:sz w:val="20"/>
          <w:szCs w:val="20"/>
        </w:rPr>
        <w:t xml:space="preserve">A record of all written acknowledgments as required by Rule 204A-1(a)(5) for each person who is currently, or within the past five years was, a supervised person of KCD; </w:t>
      </w:r>
    </w:p>
    <w:p>
      <w:pPr>
        <w:numPr>
          <w:ilvl w:val="0"/>
          <w:numId w:val="682"/>
        </w:numPr>
        <w:ind w:left="720" w:hanging="192"/>
        <w:jc w:val="left"/>
        <w:rPr>
          <w:rFonts w:eastAsia="Arial" w:cs="Arial"/>
          <w:sz w:val="20"/>
          <w:szCs w:val="20"/>
        </w:rPr>
      </w:pPr>
      <w:r>
        <w:rPr>
          <w:rFonts w:eastAsia="Arial" w:cs="Arial"/>
          <w:sz w:val="20"/>
          <w:szCs w:val="20"/>
        </w:rPr>
        <w:t xml:space="preserve">A record of each report made by an access person as required by Rule 204A-1(b), including any information provided under paragraph (b)(3)(iii) of that rule in lieu of such reports; </w:t>
      </w:r>
    </w:p>
    <w:p>
      <w:pPr>
        <w:numPr>
          <w:ilvl w:val="0"/>
          <w:numId w:val="682"/>
        </w:numPr>
        <w:ind w:left="720" w:hanging="192"/>
        <w:jc w:val="left"/>
        <w:rPr>
          <w:rFonts w:eastAsia="Arial" w:cs="Arial"/>
          <w:sz w:val="20"/>
          <w:szCs w:val="20"/>
        </w:rPr>
      </w:pPr>
      <w:r>
        <w:rPr>
          <w:rFonts w:eastAsia="Arial" w:cs="Arial"/>
          <w:sz w:val="20"/>
          <w:szCs w:val="20"/>
        </w:rPr>
        <w:t>A record of the names of persons who are currently, or within the past five years were, access persons of the investment adviser; and</w:t>
      </w:r>
    </w:p>
    <w:p>
      <w:pPr>
        <w:numPr>
          <w:ilvl w:val="0"/>
          <w:numId w:val="682"/>
        </w:numPr>
        <w:spacing w:after="200"/>
        <w:ind w:left="720" w:hanging="192"/>
        <w:jc w:val="left"/>
        <w:rPr>
          <w:rFonts w:eastAsia="Arial" w:cs="Arial"/>
          <w:sz w:val="20"/>
          <w:szCs w:val="20"/>
        </w:rPr>
      </w:pPr>
      <w:r>
        <w:rPr>
          <w:rFonts w:eastAsia="Arial" w:cs="Arial"/>
          <w:sz w:val="20"/>
          <w:szCs w:val="20"/>
        </w:rPr>
        <w:t>A record of any decision, and the reasons supporting the decision, to approve the acquisition of securities by access persons under Rule 204A-1(c) for at least five years after the end of the fiscal year in which the approval is granted.</w:t>
      </w: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Pr>
      <w:tblGrid>
        <w:gridCol w:w="9920"/>
      </w:tblGrid>
      <w:tr>
        <w:tblPrEx>
          <w:tblW w:w="5000" w:type="pct"/>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KCD should note that it shall not be deemed to have violated the provisions of this section or paragraph (a)(13) of Rule 204-2 under the Investment Advisers Act of 1940 because of its failure to record securities transactions of any advisory representative if it establishes that it instituted adequate procedures and used reasonable diligence to obtain promptly reports of all transactions required to be recorded.</w:t>
            </w:r>
          </w:p>
        </w:tc>
      </w:tr>
    </w:tbl>
    <w:p>
      <w:bookmarkEnd w:id="784"/>
      <w:bookmarkStart w:id="786" w:name="Sec_Chp_061016102255750_06101610221052"/>
    </w:p>
    <w:p>
      <w:pPr>
        <w:pStyle w:val="Heading3"/>
      </w:pPr>
      <w:bookmarkStart w:id="787" w:name="_Toc256000208"/>
      <w:r>
        <w:t>10.5.2 Employee Records</w:t>
      </w:r>
      <w:bookmarkEnd w:id="787"/>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maintains each of the additional following records related to employees:</w:t>
      </w:r>
    </w:p>
    <w:p>
      <w:pPr>
        <w:numPr>
          <w:ilvl w:val="0"/>
          <w:numId w:val="683"/>
        </w:numPr>
        <w:spacing w:before="200"/>
        <w:ind w:left="720" w:hanging="192"/>
        <w:jc w:val="left"/>
        <w:rPr>
          <w:rFonts w:eastAsia="Arial" w:cs="Arial"/>
          <w:sz w:val="20"/>
          <w:szCs w:val="20"/>
        </w:rPr>
      </w:pPr>
      <w:r>
        <w:rPr>
          <w:rFonts w:eastAsia="Arial" w:cs="Arial"/>
          <w:sz w:val="20"/>
          <w:szCs w:val="20"/>
        </w:rPr>
        <w:t>names, titles and business and residence address;</w:t>
      </w:r>
    </w:p>
    <w:p>
      <w:pPr>
        <w:numPr>
          <w:ilvl w:val="0"/>
          <w:numId w:val="683"/>
        </w:numPr>
        <w:ind w:left="720" w:hanging="192"/>
        <w:jc w:val="left"/>
        <w:rPr>
          <w:rFonts w:eastAsia="Arial" w:cs="Arial"/>
          <w:sz w:val="20"/>
          <w:szCs w:val="20"/>
        </w:rPr>
      </w:pPr>
      <w:r>
        <w:rPr>
          <w:rFonts w:eastAsia="Arial" w:cs="Arial"/>
          <w:sz w:val="20"/>
          <w:szCs w:val="20"/>
        </w:rPr>
        <w:t xml:space="preserve">records related to KCD's efforts pursuant to these procedures to prevent insider trading by its employees; </w:t>
      </w:r>
    </w:p>
    <w:p>
      <w:pPr>
        <w:numPr>
          <w:ilvl w:val="0"/>
          <w:numId w:val="683"/>
        </w:numPr>
        <w:ind w:left="720" w:hanging="192"/>
        <w:jc w:val="left"/>
        <w:rPr>
          <w:rFonts w:eastAsia="Arial" w:cs="Arial"/>
          <w:sz w:val="20"/>
          <w:szCs w:val="20"/>
        </w:rPr>
      </w:pPr>
      <w:r>
        <w:rPr>
          <w:rFonts w:eastAsia="Arial" w:cs="Arial"/>
          <w:sz w:val="20"/>
          <w:szCs w:val="20"/>
        </w:rPr>
        <w:t xml:space="preserve">a list of all unregistered employees, a description of their responsibilities, and a description of the investment-related activities that they may engage in; </w:t>
      </w:r>
    </w:p>
    <w:p>
      <w:pPr>
        <w:numPr>
          <w:ilvl w:val="0"/>
          <w:numId w:val="683"/>
        </w:numPr>
        <w:ind w:left="720" w:hanging="192"/>
        <w:jc w:val="left"/>
        <w:rPr>
          <w:rFonts w:eastAsia="Arial" w:cs="Arial"/>
          <w:sz w:val="20"/>
          <w:szCs w:val="20"/>
        </w:rPr>
      </w:pPr>
      <w:r>
        <w:rPr>
          <w:rFonts w:eastAsia="Arial" w:cs="Arial"/>
          <w:sz w:val="20"/>
          <w:szCs w:val="20"/>
        </w:rPr>
        <w:t xml:space="preserve">records of any material issues that arise with respect to the activities of Adviser Representatives; </w:t>
      </w:r>
    </w:p>
    <w:p>
      <w:pPr>
        <w:numPr>
          <w:ilvl w:val="0"/>
          <w:numId w:val="683"/>
        </w:numPr>
        <w:ind w:left="720" w:hanging="192"/>
        <w:jc w:val="left"/>
        <w:rPr>
          <w:rFonts w:eastAsia="Arial" w:cs="Arial"/>
          <w:sz w:val="20"/>
          <w:szCs w:val="20"/>
        </w:rPr>
      </w:pPr>
      <w:r>
        <w:rPr>
          <w:rFonts w:eastAsia="Arial" w:cs="Arial"/>
          <w:sz w:val="20"/>
          <w:szCs w:val="20"/>
        </w:rPr>
        <w:t xml:space="preserve">documents supporting an Adviser Representative's right to use particular designations; and </w:t>
      </w:r>
    </w:p>
    <w:p>
      <w:pPr>
        <w:numPr>
          <w:ilvl w:val="0"/>
          <w:numId w:val="683"/>
        </w:numPr>
        <w:spacing w:after="200"/>
        <w:ind w:left="720" w:hanging="192"/>
        <w:jc w:val="left"/>
        <w:rPr>
          <w:rFonts w:eastAsia="Arial" w:cs="Arial"/>
          <w:sz w:val="20"/>
          <w:szCs w:val="20"/>
        </w:rPr>
      </w:pPr>
      <w:r>
        <w:rPr>
          <w:rFonts w:eastAsia="Arial" w:cs="Arial"/>
          <w:sz w:val="20"/>
          <w:szCs w:val="20"/>
        </w:rPr>
        <w:t>copies of all forms and other information submitted by employees who engage in outside activities and documents that evidence the Chief Compliance Officer's periodic review of such employees' outside activities.</w:t>
      </w:r>
    </w:p>
    <w:p>
      <w:bookmarkEnd w:id="786"/>
      <w:bookmarkStart w:id="788" w:name="Sec_Chp_061016102255750_06101610221053"/>
    </w:p>
    <w:p>
      <w:pPr>
        <w:pStyle w:val="Heading3"/>
      </w:pPr>
      <w:bookmarkStart w:id="789" w:name="_Toc256000209"/>
      <w:r>
        <w:t>10.5.3 Pay-to-Play Records</w:t>
      </w:r>
      <w:bookmarkEnd w:id="789"/>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engages in pay-to-play activities, it will maintain the following books and records:</w:t>
      </w:r>
    </w:p>
    <w:p>
      <w:pPr>
        <w:numPr>
          <w:ilvl w:val="0"/>
          <w:numId w:val="684"/>
        </w:numPr>
        <w:spacing w:before="200" w:after="200"/>
        <w:ind w:left="720" w:hanging="192"/>
        <w:jc w:val="left"/>
        <w:rPr>
          <w:rFonts w:eastAsia="Arial" w:cs="Arial"/>
          <w:sz w:val="20"/>
          <w:szCs w:val="20"/>
        </w:rPr>
      </w:pPr>
      <w:r>
        <w:rPr>
          <w:rFonts w:eastAsia="Arial" w:cs="Arial"/>
          <w:sz w:val="20"/>
          <w:szCs w:val="20"/>
        </w:rPr>
        <w:t>a record of all Government entities to which it provides or has provided advisory services (or which are or were investors in any covered investment pool to which KCD provides or has provided advisory services) for the past five years.</w:t>
      </w:r>
    </w:p>
    <w:p>
      <w:pPr>
        <w:pStyle w:val="normal0"/>
        <w:spacing w:before="200" w:after="200"/>
        <w:rPr>
          <w:rFonts w:eastAsia="Arial" w:cs="Arial"/>
          <w:sz w:val="20"/>
          <w:szCs w:val="20"/>
        </w:rPr>
      </w:pPr>
      <w:r>
        <w:rPr>
          <w:rFonts w:eastAsia="Arial" w:cs="Arial"/>
          <w:sz w:val="20"/>
          <w:szCs w:val="20"/>
        </w:rPr>
        <w:t xml:space="preserve">Records relating to the Contributions and payments referred to above will be listed in chronological order and indicate: </w:t>
      </w:r>
    </w:p>
    <w:p>
      <w:pPr>
        <w:numPr>
          <w:ilvl w:val="0"/>
          <w:numId w:val="685"/>
        </w:numPr>
        <w:spacing w:before="200"/>
        <w:ind w:left="720" w:hanging="192"/>
        <w:jc w:val="left"/>
        <w:rPr>
          <w:rFonts w:eastAsia="Arial" w:cs="Arial"/>
          <w:sz w:val="20"/>
          <w:szCs w:val="20"/>
        </w:rPr>
      </w:pPr>
      <w:r>
        <w:rPr>
          <w:rFonts w:eastAsia="Arial" w:cs="Arial"/>
          <w:sz w:val="20"/>
          <w:szCs w:val="20"/>
        </w:rPr>
        <w:t>The name and title of each contributor;</w:t>
      </w:r>
    </w:p>
    <w:p>
      <w:pPr>
        <w:numPr>
          <w:ilvl w:val="0"/>
          <w:numId w:val="685"/>
        </w:numPr>
        <w:ind w:left="720" w:hanging="192"/>
        <w:jc w:val="left"/>
        <w:rPr>
          <w:rFonts w:eastAsia="Arial" w:cs="Arial"/>
          <w:sz w:val="20"/>
          <w:szCs w:val="20"/>
        </w:rPr>
      </w:pPr>
      <w:r>
        <w:rPr>
          <w:rFonts w:eastAsia="Arial" w:cs="Arial"/>
          <w:sz w:val="20"/>
          <w:szCs w:val="20"/>
        </w:rPr>
        <w:t>The name and title (including any city/county/state or other political subdivision) of each recipient of a Contribution or payment;</w:t>
      </w:r>
    </w:p>
    <w:p>
      <w:pPr>
        <w:numPr>
          <w:ilvl w:val="0"/>
          <w:numId w:val="685"/>
        </w:numPr>
        <w:ind w:left="720" w:hanging="192"/>
        <w:jc w:val="left"/>
        <w:rPr>
          <w:rFonts w:eastAsia="Arial" w:cs="Arial"/>
          <w:sz w:val="20"/>
          <w:szCs w:val="20"/>
        </w:rPr>
      </w:pPr>
      <w:r>
        <w:rPr>
          <w:rFonts w:eastAsia="Arial" w:cs="Arial"/>
          <w:sz w:val="20"/>
          <w:szCs w:val="20"/>
        </w:rPr>
        <w:t>The amount and date of each Contribution or payment; and</w:t>
      </w:r>
    </w:p>
    <w:p>
      <w:pPr>
        <w:numPr>
          <w:ilvl w:val="0"/>
          <w:numId w:val="685"/>
        </w:numPr>
        <w:spacing w:after="200"/>
        <w:ind w:left="720" w:hanging="192"/>
        <w:jc w:val="left"/>
        <w:rPr>
          <w:rFonts w:eastAsia="Arial" w:cs="Arial"/>
          <w:sz w:val="20"/>
          <w:szCs w:val="20"/>
        </w:rPr>
      </w:pPr>
      <w:r>
        <w:rPr>
          <w:rFonts w:eastAsia="Arial" w:cs="Arial"/>
          <w:sz w:val="20"/>
          <w:szCs w:val="20"/>
        </w:rPr>
        <w:t>Whether any Contributions were the subject of the exception provided herein for certain returned Contributions.</w:t>
      </w:r>
    </w:p>
    <w:p>
      <w:pPr>
        <w:pStyle w:val="normal0"/>
        <w:spacing w:before="200" w:after="200"/>
        <w:rPr>
          <w:rFonts w:eastAsia="Arial" w:cs="Arial"/>
          <w:sz w:val="20"/>
          <w:szCs w:val="20"/>
        </w:rPr>
      </w:pPr>
      <w:r>
        <w:rPr>
          <w:rFonts w:eastAsia="Arial" w:cs="Arial"/>
          <w:sz w:val="20"/>
          <w:szCs w:val="20"/>
        </w:rPr>
        <w:t>If KCD enters into agreements or arrangements with third-party solicitors, KCD shall maintain:</w:t>
      </w:r>
    </w:p>
    <w:p>
      <w:pPr>
        <w:numPr>
          <w:ilvl w:val="0"/>
          <w:numId w:val="686"/>
        </w:numPr>
        <w:spacing w:before="200"/>
        <w:ind w:left="720" w:hanging="192"/>
        <w:jc w:val="left"/>
        <w:rPr>
          <w:rFonts w:eastAsia="Arial" w:cs="Arial"/>
          <w:sz w:val="20"/>
          <w:szCs w:val="20"/>
        </w:rPr>
      </w:pPr>
      <w:r>
        <w:rPr>
          <w:rFonts w:eastAsia="Arial" w:cs="Arial"/>
          <w:sz w:val="20"/>
          <w:szCs w:val="20"/>
        </w:rPr>
        <w:t>Records documenting the Regulated Person status of the third-party solicitor;</w:t>
      </w:r>
    </w:p>
    <w:p>
      <w:pPr>
        <w:numPr>
          <w:ilvl w:val="0"/>
          <w:numId w:val="686"/>
        </w:numPr>
        <w:ind w:left="720" w:hanging="192"/>
        <w:jc w:val="left"/>
        <w:rPr>
          <w:rFonts w:eastAsia="Arial" w:cs="Arial"/>
          <w:sz w:val="20"/>
          <w:szCs w:val="20"/>
        </w:rPr>
      </w:pPr>
      <w:r>
        <w:rPr>
          <w:rFonts w:eastAsia="Arial" w:cs="Arial"/>
          <w:sz w:val="20"/>
          <w:szCs w:val="20"/>
        </w:rPr>
        <w:t>List of the name and business address of each third-party solicitor; and</w:t>
      </w:r>
    </w:p>
    <w:p>
      <w:pPr>
        <w:numPr>
          <w:ilvl w:val="0"/>
          <w:numId w:val="686"/>
        </w:numPr>
        <w:spacing w:after="200"/>
        <w:ind w:left="720" w:hanging="192"/>
        <w:jc w:val="left"/>
        <w:rPr>
          <w:rFonts w:eastAsia="Arial" w:cs="Arial"/>
          <w:sz w:val="20"/>
          <w:szCs w:val="20"/>
        </w:rPr>
      </w:pPr>
      <w:r>
        <w:rPr>
          <w:rFonts w:eastAsia="Arial" w:cs="Arial"/>
          <w:sz w:val="20"/>
          <w:szCs w:val="20"/>
        </w:rPr>
        <w:t>Agreements and other documents related to the third-party solicitation arrangement.</w:t>
      </w:r>
    </w:p>
    <w:p>
      <w:pPr>
        <w:rPr>
          <w:rFonts w:ascii="Times New Roman" w:eastAsia="Times New Roman" w:hAnsi="Times New Roman" w:cs="Times New Roman"/>
          <w:sz w:val="24"/>
        </w:rPr>
      </w:pPr>
      <w:bookmarkEnd w:id="788"/>
    </w:p>
    <w:p>
      <w:r>
        <w:rPr>
          <w:rFonts w:ascii="Times New Roman" w:eastAsia="Times New Roman" w:hAnsi="Times New Roman" w:cs="Times New Roman"/>
          <w:sz w:val="24"/>
        </w:rPr>
        <w:br w:type="page"/>
      </w:r>
    </w:p>
    <w:p>
      <w:pPr>
        <w:pStyle w:val="Heading1"/>
      </w:pPr>
      <w:bookmarkStart w:id="790" w:name="_Toc256000210"/>
      <w:r>
        <w:t>11 REGISTRATION AND FILINGS</w:t>
      </w:r>
      <w:bookmarkEnd w:id="790"/>
    </w:p>
    <w:p>
      <w:bookmarkStart w:id="791" w:name="Sec_Chp_061016102257046_061016102257093"/>
    </w:p>
    <w:p>
      <w:pPr>
        <w:pStyle w:val="Heading2"/>
      </w:pPr>
      <w:bookmarkStart w:id="792" w:name="_Toc256000211"/>
      <w:r>
        <w:t>Introduction</w:t>
      </w:r>
      <w:bookmarkEnd w:id="792"/>
    </w:p>
    <w:p/>
    <w:p>
      <w:pPr>
        <w:rPr>
          <w:rFonts w:eastAsia="Arial" w:cs="Arial"/>
          <w:sz w:val="16"/>
          <w:szCs w:val="16"/>
        </w:rPr>
      </w:pPr>
      <w:r>
        <w:rPr>
          <w:rFonts w:eastAsia="Arial" w:cs="Arial"/>
          <w:sz w:val="16"/>
          <w:szCs w:val="16"/>
        </w:rPr>
        <w:t>[Investment Advisers Act of 1940 Form ADV; SEC Securities Exchange Act of 1934 Section 13 and Section 16]</w:t>
      </w:r>
    </w:p>
    <w:p/>
    <w:p>
      <w:pPr>
        <w:pStyle w:val="normal0"/>
        <w:spacing w:after="200"/>
        <w:rPr>
          <w:rFonts w:eastAsia="Arial" w:cs="Arial"/>
          <w:sz w:val="20"/>
          <w:szCs w:val="20"/>
        </w:rPr>
      </w:pPr>
      <w:r>
        <w:rPr>
          <w:rFonts w:eastAsia="Arial" w:cs="Arial"/>
          <w:sz w:val="20"/>
          <w:szCs w:val="20"/>
        </w:rPr>
        <w:t>A person or company engaged in the business of providing investment advice to others generally must register as an investment adviser. Businesses engaging in such activities must determine whether they meet the definition of investment adviser (and thus must register with the SEC or state) or whether an exemption from registration is available.</w:t>
      </w:r>
    </w:p>
    <w:p>
      <w:pPr>
        <w:pStyle w:val="normal0"/>
        <w:spacing w:before="200" w:after="200"/>
        <w:rPr>
          <w:rFonts w:eastAsia="Arial" w:cs="Arial"/>
          <w:sz w:val="20"/>
          <w:szCs w:val="20"/>
        </w:rPr>
      </w:pPr>
      <w:r>
        <w:rPr>
          <w:rFonts w:eastAsia="Arial" w:cs="Arial"/>
          <w:sz w:val="20"/>
          <w:szCs w:val="20"/>
        </w:rPr>
        <w:t>An adviser with $110 million or more of client assets under management (AUM) must register with the SEC. An adviser with $100 million or more client AUM and less than $110 million client AUM may register with the SEC or a state. An SEC-registered adviser need not withdraw its registration from the SEC unless its client AUM falls below $90 million. Advisers with client AUM below $90 million must register with the applicable state(s).</w:t>
      </w:r>
    </w:p>
    <w:p>
      <w:pPr>
        <w:pStyle w:val="normal0"/>
        <w:spacing w:before="200" w:after="200"/>
        <w:rPr>
          <w:rFonts w:eastAsia="Arial" w:cs="Arial"/>
          <w:sz w:val="20"/>
          <w:szCs w:val="20"/>
        </w:rPr>
      </w:pPr>
      <w:r>
        <w:rPr>
          <w:rFonts w:eastAsia="Arial" w:cs="Arial"/>
          <w:sz w:val="20"/>
          <w:szCs w:val="20"/>
        </w:rPr>
        <w:t>Employees of SEC- and state-registered advisers that provide investment advice to clients must register as an investment adviser representative with one or more state(s).</w:t>
      </w:r>
    </w:p>
    <w:p>
      <w:pPr>
        <w:pStyle w:val="normal0"/>
        <w:spacing w:before="200" w:after="200"/>
        <w:rPr>
          <w:rFonts w:eastAsia="Arial" w:cs="Arial"/>
          <w:sz w:val="20"/>
          <w:szCs w:val="20"/>
        </w:rPr>
      </w:pPr>
      <w:r>
        <w:rPr>
          <w:rFonts w:eastAsia="Arial" w:cs="Arial"/>
          <w:sz w:val="20"/>
          <w:szCs w:val="20"/>
        </w:rPr>
        <w:t>Once registered, the investment adviser must make periodic amendments to its registration statement (Form ADV) and its employees' registration statements (Form U-4s).</w:t>
      </w:r>
    </w:p>
    <w:p>
      <w:pPr>
        <w:pStyle w:val="normal0"/>
        <w:spacing w:before="200" w:after="200"/>
        <w:rPr>
          <w:rFonts w:eastAsia="Arial" w:cs="Arial"/>
          <w:sz w:val="20"/>
          <w:szCs w:val="20"/>
        </w:rPr>
      </w:pPr>
      <w:r>
        <w:rPr>
          <w:rFonts w:eastAsia="Arial" w:cs="Arial"/>
          <w:sz w:val="20"/>
          <w:szCs w:val="20"/>
        </w:rPr>
        <w:t>Maintenance of an accurate, current and truthful registration statement is one of the most important compliance functions of an investment adviser. Erroneous or misleading statements of information in a registration statement often lead to regulatory enforcement actions. Since the violation of the law in many cases is black-and-white, the SEC or a state regulator typically has an easy job of proving its case.</w:t>
      </w:r>
    </w:p>
    <w:p>
      <w:pPr>
        <w:pStyle w:val="normal0"/>
        <w:spacing w:before="200" w:after="200"/>
        <w:rPr>
          <w:rFonts w:eastAsia="Arial" w:cs="Arial"/>
          <w:sz w:val="20"/>
          <w:szCs w:val="20"/>
        </w:rPr>
      </w:pPr>
      <w:r>
        <w:rPr>
          <w:rFonts w:eastAsia="Arial" w:cs="Arial"/>
          <w:sz w:val="20"/>
          <w:szCs w:val="20"/>
        </w:rPr>
        <w:t>In addition to filings related to Form ADV, an investment adviser may have to make a number of additional filings under the securities laws. These filings are described in the following chart:</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3306"/>
        <w:gridCol w:w="3307"/>
        <w:gridCol w:w="3307"/>
      </w:tblGrid>
      <w:tr>
        <w:tblPrEx>
          <w:tblW w:w="5000" w:type="pct"/>
          <w:tblLook w:val="05E0"/>
        </w:tblPrEx>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bCs/>
                <w:i w:val="0"/>
                <w:iCs w:val="0"/>
                <w:smallCaps w:val="0"/>
                <w:color w:val="000000"/>
                <w:sz w:val="20"/>
              </w:rPr>
              <w:t>Reporting Requirement</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bCs/>
                <w:i w:val="0"/>
                <w:iCs w:val="0"/>
                <w:smallCaps w:val="0"/>
                <w:color w:val="000000"/>
                <w:sz w:val="20"/>
              </w:rPr>
              <w:t>Form/Schedule</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bCs/>
                <w:i w:val="0"/>
                <w:iCs w:val="0"/>
                <w:smallCaps w:val="0"/>
                <w:color w:val="000000"/>
                <w:sz w:val="20"/>
              </w:rPr>
              <w:t>Description</w:t>
            </w:r>
          </w:p>
        </w:tc>
      </w:tr>
      <w:tr>
        <w:tblPrEx>
          <w:tblW w:w="5000" w:type="pct"/>
          <w:tblLook w:val="05E0"/>
        </w:tblPrEx>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Section 13(d)</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Schedule 13D</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Requires a beneficial owner of more than 5% of a class of publicly traded equity securities to file a Schedule 13D with the SEC, the issuer of such securities, and the national exchanges on which those securities trade. The report must be filed within 10 days of crossing the 5% threshold. The filer must report why it acquired the shares and the source of funds used to acquire the shares. </w:t>
            </w:r>
          </w:p>
        </w:tc>
      </w:tr>
      <w:tr>
        <w:tblPrEx>
          <w:tblW w:w="5000" w:type="pct"/>
          <w:tblLook w:val="05E0"/>
        </w:tblPrEx>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Section 13(g)</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Schedule 13G</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Permits a beneficial owner of more than 5% of a class of publicly traded equity securities to file a short-form Schedule 13G in lieu of a Schedule 13D, provided the beneficial owner is passive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not trying to take control of the issuer).</w:t>
            </w:r>
          </w:p>
        </w:tc>
      </w:tr>
      <w:tr>
        <w:tblPrEx>
          <w:tblW w:w="5000" w:type="pct"/>
          <w:tblLook w:val="05E0"/>
        </w:tblPrEx>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Section 13(f)</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Schedule 13F</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Requires an institutional investment manager (including investment advisers) with over $100 million of assets under management of certain equity securities to file a quarterly report on Schedule 13F with the SEC disclosing information about these assets under management.</w:t>
            </w:r>
          </w:p>
        </w:tc>
      </w:tr>
      <w:tr>
        <w:tblPrEx>
          <w:tblW w:w="5000" w:type="pct"/>
          <w:tblLook w:val="05E0"/>
        </w:tblPrEx>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Section 16(a)</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Form 3, Form 4, Form 5</w:t>
            </w:r>
          </w:p>
        </w:tc>
        <w:tc>
          <w:tcPr>
            <w:tcW w:w="165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Requires a greater than 10% shareholder of a publicly traded company and certain officers of that company to file Form 3s, 4s and 5s with the SEC disclosing certain information. In addition, such persons are subject to short-swing profit rules.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On October 20, 2023, the SEC adopted a series of amendments to its reporting scheme for significant investments in public companies and the compliance date for the amendment was December 18, 2024.</w:t>
      </w:r>
    </w:p>
    <w:p>
      <w:bookmarkEnd w:id="791"/>
      <w:bookmarkStart w:id="793" w:name="Sec_Chp_061016102257046_061016102257109"/>
    </w:p>
    <w:p>
      <w:pPr>
        <w:pStyle w:val="Heading2"/>
      </w:pPr>
      <w:bookmarkStart w:id="794" w:name="_Toc256000212"/>
      <w:r>
        <w:t>11.1 Compliance Reference Chart</w:t>
      </w:r>
      <w:bookmarkEnd w:id="794"/>
    </w:p>
    <w:p/>
    <w:p>
      <w:pPr>
        <w:rPr>
          <w:rFonts w:eastAsia="Arial" w:cs="Arial"/>
          <w:sz w:val="16"/>
          <w:szCs w:val="16"/>
        </w:rPr>
      </w:pPr>
      <w:r>
        <w:rPr>
          <w:rFonts w:eastAsia="Arial" w:cs="Arial"/>
          <w:sz w:val="16"/>
          <w:szCs w:val="16"/>
        </w:rPr>
        <w:t>[Investment Advisers Act of 1940 Form ADV; Investment Advisers Act of 1940 Rule 204-1; Investment Advisers Act of 1940 Section 202(a)(11); SEC Securities Exchange Act of 1934 Section 13 and Section 16]</w:t>
      </w:r>
    </w:p>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687"/>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68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p>
            <w:pPr>
              <w:numPr>
                <w:ilvl w:val="0"/>
                <w:numId w:val="68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68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year when KCD updates its Form ADV</w:t>
            </w:r>
          </w:p>
          <w:p>
            <w:pPr>
              <w:numPr>
                <w:ilvl w:val="0"/>
                <w:numId w:val="689"/>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Each time there is a material change in KCD's advisory business necessitating revision to its Form ADV </w:t>
            </w:r>
          </w:p>
          <w:p>
            <w:pPr>
              <w:numPr>
                <w:ilvl w:val="0"/>
                <w:numId w:val="68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time there is a regulatory filing deadline</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69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Form ADV under the Investment Advisers Act of 1940</w:t>
            </w:r>
          </w:p>
          <w:p>
            <w:pPr>
              <w:numPr>
                <w:ilvl w:val="0"/>
                <w:numId w:val="69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 202(a)(11) of the Investment Advisers Act of 1940</w:t>
            </w:r>
          </w:p>
          <w:p>
            <w:pPr>
              <w:numPr>
                <w:ilvl w:val="0"/>
                <w:numId w:val="69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204-1 under the Investment Advisers Act of 1940</w:t>
            </w:r>
          </w:p>
          <w:p>
            <w:pPr>
              <w:numPr>
                <w:ilvl w:val="0"/>
                <w:numId w:val="69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Sections 13 and 16 under the Securities Exchange Act of 1934</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69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Copies of filed Form ADV, notice and U-4 filings and amendments</w:t>
            </w:r>
          </w:p>
          <w:p>
            <w:pPr>
              <w:numPr>
                <w:ilvl w:val="0"/>
                <w:numId w:val="69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Copies of filed Schedule 13Ds, 13Fs, and 13Gs, and Forms 3, 4 and 5</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numPr>
                <w:ilvl w:val="0"/>
                <w:numId w:val="69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Advisory Contract Procedures annually.</w:t>
            </w:r>
          </w:p>
        </w:tc>
      </w:tr>
    </w:tbl>
    <w:p>
      <w:bookmarkEnd w:id="793"/>
      <w:bookmarkStart w:id="795" w:name="Sec_Chp_061016102257046_061016102257156"/>
    </w:p>
    <w:p>
      <w:pPr>
        <w:pStyle w:val="Heading2"/>
      </w:pPr>
      <w:bookmarkStart w:id="796" w:name="_Toc256000213"/>
      <w:r>
        <w:t>11.2 Policy</w:t>
      </w:r>
      <w:bookmarkEnd w:id="796"/>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make sure that its registration statement and its investment adviser representatives' registration statements are accurate, current and truthful, and to make timely filings of amendments to those documents and other regulatory documents.</w:t>
      </w:r>
    </w:p>
    <w:p>
      <w:bookmarkEnd w:id="795"/>
      <w:bookmarkStart w:id="797" w:name="Sec_Chp_061016102257046_061016102257171"/>
    </w:p>
    <w:p>
      <w:pPr>
        <w:pStyle w:val="Heading2"/>
      </w:pPr>
      <w:bookmarkStart w:id="798" w:name="_Toc256000214"/>
      <w:r>
        <w:t>11.3 Procedures</w:t>
      </w:r>
      <w:bookmarkEnd w:id="798"/>
      <w:r>
        <w:t xml:space="preserve"> </w:t>
      </w:r>
    </w:p>
    <w:p/>
    <w:p>
      <w:pPr>
        <w:rPr>
          <w:rFonts w:eastAsia="Arial" w:cs="Arial"/>
          <w:sz w:val="16"/>
          <w:szCs w:val="16"/>
        </w:rPr>
      </w:pPr>
    </w:p>
    <w:p>
      <w:bookmarkEnd w:id="797"/>
      <w:bookmarkStart w:id="799" w:name="Sec_Chp_061016102257046_061016102257187"/>
    </w:p>
    <w:p>
      <w:pPr>
        <w:pStyle w:val="Heading3"/>
      </w:pPr>
      <w:bookmarkStart w:id="800" w:name="_Toc256000215"/>
      <w:r>
        <w:t>11.3.1 Investment Adviser Status</w:t>
      </w:r>
      <w:bookmarkEnd w:id="800"/>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register, and continue to be registered, as an investment adviser only if it meets the definition of "investment adviser" and is unable to rely upon any exemption to the definition of "investment adviser." KCD meets the definition of "investment adviser" if it, for compensation, is engaged in the business of providing advice, making recommendations, issuing reports, or furnishing analyses on securities, either directly or through publications. </w:t>
      </w:r>
    </w:p>
    <w:p>
      <w:bookmarkEnd w:id="799"/>
      <w:bookmarkStart w:id="801" w:name="Sec_Chp_061016102257046_061016102257203"/>
    </w:p>
    <w:p>
      <w:pPr>
        <w:pStyle w:val="Heading4"/>
      </w:pPr>
      <w:r>
        <w:t xml:space="preserve">11.3.1.1 General Exemptions/Exclusions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is excluded from the definition of investment adviser (and thus not required to register as such with the SEC) if it is a:</w:t>
      </w:r>
    </w:p>
    <w:p>
      <w:pPr>
        <w:numPr>
          <w:ilvl w:val="0"/>
          <w:numId w:val="693"/>
        </w:numPr>
        <w:spacing w:before="200"/>
        <w:ind w:left="720" w:hanging="192"/>
        <w:jc w:val="left"/>
        <w:rPr>
          <w:rFonts w:eastAsia="Arial" w:cs="Arial"/>
          <w:sz w:val="20"/>
          <w:szCs w:val="20"/>
        </w:rPr>
      </w:pPr>
      <w:r>
        <w:rPr>
          <w:rFonts w:eastAsia="Arial" w:cs="Arial"/>
          <w:sz w:val="20"/>
          <w:szCs w:val="20"/>
        </w:rPr>
        <w:t xml:space="preserve">bank; </w:t>
      </w:r>
    </w:p>
    <w:p>
      <w:pPr>
        <w:numPr>
          <w:ilvl w:val="0"/>
          <w:numId w:val="693"/>
        </w:numPr>
        <w:ind w:left="720" w:hanging="192"/>
        <w:jc w:val="left"/>
        <w:rPr>
          <w:rFonts w:eastAsia="Arial" w:cs="Arial"/>
          <w:sz w:val="20"/>
          <w:szCs w:val="20"/>
        </w:rPr>
      </w:pPr>
      <w:r>
        <w:rPr>
          <w:rFonts w:eastAsia="Arial" w:cs="Arial"/>
          <w:sz w:val="20"/>
          <w:szCs w:val="20"/>
        </w:rPr>
        <w:t>lawyer, accountant, engineer or teacher (if the performance of advisory services is solely incidental to the profession);</w:t>
      </w:r>
    </w:p>
    <w:p>
      <w:pPr>
        <w:numPr>
          <w:ilvl w:val="0"/>
          <w:numId w:val="693"/>
        </w:numPr>
        <w:ind w:left="720" w:hanging="192"/>
        <w:jc w:val="left"/>
        <w:rPr>
          <w:rFonts w:eastAsia="Arial" w:cs="Arial"/>
          <w:sz w:val="20"/>
          <w:szCs w:val="20"/>
        </w:rPr>
      </w:pPr>
      <w:r>
        <w:rPr>
          <w:rFonts w:eastAsia="Arial" w:cs="Arial"/>
          <w:sz w:val="20"/>
          <w:szCs w:val="20"/>
        </w:rPr>
        <w:t>publisher of a bona fide newspaper, magazine or other business or financial publication of general and regular circulation;</w:t>
      </w:r>
    </w:p>
    <w:p>
      <w:pPr>
        <w:numPr>
          <w:ilvl w:val="0"/>
          <w:numId w:val="693"/>
        </w:numPr>
        <w:ind w:left="720" w:hanging="192"/>
        <w:jc w:val="left"/>
        <w:rPr>
          <w:rFonts w:eastAsia="Arial" w:cs="Arial"/>
          <w:sz w:val="20"/>
          <w:szCs w:val="20"/>
        </w:rPr>
      </w:pPr>
      <w:r>
        <w:rPr>
          <w:rFonts w:eastAsia="Arial" w:cs="Arial"/>
          <w:sz w:val="20"/>
          <w:szCs w:val="20"/>
        </w:rPr>
        <w:t>company exclusively providing advice about government securities;</w:t>
      </w:r>
    </w:p>
    <w:p>
      <w:pPr>
        <w:numPr>
          <w:ilvl w:val="0"/>
          <w:numId w:val="693"/>
        </w:numPr>
        <w:ind w:left="720" w:hanging="192"/>
        <w:jc w:val="left"/>
        <w:rPr>
          <w:rFonts w:eastAsia="Arial" w:cs="Arial"/>
          <w:sz w:val="20"/>
          <w:szCs w:val="20"/>
        </w:rPr>
      </w:pPr>
      <w:r>
        <w:rPr>
          <w:rFonts w:eastAsia="Arial" w:cs="Arial"/>
          <w:sz w:val="20"/>
          <w:szCs w:val="20"/>
        </w:rPr>
        <w:t>national rating statistical organization (NRSRO);</w:t>
      </w:r>
    </w:p>
    <w:p>
      <w:pPr>
        <w:numPr>
          <w:ilvl w:val="0"/>
          <w:numId w:val="693"/>
        </w:numPr>
        <w:ind w:left="720" w:hanging="192"/>
        <w:jc w:val="left"/>
        <w:rPr>
          <w:rFonts w:eastAsia="Arial" w:cs="Arial"/>
          <w:sz w:val="20"/>
          <w:szCs w:val="20"/>
        </w:rPr>
      </w:pPr>
      <w:r>
        <w:rPr>
          <w:rFonts w:eastAsia="Arial" w:cs="Arial"/>
          <w:sz w:val="20"/>
          <w:szCs w:val="20"/>
        </w:rPr>
        <w:t>family office;</w:t>
      </w:r>
    </w:p>
    <w:p>
      <w:pPr>
        <w:numPr>
          <w:ilvl w:val="0"/>
          <w:numId w:val="693"/>
        </w:numPr>
        <w:ind w:left="720" w:hanging="192"/>
        <w:jc w:val="left"/>
        <w:rPr>
          <w:rFonts w:eastAsia="Arial" w:cs="Arial"/>
          <w:sz w:val="20"/>
          <w:szCs w:val="20"/>
        </w:rPr>
      </w:pPr>
      <w:r>
        <w:rPr>
          <w:rFonts w:eastAsia="Arial" w:cs="Arial"/>
          <w:sz w:val="20"/>
          <w:szCs w:val="20"/>
        </w:rPr>
        <w:t>adviser, all of which clients are located in the state where the principal officer of the adviser is located;</w:t>
      </w:r>
    </w:p>
    <w:p>
      <w:pPr>
        <w:numPr>
          <w:ilvl w:val="0"/>
          <w:numId w:val="693"/>
        </w:numPr>
        <w:ind w:left="720" w:hanging="192"/>
        <w:jc w:val="left"/>
        <w:rPr>
          <w:rFonts w:eastAsia="Arial" w:cs="Arial"/>
          <w:sz w:val="20"/>
          <w:szCs w:val="20"/>
        </w:rPr>
      </w:pPr>
      <w:r>
        <w:rPr>
          <w:rFonts w:eastAsia="Arial" w:cs="Arial"/>
          <w:sz w:val="20"/>
          <w:szCs w:val="20"/>
        </w:rPr>
        <w:t>adviser registered with the CFTC provided it is not principally engaged in the investment advisory business;</w:t>
      </w:r>
    </w:p>
    <w:p>
      <w:pPr>
        <w:numPr>
          <w:ilvl w:val="0"/>
          <w:numId w:val="693"/>
        </w:numPr>
        <w:ind w:left="720" w:hanging="192"/>
        <w:jc w:val="left"/>
        <w:rPr>
          <w:rFonts w:eastAsia="Arial" w:cs="Arial"/>
          <w:sz w:val="20"/>
          <w:szCs w:val="20"/>
        </w:rPr>
      </w:pPr>
      <w:r>
        <w:rPr>
          <w:rFonts w:eastAsia="Arial" w:cs="Arial"/>
          <w:sz w:val="20"/>
          <w:szCs w:val="20"/>
        </w:rPr>
        <w:t>adviser solely to private funds with less than $150 million in assets under management in the United States;</w:t>
      </w:r>
    </w:p>
    <w:p>
      <w:pPr>
        <w:numPr>
          <w:ilvl w:val="0"/>
          <w:numId w:val="693"/>
        </w:numPr>
        <w:ind w:left="720" w:hanging="192"/>
        <w:jc w:val="left"/>
        <w:rPr>
          <w:rFonts w:eastAsia="Arial" w:cs="Arial"/>
          <w:sz w:val="20"/>
          <w:szCs w:val="20"/>
        </w:rPr>
      </w:pPr>
      <w:r>
        <w:rPr>
          <w:rFonts w:eastAsia="Arial" w:cs="Arial"/>
          <w:sz w:val="20"/>
          <w:szCs w:val="20"/>
        </w:rPr>
        <w:t>certain foreign adviser without a place of business in the United States; or</w:t>
      </w:r>
    </w:p>
    <w:p>
      <w:pPr>
        <w:numPr>
          <w:ilvl w:val="0"/>
          <w:numId w:val="693"/>
        </w:numPr>
        <w:spacing w:after="200"/>
        <w:ind w:left="720" w:hanging="192"/>
        <w:jc w:val="left"/>
        <w:rPr>
          <w:rFonts w:eastAsia="Arial" w:cs="Arial"/>
          <w:sz w:val="20"/>
          <w:szCs w:val="20"/>
        </w:rPr>
      </w:pPr>
      <w:r>
        <w:rPr>
          <w:rFonts w:eastAsia="Arial" w:cs="Arial"/>
          <w:sz w:val="20"/>
          <w:szCs w:val="20"/>
        </w:rPr>
        <w:t>adviser to venture capital funds.</w:t>
      </w:r>
    </w:p>
    <w:p>
      <w:pPr>
        <w:pStyle w:val="normal0"/>
        <w:spacing w:before="200" w:after="200"/>
        <w:rPr>
          <w:rFonts w:eastAsia="Arial" w:cs="Arial"/>
          <w:sz w:val="20"/>
          <w:szCs w:val="20"/>
        </w:rPr>
      </w:pPr>
      <w:r>
        <w:rPr>
          <w:rFonts w:eastAsia="Arial" w:cs="Arial"/>
          <w:sz w:val="20"/>
          <w:szCs w:val="20"/>
        </w:rPr>
        <w:t>KCD is exempt from registration with the SEC if it is a:</w:t>
      </w:r>
    </w:p>
    <w:p>
      <w:pPr>
        <w:numPr>
          <w:ilvl w:val="0"/>
          <w:numId w:val="694"/>
        </w:numPr>
        <w:spacing w:before="200"/>
        <w:ind w:left="720" w:hanging="192"/>
        <w:jc w:val="left"/>
        <w:rPr>
          <w:rFonts w:eastAsia="Arial" w:cs="Arial"/>
          <w:sz w:val="20"/>
          <w:szCs w:val="20"/>
        </w:rPr>
      </w:pPr>
      <w:r>
        <w:rPr>
          <w:rFonts w:eastAsia="Arial" w:cs="Arial"/>
          <w:sz w:val="20"/>
          <w:szCs w:val="20"/>
        </w:rPr>
        <w:t>pension consultant;</w:t>
      </w:r>
    </w:p>
    <w:p>
      <w:pPr>
        <w:numPr>
          <w:ilvl w:val="0"/>
          <w:numId w:val="694"/>
        </w:numPr>
        <w:ind w:left="720" w:hanging="192"/>
        <w:jc w:val="left"/>
        <w:rPr>
          <w:rFonts w:eastAsia="Arial" w:cs="Arial"/>
          <w:sz w:val="20"/>
          <w:szCs w:val="20"/>
        </w:rPr>
      </w:pPr>
      <w:r>
        <w:rPr>
          <w:rFonts w:eastAsia="Arial" w:cs="Arial"/>
          <w:sz w:val="20"/>
          <w:szCs w:val="20"/>
        </w:rPr>
        <w:t xml:space="preserve">adviser under the common control of an adviser registered with the SEC; </w:t>
      </w:r>
    </w:p>
    <w:p>
      <w:pPr>
        <w:numPr>
          <w:ilvl w:val="0"/>
          <w:numId w:val="694"/>
        </w:numPr>
        <w:ind w:left="720" w:hanging="192"/>
        <w:jc w:val="left"/>
        <w:rPr>
          <w:rFonts w:eastAsia="Arial" w:cs="Arial"/>
          <w:sz w:val="20"/>
          <w:szCs w:val="20"/>
        </w:rPr>
      </w:pPr>
      <w:r>
        <w:rPr>
          <w:rFonts w:eastAsia="Arial" w:cs="Arial"/>
          <w:sz w:val="20"/>
          <w:szCs w:val="20"/>
        </w:rPr>
        <w:t>multi-state adviser; or</w:t>
      </w:r>
    </w:p>
    <w:p>
      <w:pPr>
        <w:numPr>
          <w:ilvl w:val="0"/>
          <w:numId w:val="694"/>
        </w:numPr>
        <w:spacing w:after="200"/>
        <w:ind w:left="720" w:hanging="192"/>
        <w:jc w:val="left"/>
        <w:rPr>
          <w:rFonts w:eastAsia="Arial" w:cs="Arial"/>
          <w:sz w:val="20"/>
          <w:szCs w:val="20"/>
        </w:rPr>
      </w:pPr>
      <w:r>
        <w:rPr>
          <w:rFonts w:eastAsia="Arial" w:cs="Arial"/>
          <w:sz w:val="20"/>
          <w:szCs w:val="20"/>
        </w:rPr>
        <w:t>internet adviser.</w:t>
      </w:r>
    </w:p>
    <w:p>
      <w:bookmarkEnd w:id="801"/>
      <w:bookmarkStart w:id="802" w:name="Sec_Chp_061016102257046_061016102257234"/>
    </w:p>
    <w:p>
      <w:pPr>
        <w:pStyle w:val="Heading4"/>
      </w:pPr>
      <w:r>
        <w:t xml:space="preserve">11.3.1.2 Broker-Dealer Exemption </w:t>
      </w:r>
    </w:p>
    <w:p/>
    <w:p>
      <w:pPr>
        <w:rPr>
          <w:rFonts w:eastAsia="Arial" w:cs="Arial"/>
          <w:sz w:val="16"/>
          <w:szCs w:val="16"/>
        </w:rPr>
      </w:pPr>
      <w:r>
        <w:rPr>
          <w:rFonts w:eastAsia="Arial" w:cs="Arial"/>
          <w:sz w:val="16"/>
          <w:szCs w:val="16"/>
        </w:rPr>
        <w:t>[Investment Advisers Act of 1940 Section 202(a)(11), 202(a)(11)-1 and 202(a)(11)(C)]</w:t>
      </w:r>
    </w:p>
    <w:p/>
    <w:p>
      <w:pPr>
        <w:pStyle w:val="normal0"/>
        <w:spacing w:after="200"/>
        <w:rPr>
          <w:rFonts w:eastAsia="Arial" w:cs="Arial"/>
          <w:sz w:val="20"/>
          <w:szCs w:val="20"/>
        </w:rPr>
      </w:pPr>
      <w:r>
        <w:rPr>
          <w:rFonts w:eastAsia="Arial" w:cs="Arial"/>
          <w:sz w:val="20"/>
          <w:szCs w:val="20"/>
        </w:rPr>
        <w:t>If KCD is registered with the SEC as a broker or dealer, KCD does not have to register with the SEC as an investment adviser if: (1) the performance of its advisory services is solely incidental to the conduct of its business as a broker-dealer and (2) it does not earn any "special compensation" for its advisory services. See Section 202(a)(11)(C) of the Advisers Act.</w:t>
      </w:r>
    </w:p>
    <w:p>
      <w:bookmarkEnd w:id="802"/>
      <w:bookmarkStart w:id="803" w:name="Sec_Chp_061016102257046_061016102257250"/>
    </w:p>
    <w:p>
      <w:pPr>
        <w:pStyle w:val="Heading5"/>
      </w:pPr>
      <w:r>
        <w:t>11.3.1.2.1 Broker-Dealer Financial Planning Services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registered as a broker-dealer and offers financial planning services, it will have to register as an investment adviser if KCD provides investment advice in connection with the financial plans and does one of the following:</w:t>
      </w:r>
    </w:p>
    <w:p>
      <w:pPr>
        <w:numPr>
          <w:ilvl w:val="0"/>
          <w:numId w:val="695"/>
        </w:numPr>
        <w:spacing w:before="200"/>
        <w:ind w:left="720" w:hanging="192"/>
        <w:jc w:val="left"/>
        <w:rPr>
          <w:rFonts w:eastAsia="Arial" w:cs="Arial"/>
          <w:sz w:val="20"/>
          <w:szCs w:val="20"/>
        </w:rPr>
      </w:pPr>
      <w:r>
        <w:rPr>
          <w:rFonts w:eastAsia="Arial" w:cs="Arial"/>
          <w:sz w:val="20"/>
          <w:szCs w:val="20"/>
        </w:rPr>
        <w:t xml:space="preserve">Portrays itself in advertisements or otherwise holds itself out as a financial planner; </w:t>
      </w:r>
    </w:p>
    <w:p>
      <w:pPr>
        <w:numPr>
          <w:ilvl w:val="0"/>
          <w:numId w:val="695"/>
        </w:numPr>
        <w:ind w:left="720" w:hanging="192"/>
        <w:jc w:val="left"/>
        <w:rPr>
          <w:rFonts w:eastAsia="Arial" w:cs="Arial"/>
          <w:sz w:val="20"/>
          <w:szCs w:val="20"/>
        </w:rPr>
      </w:pPr>
      <w:r>
        <w:rPr>
          <w:rFonts w:eastAsia="Arial" w:cs="Arial"/>
          <w:sz w:val="20"/>
          <w:szCs w:val="20"/>
        </w:rPr>
        <w:t>Has investment discretion over the client's account;</w:t>
      </w:r>
    </w:p>
    <w:p>
      <w:pPr>
        <w:numPr>
          <w:ilvl w:val="0"/>
          <w:numId w:val="695"/>
        </w:numPr>
        <w:ind w:left="720" w:hanging="192"/>
        <w:jc w:val="left"/>
        <w:rPr>
          <w:rFonts w:eastAsia="Arial" w:cs="Arial"/>
          <w:sz w:val="20"/>
          <w:szCs w:val="20"/>
        </w:rPr>
      </w:pPr>
      <w:r>
        <w:rPr>
          <w:rFonts w:eastAsia="Arial" w:cs="Arial"/>
          <w:sz w:val="20"/>
          <w:szCs w:val="20"/>
        </w:rPr>
        <w:t>Delivers a financial plan to its customer; or</w:t>
      </w:r>
    </w:p>
    <w:p>
      <w:pPr>
        <w:numPr>
          <w:ilvl w:val="0"/>
          <w:numId w:val="695"/>
        </w:numPr>
        <w:spacing w:after="200"/>
        <w:ind w:left="720" w:hanging="192"/>
        <w:jc w:val="left"/>
        <w:rPr>
          <w:rFonts w:eastAsia="Arial" w:cs="Arial"/>
          <w:sz w:val="20"/>
          <w:szCs w:val="20"/>
        </w:rPr>
      </w:pPr>
      <w:r>
        <w:rPr>
          <w:rFonts w:eastAsia="Arial" w:cs="Arial"/>
          <w:sz w:val="20"/>
          <w:szCs w:val="20"/>
        </w:rPr>
        <w:t>Represents to its customer that the advice is provided as part of a financial plan in connection with financial planning services.</w:t>
      </w:r>
    </w:p>
    <w:p>
      <w:pPr>
        <w:pStyle w:val="normal0"/>
        <w:spacing w:before="200" w:after="200"/>
        <w:rPr>
          <w:rFonts w:eastAsia="Arial" w:cs="Arial"/>
          <w:sz w:val="20"/>
          <w:szCs w:val="20"/>
        </w:rPr>
      </w:pPr>
      <w:r>
        <w:rPr>
          <w:rFonts w:eastAsia="Arial" w:cs="Arial"/>
          <w:sz w:val="20"/>
          <w:szCs w:val="20"/>
        </w:rPr>
        <w:t>If KCD is registered as a broker-dealer and offers financial planning services, it will not have to register as an investment adviser if KCD merely makes it known that financial planning or other investment advisory services are available.</w:t>
      </w:r>
    </w:p>
    <w:p>
      <w:pPr>
        <w:pStyle w:val="normal0"/>
        <w:spacing w:before="200" w:after="200"/>
        <w:rPr>
          <w:rFonts w:eastAsia="Arial" w:cs="Arial"/>
          <w:sz w:val="20"/>
          <w:szCs w:val="20"/>
        </w:rPr>
      </w:pPr>
      <w:r>
        <w:rPr>
          <w:rFonts w:eastAsia="Arial" w:cs="Arial"/>
          <w:sz w:val="20"/>
          <w:szCs w:val="20"/>
        </w:rPr>
        <w:t>For purposes of these procedures, a financial plan generally is a plan that seeks to address a wide spectrum of a client's long-term financial needs, and can include recommendations about insurance, savings, tax and estate planning, and investments. Use of financial tools to provide a client with guidance with respect to a particular transaction or an allocation of client funds and securities upon the long-term needs of the client is not deemed to be a financial plan.</w:t>
      </w:r>
    </w:p>
    <w:p>
      <w:bookmarkEnd w:id="803"/>
      <w:bookmarkStart w:id="804" w:name="Sec_Chp_061016102257046_061016102257265"/>
    </w:p>
    <w:p>
      <w:pPr>
        <w:pStyle w:val="Heading5"/>
      </w:pPr>
      <w:r>
        <w:t>11.3.1.2.2 Special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broker-dealer will not be deemed to have "investment discretion" for purposes of this exemption if it has trading authority for accounts of persons with whom the registered representative has family or personal relationships in connection with the following types of accounts:</w:t>
      </w:r>
    </w:p>
    <w:p>
      <w:pPr>
        <w:numPr>
          <w:ilvl w:val="0"/>
          <w:numId w:val="696"/>
        </w:numPr>
        <w:spacing w:before="200"/>
        <w:ind w:left="720" w:hanging="192"/>
        <w:jc w:val="left"/>
        <w:rPr>
          <w:rFonts w:eastAsia="Arial" w:cs="Arial"/>
          <w:sz w:val="20"/>
          <w:szCs w:val="20"/>
        </w:rPr>
      </w:pPr>
      <w:r>
        <w:rPr>
          <w:rFonts w:eastAsia="Arial" w:cs="Arial"/>
          <w:sz w:val="20"/>
          <w:szCs w:val="20"/>
        </w:rPr>
        <w:t>Accounts of a family member (</w:t>
      </w:r>
      <w:r>
        <w:rPr>
          <w:rFonts w:eastAsia="Arial" w:cs="Arial"/>
          <w:i/>
          <w:iCs/>
          <w:sz w:val="20"/>
          <w:szCs w:val="20"/>
        </w:rPr>
        <w:t>e.g.,</w:t>
      </w:r>
      <w:r>
        <w:rPr>
          <w:rFonts w:eastAsia="Arial" w:cs="Arial"/>
          <w:sz w:val="20"/>
          <w:szCs w:val="20"/>
        </w:rPr>
        <w:t xml:space="preserve"> spouse) for which the associated person has trading authority; </w:t>
      </w:r>
    </w:p>
    <w:p>
      <w:pPr>
        <w:numPr>
          <w:ilvl w:val="0"/>
          <w:numId w:val="696"/>
        </w:numPr>
        <w:ind w:left="720" w:hanging="192"/>
        <w:jc w:val="left"/>
        <w:rPr>
          <w:rFonts w:eastAsia="Arial" w:cs="Arial"/>
          <w:sz w:val="20"/>
          <w:szCs w:val="20"/>
        </w:rPr>
      </w:pPr>
      <w:r>
        <w:rPr>
          <w:rFonts w:eastAsia="Arial" w:cs="Arial"/>
          <w:sz w:val="20"/>
          <w:szCs w:val="20"/>
        </w:rPr>
        <w:t xml:space="preserve">Custodial (UTMA/UGMA) accounts for minor children of the associated person or of family members, where the associated person acts as custodian; </w:t>
      </w:r>
    </w:p>
    <w:p>
      <w:pPr>
        <w:numPr>
          <w:ilvl w:val="0"/>
          <w:numId w:val="696"/>
        </w:numPr>
        <w:ind w:left="720" w:hanging="192"/>
        <w:jc w:val="left"/>
        <w:rPr>
          <w:rFonts w:eastAsia="Arial" w:cs="Arial"/>
          <w:sz w:val="20"/>
          <w:szCs w:val="20"/>
        </w:rPr>
      </w:pPr>
      <w:r>
        <w:rPr>
          <w:rFonts w:eastAsia="Arial" w:cs="Arial"/>
          <w:sz w:val="20"/>
          <w:szCs w:val="20"/>
        </w:rPr>
        <w:t xml:space="preserve">Trust accounts for family members or family friends where the associated person acts as trustee; </w:t>
      </w:r>
    </w:p>
    <w:p>
      <w:pPr>
        <w:numPr>
          <w:ilvl w:val="0"/>
          <w:numId w:val="696"/>
        </w:numPr>
        <w:ind w:left="720" w:hanging="192"/>
        <w:jc w:val="left"/>
        <w:rPr>
          <w:rFonts w:eastAsia="Arial" w:cs="Arial"/>
          <w:sz w:val="20"/>
          <w:szCs w:val="20"/>
        </w:rPr>
      </w:pPr>
      <w:r>
        <w:rPr>
          <w:rFonts w:eastAsia="Arial" w:cs="Arial"/>
          <w:sz w:val="20"/>
          <w:szCs w:val="20"/>
        </w:rPr>
        <w:t xml:space="preserve">Accounts for which the associated person is executor or executrix under the will of a family member or family friend; and </w:t>
      </w:r>
    </w:p>
    <w:p>
      <w:pPr>
        <w:numPr>
          <w:ilvl w:val="0"/>
          <w:numId w:val="696"/>
        </w:numPr>
        <w:spacing w:after="200"/>
        <w:ind w:left="720" w:hanging="192"/>
        <w:jc w:val="left"/>
        <w:rPr>
          <w:rFonts w:eastAsia="Arial" w:cs="Arial"/>
          <w:sz w:val="20"/>
          <w:szCs w:val="20"/>
        </w:rPr>
      </w:pPr>
      <w:r>
        <w:rPr>
          <w:rFonts w:eastAsia="Arial" w:cs="Arial"/>
          <w:sz w:val="20"/>
          <w:szCs w:val="20"/>
        </w:rPr>
        <w:t>Accounts for family members or family friends for whom the associated person is a guardian.</w:t>
      </w:r>
    </w:p>
    <w:p>
      <w:bookmarkEnd w:id="804"/>
      <w:bookmarkStart w:id="805" w:name="Sec_Chp_061016102257046_061016102257281"/>
    </w:p>
    <w:p>
      <w:pPr>
        <w:pStyle w:val="Heading5"/>
      </w:pPr>
      <w:r>
        <w:t>11.3.1.2.3 Solely Incidental</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Based on interpretive guidance issued by the SEC, KCD shall be deemed to be providing advisory services that is not solely incidental to its broker-dealer business and must register with the SEC as an investment adviser if KCD:</w:t>
      </w:r>
    </w:p>
    <w:p>
      <w:pPr>
        <w:numPr>
          <w:ilvl w:val="0"/>
          <w:numId w:val="697"/>
        </w:numPr>
        <w:spacing w:before="200"/>
        <w:ind w:left="720" w:hanging="192"/>
        <w:jc w:val="left"/>
        <w:rPr>
          <w:rFonts w:eastAsia="Arial" w:cs="Arial"/>
          <w:sz w:val="20"/>
          <w:szCs w:val="20"/>
        </w:rPr>
      </w:pPr>
      <w:r>
        <w:rPr>
          <w:rFonts w:eastAsia="Arial" w:cs="Arial"/>
          <w:sz w:val="20"/>
          <w:szCs w:val="20"/>
        </w:rPr>
        <w:t xml:space="preserve">Enters into a separate contract with the client or charges a separate fee for investment advisory services. If KCD charges such a separate fee, it should treat the advice as subject to the Advisers Act; or </w:t>
      </w:r>
    </w:p>
    <w:p>
      <w:pPr>
        <w:numPr>
          <w:ilvl w:val="0"/>
          <w:numId w:val="697"/>
        </w:numPr>
        <w:spacing w:after="200"/>
        <w:ind w:left="720" w:hanging="192"/>
        <w:jc w:val="left"/>
        <w:rPr>
          <w:rFonts w:eastAsia="Arial" w:cs="Arial"/>
          <w:sz w:val="20"/>
          <w:szCs w:val="20"/>
        </w:rPr>
      </w:pPr>
      <w:r>
        <w:rPr>
          <w:rFonts w:eastAsia="Arial" w:cs="Arial"/>
          <w:sz w:val="20"/>
          <w:szCs w:val="20"/>
        </w:rPr>
        <w:t>Exercises investment discretion including unlimited discretion to effect securities transactions. By having investment discretion, KCD will not be deemed to be acting solely incidental to its brokerage business. Fully discretionary accounts should be treated as advisory accounts of KCD.</w:t>
      </w:r>
    </w:p>
    <w:p>
      <w:pPr>
        <w:pStyle w:val="normal0"/>
        <w:spacing w:before="200" w:after="200"/>
        <w:rPr>
          <w:rFonts w:eastAsia="Arial" w:cs="Arial"/>
          <w:sz w:val="20"/>
          <w:szCs w:val="20"/>
        </w:rPr>
      </w:pPr>
      <w:r>
        <w:rPr>
          <w:rFonts w:eastAsia="Arial" w:cs="Arial"/>
          <w:sz w:val="20"/>
          <w:szCs w:val="20"/>
        </w:rPr>
        <w:t>If KCD is a registered broker-dealer, it may rely upon the "solely incidental" exception in the Advisers Act to not additionally register as an investment adviser if:</w:t>
      </w:r>
    </w:p>
    <w:p>
      <w:pPr>
        <w:numPr>
          <w:ilvl w:val="0"/>
          <w:numId w:val="698"/>
        </w:numPr>
        <w:spacing w:before="200"/>
        <w:ind w:left="720" w:hanging="192"/>
        <w:jc w:val="left"/>
        <w:rPr>
          <w:rFonts w:eastAsia="Arial" w:cs="Arial"/>
          <w:sz w:val="20"/>
          <w:szCs w:val="20"/>
        </w:rPr>
      </w:pPr>
      <w:r>
        <w:rPr>
          <w:rFonts w:eastAsia="Arial" w:cs="Arial"/>
          <w:sz w:val="20"/>
          <w:szCs w:val="20"/>
        </w:rPr>
        <w:t>it exercises temporary or limited discretion over a customer's account in a way that is not indicative of a relationship that is primarily advisory in nature; and</w:t>
      </w:r>
    </w:p>
    <w:p>
      <w:pPr>
        <w:numPr>
          <w:ilvl w:val="0"/>
          <w:numId w:val="698"/>
        </w:numPr>
        <w:spacing w:after="200"/>
        <w:ind w:left="720" w:hanging="192"/>
        <w:jc w:val="left"/>
        <w:rPr>
          <w:rFonts w:eastAsia="Arial" w:cs="Arial"/>
          <w:sz w:val="20"/>
          <w:szCs w:val="20"/>
        </w:rPr>
      </w:pPr>
      <w:r>
        <w:rPr>
          <w:rFonts w:eastAsia="Arial" w:cs="Arial"/>
          <w:sz w:val="20"/>
          <w:szCs w:val="20"/>
        </w:rPr>
        <w:t>investment discretion over a customer's account is limited in time, scope, or other manner and lacks the comprehensive and continuous character of investment discretion that would suggest that the relationship is primarily advisory.</w:t>
      </w:r>
    </w:p>
    <w:p>
      <w:pPr>
        <w:pStyle w:val="normal0"/>
        <w:spacing w:before="200" w:after="200"/>
        <w:rPr>
          <w:rFonts w:eastAsia="Arial" w:cs="Arial"/>
          <w:sz w:val="20"/>
          <w:szCs w:val="20"/>
        </w:rPr>
      </w:pPr>
      <w:r>
        <w:rPr>
          <w:rFonts w:eastAsia="Arial" w:cs="Arial"/>
          <w:sz w:val="20"/>
          <w:szCs w:val="20"/>
        </w:rPr>
        <w:t>Provided that the totality of the facts and circumstances relevant to determining whether temporary or limited discretion is consistent with the solely incidental exception does not indicate otherwise, the following discretionary activities would not disqualify KCD from relying upon the solely incidental exception to adviser registration:</w:t>
      </w:r>
    </w:p>
    <w:p>
      <w:pPr>
        <w:numPr>
          <w:ilvl w:val="0"/>
          <w:numId w:val="699"/>
        </w:numPr>
        <w:spacing w:before="200"/>
        <w:ind w:left="720" w:hanging="192"/>
        <w:jc w:val="left"/>
        <w:rPr>
          <w:rFonts w:eastAsia="Arial" w:cs="Arial"/>
          <w:sz w:val="20"/>
          <w:szCs w:val="20"/>
        </w:rPr>
      </w:pPr>
      <w:r>
        <w:rPr>
          <w:rFonts w:eastAsia="Arial" w:cs="Arial"/>
          <w:sz w:val="20"/>
          <w:szCs w:val="20"/>
        </w:rPr>
        <w:t>discretion as to the price at which or the time to execute an order given by a customer for the purchase or sale of a definite amount or quantity of a specified security;</w:t>
      </w:r>
    </w:p>
    <w:p>
      <w:pPr>
        <w:numPr>
          <w:ilvl w:val="0"/>
          <w:numId w:val="699"/>
        </w:numPr>
        <w:ind w:left="720" w:hanging="192"/>
        <w:jc w:val="left"/>
        <w:rPr>
          <w:rFonts w:eastAsia="Arial" w:cs="Arial"/>
          <w:sz w:val="20"/>
          <w:szCs w:val="20"/>
        </w:rPr>
      </w:pPr>
      <w:r>
        <w:rPr>
          <w:rFonts w:eastAsia="Arial" w:cs="Arial"/>
          <w:sz w:val="20"/>
          <w:szCs w:val="20"/>
        </w:rPr>
        <w:t xml:space="preserve">discretion on an isolated or infrequent basis, to purchase or sell a security or type of security when a customer is unavailable for a limited period of time; </w:t>
      </w:r>
    </w:p>
    <w:p>
      <w:pPr>
        <w:numPr>
          <w:ilvl w:val="0"/>
          <w:numId w:val="699"/>
        </w:numPr>
        <w:ind w:left="720" w:hanging="192"/>
        <w:jc w:val="left"/>
        <w:rPr>
          <w:rFonts w:eastAsia="Arial" w:cs="Arial"/>
          <w:sz w:val="20"/>
          <w:szCs w:val="20"/>
        </w:rPr>
      </w:pPr>
      <w:r>
        <w:rPr>
          <w:rFonts w:eastAsia="Arial" w:cs="Arial"/>
          <w:sz w:val="20"/>
          <w:szCs w:val="20"/>
        </w:rPr>
        <w:t>discretion as to cash management, such as to exchange a position in a money market fund for another money market fund or cash equivalent;</w:t>
      </w:r>
    </w:p>
    <w:p>
      <w:pPr>
        <w:numPr>
          <w:ilvl w:val="0"/>
          <w:numId w:val="699"/>
        </w:numPr>
        <w:ind w:left="720" w:hanging="192"/>
        <w:jc w:val="left"/>
        <w:rPr>
          <w:rFonts w:eastAsia="Arial" w:cs="Arial"/>
          <w:sz w:val="20"/>
          <w:szCs w:val="20"/>
        </w:rPr>
      </w:pPr>
      <w:r>
        <w:rPr>
          <w:rFonts w:eastAsia="Arial" w:cs="Arial"/>
          <w:sz w:val="20"/>
          <w:szCs w:val="20"/>
        </w:rPr>
        <w:t>discretion to purchase or sell securities to satisfy margin requirements, or other customer obligations that the customer has specified (in the SEC's view, there may be similar obligations to a broker-dealer or a third party whereby a broker-dealer may be authorized to make a purchase or sale, such as a sale to satisfy a collateral call);</w:t>
      </w:r>
    </w:p>
    <w:p>
      <w:pPr>
        <w:numPr>
          <w:ilvl w:val="0"/>
          <w:numId w:val="699"/>
        </w:numPr>
        <w:ind w:left="720" w:hanging="192"/>
        <w:jc w:val="left"/>
        <w:rPr>
          <w:rFonts w:eastAsia="Arial" w:cs="Arial"/>
          <w:sz w:val="20"/>
          <w:szCs w:val="20"/>
        </w:rPr>
      </w:pPr>
      <w:r>
        <w:rPr>
          <w:rFonts w:eastAsia="Arial" w:cs="Arial"/>
          <w:sz w:val="20"/>
          <w:szCs w:val="20"/>
        </w:rPr>
        <w:t>discretion to sell specific bonds or other securities and purchase similar bonds or other securities in order to permit a customer to realize a tax loss on the original position;</w:t>
      </w:r>
    </w:p>
    <w:p>
      <w:pPr>
        <w:numPr>
          <w:ilvl w:val="0"/>
          <w:numId w:val="699"/>
        </w:numPr>
        <w:ind w:left="720" w:hanging="192"/>
        <w:jc w:val="left"/>
        <w:rPr>
          <w:rFonts w:eastAsia="Arial" w:cs="Arial"/>
          <w:sz w:val="20"/>
          <w:szCs w:val="20"/>
        </w:rPr>
      </w:pPr>
      <w:r>
        <w:rPr>
          <w:rFonts w:eastAsia="Arial" w:cs="Arial"/>
          <w:sz w:val="20"/>
          <w:szCs w:val="20"/>
        </w:rPr>
        <w:t>discretion to purchase a bond with a specified credit rating and maturity; and</w:t>
      </w:r>
    </w:p>
    <w:p>
      <w:pPr>
        <w:numPr>
          <w:ilvl w:val="0"/>
          <w:numId w:val="699"/>
        </w:numPr>
        <w:spacing w:after="200"/>
        <w:ind w:left="720" w:hanging="192"/>
        <w:jc w:val="left"/>
        <w:rPr>
          <w:rFonts w:eastAsia="Arial" w:cs="Arial"/>
          <w:sz w:val="20"/>
          <w:szCs w:val="20"/>
        </w:rPr>
      </w:pPr>
      <w:r>
        <w:rPr>
          <w:rFonts w:eastAsia="Arial" w:cs="Arial"/>
          <w:sz w:val="20"/>
          <w:szCs w:val="20"/>
        </w:rPr>
        <w:t>discretion to purchase or sell a security or type of security limited by specific parameters established by the customer.</w:t>
      </w:r>
    </w:p>
    <w:p>
      <w:bookmarkEnd w:id="805"/>
      <w:bookmarkStart w:id="806" w:name="Sec_Chp_061016102257046_061016102257296"/>
    </w:p>
    <w:p>
      <w:pPr>
        <w:pStyle w:val="Heading5"/>
      </w:pPr>
      <w:r>
        <w:t>11.3.1.2.4 Special Compensation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not be deemed to be earning "special compensation" if it charges different fees for different types of brokerage services. For example, KCD will not be deemed to be earning special compensation and thus subjecting it to the registration requirements of the Advisers Act if it: (1) charges a higher fee for full-service brokerage services; and (2) a lower fee for online or discount brokerage services.</w:t>
      </w:r>
    </w:p>
    <w:p>
      <w:bookmarkEnd w:id="806"/>
      <w:bookmarkStart w:id="807" w:name="Sec_Chp_061016102257046_0610161022572963"/>
    </w:p>
    <w:p>
      <w:pPr>
        <w:pStyle w:val="Heading5"/>
      </w:pPr>
      <w:r>
        <w:t>11.3.1.2.5 Brokerage and Advisory Services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registered as an investment adviser under the Advisers Act and a broker-dealer under the Exchange Act, it need only comply with the Advisers Act with respect to KCD's advisory accounts and the Exchange Act with respect to its brokerage accounts.</w:t>
      </w:r>
    </w:p>
    <w:p>
      <w:bookmarkEnd w:id="807"/>
      <w:bookmarkStart w:id="808" w:name="Sec_Chp_061016102257046_061016102257328"/>
    </w:p>
    <w:p>
      <w:pPr>
        <w:pStyle w:val="Heading4"/>
      </w:pPr>
      <w:r>
        <w:t xml:space="preserve">11.3.1.3 De-registration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Before concluding that KCD does not meet the definition of "investment adviser" or can rely upon any of the above exemptions to not register or de-register as an investment adviser, the Chief Compliance Officer shall consult with inside or outside legal counsel who has expertise on adviser registration.</w:t>
      </w:r>
    </w:p>
    <w:p>
      <w:pPr>
        <w:pStyle w:val="normal0"/>
        <w:spacing w:before="200" w:after="200"/>
        <w:rPr>
          <w:rFonts w:eastAsia="Arial" w:cs="Arial"/>
          <w:sz w:val="20"/>
          <w:szCs w:val="20"/>
        </w:rPr>
      </w:pPr>
      <w:r>
        <w:rPr>
          <w:rFonts w:eastAsia="Arial" w:cs="Arial"/>
          <w:sz w:val="20"/>
          <w:szCs w:val="20"/>
        </w:rPr>
        <w:t>If KCD no longer meets the definition of investment adviser or is able to rely on an exemption from registration as such, KCD will take steps, including filing a Form ADV-W, to de-register as such.</w:t>
      </w:r>
    </w:p>
    <w:p>
      <w:bookmarkEnd w:id="808"/>
      <w:bookmarkStart w:id="809" w:name="Sec_Chp_061016102257046_061016102257343"/>
    </w:p>
    <w:p>
      <w:pPr>
        <w:pStyle w:val="Heading4"/>
      </w:pPr>
      <w:r>
        <w:t xml:space="preserve">11.3.1.4 Broker Status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Unless KCD is registered with the SEC as a broker, KCD, to avoid meeting the definition of "broker," shall not engage in the following activities:</w:t>
      </w:r>
    </w:p>
    <w:p>
      <w:pPr>
        <w:numPr>
          <w:ilvl w:val="0"/>
          <w:numId w:val="700"/>
        </w:numPr>
        <w:spacing w:before="200"/>
        <w:ind w:left="720" w:hanging="192"/>
        <w:jc w:val="left"/>
        <w:rPr>
          <w:rFonts w:eastAsia="Arial" w:cs="Arial"/>
          <w:sz w:val="20"/>
          <w:szCs w:val="20"/>
        </w:rPr>
      </w:pPr>
      <w:r>
        <w:rPr>
          <w:rFonts w:eastAsia="Arial" w:cs="Arial"/>
          <w:sz w:val="20"/>
          <w:szCs w:val="20"/>
        </w:rPr>
        <w:t xml:space="preserve">Receive compensation (e.g., commission) for executing of securities trades; </w:t>
      </w:r>
    </w:p>
    <w:p>
      <w:pPr>
        <w:numPr>
          <w:ilvl w:val="0"/>
          <w:numId w:val="700"/>
        </w:numPr>
        <w:ind w:left="720" w:hanging="192"/>
        <w:jc w:val="left"/>
        <w:rPr>
          <w:rFonts w:eastAsia="Arial" w:cs="Arial"/>
          <w:sz w:val="20"/>
          <w:szCs w:val="20"/>
        </w:rPr>
      </w:pPr>
      <w:r>
        <w:rPr>
          <w:rFonts w:eastAsia="Arial" w:cs="Arial"/>
          <w:sz w:val="20"/>
          <w:szCs w:val="20"/>
        </w:rPr>
        <w:t xml:space="preserve">Hold itself out as a broker or provide brokerage services; </w:t>
      </w:r>
    </w:p>
    <w:p>
      <w:pPr>
        <w:numPr>
          <w:ilvl w:val="0"/>
          <w:numId w:val="700"/>
        </w:numPr>
        <w:ind w:left="720" w:hanging="192"/>
        <w:jc w:val="left"/>
        <w:rPr>
          <w:rFonts w:eastAsia="Arial" w:cs="Arial"/>
          <w:sz w:val="20"/>
          <w:szCs w:val="20"/>
        </w:rPr>
      </w:pPr>
      <w:r>
        <w:rPr>
          <w:rFonts w:eastAsia="Arial" w:cs="Arial"/>
          <w:sz w:val="20"/>
          <w:szCs w:val="20"/>
        </w:rPr>
        <w:t xml:space="preserve">Effect securities trades; </w:t>
      </w:r>
    </w:p>
    <w:p>
      <w:pPr>
        <w:numPr>
          <w:ilvl w:val="0"/>
          <w:numId w:val="700"/>
        </w:numPr>
        <w:ind w:left="720" w:hanging="192"/>
        <w:jc w:val="left"/>
        <w:rPr>
          <w:rFonts w:eastAsia="Arial" w:cs="Arial"/>
          <w:sz w:val="20"/>
          <w:szCs w:val="20"/>
        </w:rPr>
      </w:pPr>
      <w:r>
        <w:rPr>
          <w:rFonts w:eastAsia="Arial" w:cs="Arial"/>
          <w:sz w:val="20"/>
          <w:szCs w:val="20"/>
        </w:rPr>
        <w:t xml:space="preserve">Solicit customers for brokerage services; and </w:t>
      </w:r>
    </w:p>
    <w:p>
      <w:pPr>
        <w:numPr>
          <w:ilvl w:val="0"/>
          <w:numId w:val="700"/>
        </w:numPr>
        <w:spacing w:after="200"/>
        <w:ind w:left="720" w:hanging="192"/>
        <w:jc w:val="left"/>
        <w:rPr>
          <w:rFonts w:eastAsia="Arial" w:cs="Arial"/>
          <w:sz w:val="20"/>
          <w:szCs w:val="20"/>
        </w:rPr>
      </w:pPr>
      <w:r>
        <w:rPr>
          <w:rFonts w:eastAsia="Arial" w:cs="Arial"/>
          <w:sz w:val="20"/>
          <w:szCs w:val="20"/>
        </w:rPr>
        <w:t>Participate in the order-taking or order routing process (for example, by taking transaction orders from customers).</w:t>
      </w:r>
    </w:p>
    <w:p>
      <w:pPr>
        <w:pStyle w:val="normal0"/>
        <w:spacing w:before="200" w:after="200"/>
        <w:rPr>
          <w:rFonts w:eastAsia="Arial" w:cs="Arial"/>
          <w:sz w:val="20"/>
          <w:szCs w:val="20"/>
        </w:rPr>
      </w:pPr>
      <w:r>
        <w:rPr>
          <w:rFonts w:eastAsia="Arial" w:cs="Arial"/>
          <w:sz w:val="20"/>
          <w:szCs w:val="20"/>
        </w:rPr>
        <w:t>Whether KCD or any of its employees would meet the definition of "broker" would depend upon the accumulation of these factors; i.e., no one factor will be dispositive.</w:t>
      </w:r>
    </w:p>
    <w:p>
      <w:bookmarkEnd w:id="809"/>
      <w:bookmarkStart w:id="810" w:name="Sec_Chp_061016102257046_06101611317"/>
    </w:p>
    <w:p>
      <w:pPr>
        <w:pStyle w:val="Heading4"/>
      </w:pPr>
      <w:r>
        <w:t>11.3.1.5 Family Office Exemption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meets the conditions of the family office exemption under Rule 202(a)(11)(G)-1 under the Advisers Act, it will be excluded from the definition of an "investment adviser" under the Advisers Act and thus will not be subject to regulation or registration under the Advisers Act. The three conditions generally are:</w:t>
      </w:r>
    </w:p>
    <w:p>
      <w:pPr>
        <w:numPr>
          <w:ilvl w:val="0"/>
          <w:numId w:val="701"/>
        </w:numPr>
        <w:spacing w:before="200"/>
        <w:ind w:left="720" w:hanging="192"/>
        <w:jc w:val="left"/>
        <w:rPr>
          <w:rFonts w:eastAsia="Arial" w:cs="Arial"/>
          <w:sz w:val="20"/>
          <w:szCs w:val="20"/>
        </w:rPr>
      </w:pPr>
      <w:r>
        <w:rPr>
          <w:rFonts w:eastAsia="Arial" w:cs="Arial"/>
          <w:sz w:val="20"/>
          <w:szCs w:val="20"/>
        </w:rPr>
        <w:t>the exclusion is limited to family offices that provide advice about securities only to certain "family clients;"</w:t>
      </w:r>
    </w:p>
    <w:p>
      <w:pPr>
        <w:numPr>
          <w:ilvl w:val="0"/>
          <w:numId w:val="701"/>
        </w:numPr>
        <w:ind w:left="720" w:hanging="192"/>
        <w:jc w:val="left"/>
        <w:rPr>
          <w:rFonts w:eastAsia="Arial" w:cs="Arial"/>
          <w:sz w:val="20"/>
          <w:szCs w:val="20"/>
        </w:rPr>
      </w:pPr>
      <w:r>
        <w:rPr>
          <w:rFonts w:eastAsia="Arial" w:cs="Arial"/>
          <w:sz w:val="20"/>
          <w:szCs w:val="20"/>
        </w:rPr>
        <w:t>KCD requires that family clients wholly own the family office and family members and/or family entities control the family office;</w:t>
      </w:r>
    </w:p>
    <w:p>
      <w:pPr>
        <w:numPr>
          <w:ilvl w:val="0"/>
          <w:numId w:val="701"/>
        </w:numPr>
        <w:spacing w:after="200"/>
        <w:ind w:left="720" w:hanging="192"/>
        <w:jc w:val="left"/>
        <w:rPr>
          <w:rFonts w:eastAsia="Arial" w:cs="Arial"/>
          <w:sz w:val="20"/>
          <w:szCs w:val="20"/>
        </w:rPr>
      </w:pPr>
      <w:r>
        <w:rPr>
          <w:rFonts w:eastAsia="Arial" w:cs="Arial"/>
          <w:sz w:val="20"/>
          <w:szCs w:val="20"/>
        </w:rPr>
        <w:t>KCD may not hold itself out to the public as an investment adviser.</w:t>
      </w:r>
    </w:p>
    <w:p>
      <w:pPr>
        <w:pStyle w:val="normal0"/>
        <w:spacing w:before="200" w:after="200"/>
        <w:rPr>
          <w:rFonts w:eastAsia="Arial" w:cs="Arial"/>
          <w:sz w:val="20"/>
          <w:szCs w:val="20"/>
        </w:rPr>
      </w:pPr>
      <w:r>
        <w:rPr>
          <w:rFonts w:eastAsia="Arial" w:cs="Arial"/>
          <w:sz w:val="20"/>
          <w:szCs w:val="20"/>
        </w:rPr>
        <w:t>KCD if it relies upon the family office exemption shall monitor its exempt status, including meeting the conditions of Rule 202(a)(11)(G)-1 that rely upon various definitions set forth in Rule 202(a)(11)(G)-1.</w:t>
      </w:r>
    </w:p>
    <w:p>
      <w:pPr>
        <w:pStyle w:val="normal0"/>
        <w:spacing w:before="200" w:after="200"/>
        <w:rPr>
          <w:rFonts w:eastAsia="Arial" w:cs="Arial"/>
          <w:sz w:val="20"/>
          <w:szCs w:val="20"/>
        </w:rPr>
      </w:pPr>
      <w:r>
        <w:rPr>
          <w:rFonts w:eastAsia="Arial" w:cs="Arial"/>
          <w:sz w:val="20"/>
          <w:szCs w:val="20"/>
        </w:rPr>
        <w:t>A family office that meets the definition of "family office" in Rule 202(a)(11)(G)-1 under the Advisers Act need not register as such with the CFTC or NFA provided:</w:t>
      </w:r>
    </w:p>
    <w:p>
      <w:pPr>
        <w:numPr>
          <w:ilvl w:val="0"/>
          <w:numId w:val="702"/>
        </w:numPr>
        <w:spacing w:before="200"/>
        <w:ind w:left="720" w:hanging="192"/>
        <w:jc w:val="left"/>
        <w:rPr>
          <w:rFonts w:eastAsia="Arial" w:cs="Arial"/>
          <w:sz w:val="20"/>
          <w:szCs w:val="20"/>
        </w:rPr>
      </w:pPr>
      <w:r>
        <w:rPr>
          <w:rFonts w:eastAsia="Arial" w:cs="Arial"/>
          <w:sz w:val="20"/>
          <w:szCs w:val="20"/>
        </w:rPr>
        <w:t>interests in the qualifying commodity pool are exempt from registration under the Securities Act of 1933, and such interests are sold only to "family clients;"</w:t>
      </w:r>
    </w:p>
    <w:p>
      <w:pPr>
        <w:numPr>
          <w:ilvl w:val="0"/>
          <w:numId w:val="702"/>
        </w:numPr>
        <w:ind w:left="720" w:hanging="192"/>
        <w:jc w:val="left"/>
        <w:rPr>
          <w:rFonts w:eastAsia="Arial" w:cs="Arial"/>
          <w:sz w:val="20"/>
          <w:szCs w:val="20"/>
        </w:rPr>
      </w:pPr>
      <w:r>
        <w:rPr>
          <w:rFonts w:eastAsia="Arial" w:cs="Arial"/>
          <w:sz w:val="20"/>
          <w:szCs w:val="20"/>
        </w:rPr>
        <w:t>the commodity pool qualifies as a "family office;"</w:t>
      </w:r>
    </w:p>
    <w:p>
      <w:pPr>
        <w:numPr>
          <w:ilvl w:val="0"/>
          <w:numId w:val="702"/>
        </w:numPr>
        <w:ind w:left="720" w:hanging="192"/>
        <w:jc w:val="left"/>
        <w:rPr>
          <w:rFonts w:eastAsia="Arial" w:cs="Arial"/>
          <w:sz w:val="20"/>
          <w:szCs w:val="20"/>
        </w:rPr>
      </w:pPr>
      <w:r>
        <w:rPr>
          <w:rFonts w:eastAsia="Arial" w:cs="Arial"/>
          <w:sz w:val="20"/>
          <w:szCs w:val="20"/>
        </w:rPr>
        <w:t>the person reasonably believes, at the time of investment, or at the time of conversion for an existing pool, that each person who participates in the pool is a "family client" of the "family office;" and</w:t>
      </w:r>
    </w:p>
    <w:p>
      <w:pPr>
        <w:numPr>
          <w:ilvl w:val="0"/>
          <w:numId w:val="702"/>
        </w:numPr>
        <w:spacing w:after="200"/>
        <w:ind w:left="720" w:hanging="192"/>
        <w:jc w:val="left"/>
        <w:rPr>
          <w:rFonts w:eastAsia="Arial" w:cs="Arial"/>
          <w:sz w:val="20"/>
          <w:szCs w:val="20"/>
        </w:rPr>
      </w:pPr>
      <w:r>
        <w:rPr>
          <w:rFonts w:eastAsia="Arial" w:cs="Arial"/>
          <w:sz w:val="20"/>
          <w:szCs w:val="20"/>
        </w:rPr>
        <w:t>the family office directs commodity trading advice solely to, and for the sole use of, family clients.</w:t>
      </w:r>
    </w:p>
    <w:p>
      <w:bookmarkEnd w:id="810"/>
      <w:bookmarkStart w:id="811" w:name="Sec_Chp_061016102257046_06111318"/>
    </w:p>
    <w:p>
      <w:pPr>
        <w:pStyle w:val="Heading4"/>
      </w:pPr>
      <w:r>
        <w:t>11.3.1.6 Registration Exemptions for Related Entities and Persons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may have a number of employees, related entities or other related persons providing investment advisory services to clients. Despite their investment advisory activities, they will not have to separately register with the SEC as an investment adviser. These include natural persons, special purpose vehicles and relying advisers (umbrella registrations).</w:t>
      </w:r>
    </w:p>
    <w:p>
      <w:bookmarkEnd w:id="811"/>
      <w:bookmarkStart w:id="812" w:name="Sec_Chp_061016102257046_06111318113161"/>
    </w:p>
    <w:p>
      <w:pPr>
        <w:pStyle w:val="Heading5"/>
      </w:pPr>
      <w:r>
        <w:t>11.3.1.6.1 Natural Persons Exemption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natural person associated with KCD will not have to register as an adviser solely as a result of his or her activities as associated persons of KCD.</w:t>
      </w:r>
    </w:p>
    <w:p>
      <w:bookmarkEnd w:id="812"/>
      <w:bookmarkStart w:id="813" w:name="Sec_Chp_061016102257046_06111318113162"/>
    </w:p>
    <w:p>
      <w:pPr>
        <w:pStyle w:val="Heading5"/>
      </w:pPr>
      <w:r>
        <w:t>11.3.1.6.2 Relying Adviser Exemption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purpose of the SEC's umbrella registration or relying adviser exemption is to avoid the situation where an advisory business with more than two advisers required to register has to have multiple SEC adviser registrations and maintain multiple Form ADVs. Currently, many of such advisory business relies upon the umbrella registration exemption set forth by the SEC in </w:t>
      </w:r>
      <w:r>
        <w:rPr>
          <w:rFonts w:eastAsia="Arial" w:cs="Arial"/>
          <w:i/>
          <w:iCs/>
          <w:sz w:val="20"/>
          <w:szCs w:val="20"/>
        </w:rPr>
        <w:t>American Bar Association, SEC No-Action Letter (pub. avail. Jan. 18, 2012)</w:t>
      </w:r>
      <w:r>
        <w:rPr>
          <w:rFonts w:eastAsia="Arial" w:cs="Arial"/>
          <w:sz w:val="20"/>
          <w:szCs w:val="20"/>
        </w:rPr>
        <w:t>.</w:t>
      </w:r>
    </w:p>
    <w:p>
      <w:pPr>
        <w:pStyle w:val="normal0"/>
        <w:spacing w:before="200" w:after="200"/>
        <w:rPr>
          <w:rFonts w:eastAsia="Arial" w:cs="Arial"/>
          <w:sz w:val="20"/>
          <w:szCs w:val="20"/>
        </w:rPr>
      </w:pPr>
      <w:r>
        <w:rPr>
          <w:rFonts w:eastAsia="Arial" w:cs="Arial"/>
          <w:sz w:val="20"/>
          <w:szCs w:val="20"/>
        </w:rPr>
        <w:t xml:space="preserve">When relying upon either set of conditions to avoid registering an affiliated adviser, the SEC has stated that the intent of the umbrella registration is for there to be a single advisory business made up of multiple registered advisers. The following factors are indicia of a single advisory business: </w:t>
      </w:r>
    </w:p>
    <w:p>
      <w:pPr>
        <w:numPr>
          <w:ilvl w:val="0"/>
          <w:numId w:val="703"/>
        </w:numPr>
        <w:spacing w:before="200"/>
        <w:ind w:left="720" w:hanging="192"/>
        <w:jc w:val="left"/>
        <w:rPr>
          <w:rFonts w:eastAsia="Arial" w:cs="Arial"/>
          <w:sz w:val="20"/>
          <w:szCs w:val="20"/>
        </w:rPr>
      </w:pPr>
      <w:r>
        <w:rPr>
          <w:rFonts w:eastAsia="Arial" w:cs="Arial"/>
          <w:sz w:val="20"/>
          <w:szCs w:val="20"/>
        </w:rPr>
        <w:t>commonality of advisory services and clients;</w:t>
      </w:r>
    </w:p>
    <w:p>
      <w:pPr>
        <w:numPr>
          <w:ilvl w:val="0"/>
          <w:numId w:val="703"/>
        </w:numPr>
        <w:ind w:left="720" w:hanging="192"/>
        <w:jc w:val="left"/>
        <w:rPr>
          <w:rFonts w:eastAsia="Arial" w:cs="Arial"/>
          <w:sz w:val="20"/>
          <w:szCs w:val="20"/>
        </w:rPr>
      </w:pPr>
      <w:r>
        <w:rPr>
          <w:rFonts w:eastAsia="Arial" w:cs="Arial"/>
          <w:sz w:val="20"/>
          <w:szCs w:val="20"/>
        </w:rPr>
        <w:t>a consistent application of the Advisers Act and the rules thereunder to all advisers in the business; and</w:t>
      </w:r>
    </w:p>
    <w:p>
      <w:pPr>
        <w:numPr>
          <w:ilvl w:val="0"/>
          <w:numId w:val="703"/>
        </w:numPr>
        <w:spacing w:after="200"/>
        <w:ind w:left="720" w:hanging="192"/>
        <w:jc w:val="left"/>
        <w:rPr>
          <w:rFonts w:eastAsia="Arial" w:cs="Arial"/>
          <w:sz w:val="20"/>
          <w:szCs w:val="20"/>
        </w:rPr>
      </w:pPr>
      <w:r>
        <w:rPr>
          <w:rFonts w:eastAsia="Arial" w:cs="Arial"/>
          <w:sz w:val="20"/>
          <w:szCs w:val="20"/>
        </w:rPr>
        <w:t xml:space="preserve">a unified compliance program. </w:t>
      </w:r>
    </w:p>
    <w:p>
      <w:pPr>
        <w:pStyle w:val="normal0"/>
        <w:spacing w:before="200" w:after="200"/>
        <w:rPr>
          <w:rFonts w:eastAsia="Arial" w:cs="Arial"/>
          <w:sz w:val="20"/>
          <w:szCs w:val="20"/>
        </w:rPr>
      </w:pPr>
      <w:r>
        <w:rPr>
          <w:rFonts w:eastAsia="Arial" w:cs="Arial"/>
          <w:sz w:val="20"/>
          <w:szCs w:val="20"/>
        </w:rPr>
        <w:t xml:space="preserve">If KCD has affiliated advisers that will elect to be relying advisers to avoid having to separately register as investment advisers with the SEC, it will meet the conditions set forth below. In large part, these conditions are duplicative of the conditions set forth in </w:t>
      </w:r>
      <w:r>
        <w:rPr>
          <w:rFonts w:eastAsia="Arial" w:cs="Arial"/>
          <w:i/>
          <w:iCs/>
          <w:sz w:val="20"/>
          <w:szCs w:val="20"/>
        </w:rPr>
        <w:t>American Bar Association, SEC No-Action Letter (pub. avail. Jan. 18, 2012)</w:t>
      </w:r>
      <w:r>
        <w:rPr>
          <w:rFonts w:eastAsia="Arial" w:cs="Arial"/>
          <w:sz w:val="20"/>
          <w:szCs w:val="20"/>
        </w:rPr>
        <w:t>.</w:t>
      </w:r>
    </w:p>
    <w:p>
      <w:pPr>
        <w:numPr>
          <w:ilvl w:val="0"/>
          <w:numId w:val="704"/>
        </w:numPr>
        <w:spacing w:before="200"/>
        <w:ind w:left="720" w:hanging="267"/>
        <w:jc w:val="left"/>
        <w:rPr>
          <w:rFonts w:eastAsia="Arial" w:cs="Arial"/>
          <w:sz w:val="20"/>
          <w:szCs w:val="20"/>
        </w:rPr>
      </w:pPr>
      <w:r>
        <w:rPr>
          <w:rFonts w:eastAsia="Arial" w:cs="Arial"/>
          <w:sz w:val="20"/>
          <w:szCs w:val="20"/>
        </w:rPr>
        <w:t>The filing adviser and each relying adviser advise only private funds and clients in separately managed accounts that are qualified clients (as defined in Rule 205-3 under the Advisers Act) and are otherwise eligible to invest in the private funds advised by the filing adviser or a relying adviser and whose accounts pursue investment objectives and strategies that are substantially similar or otherwise related to those private funds;</w:t>
      </w:r>
    </w:p>
    <w:p>
      <w:pPr>
        <w:numPr>
          <w:ilvl w:val="0"/>
          <w:numId w:val="704"/>
        </w:numPr>
        <w:ind w:left="720" w:hanging="267"/>
        <w:jc w:val="left"/>
        <w:rPr>
          <w:rFonts w:eastAsia="Arial" w:cs="Arial"/>
          <w:sz w:val="20"/>
          <w:szCs w:val="20"/>
        </w:rPr>
      </w:pPr>
      <w:r>
        <w:rPr>
          <w:rFonts w:eastAsia="Arial" w:cs="Arial"/>
          <w:sz w:val="20"/>
          <w:szCs w:val="20"/>
        </w:rPr>
        <w:t>The filing adviser has its principal office and place of business in the United States and, therefore, all of the substantive provisions of the Advisers Act and the rules thereunder apply to the filing adviser's and each relying adviser's dealings with each of its clients, regardless of whether any client or the filing adviser or relying adviser providing the advice is a United States person;</w:t>
      </w:r>
    </w:p>
    <w:p>
      <w:pPr>
        <w:numPr>
          <w:ilvl w:val="0"/>
          <w:numId w:val="704"/>
        </w:numPr>
        <w:ind w:left="720" w:hanging="267"/>
        <w:jc w:val="left"/>
        <w:rPr>
          <w:rFonts w:eastAsia="Arial" w:cs="Arial"/>
          <w:sz w:val="20"/>
          <w:szCs w:val="20"/>
        </w:rPr>
      </w:pPr>
      <w:r>
        <w:rPr>
          <w:rFonts w:eastAsia="Arial" w:cs="Arial"/>
          <w:sz w:val="20"/>
          <w:szCs w:val="20"/>
        </w:rPr>
        <w:t>Each relying adviser, its employees and the persons acting on its behalf are subject to the filing adviser's supervision and control and, therefore, each relying adviser, its employees and the persons acting on its behalf are "persons associated with" the filing adviser (as defined in section 202(a)(17) of the Advisers Act);</w:t>
      </w:r>
    </w:p>
    <w:p>
      <w:pPr>
        <w:numPr>
          <w:ilvl w:val="0"/>
          <w:numId w:val="704"/>
        </w:numPr>
        <w:ind w:left="720" w:hanging="267"/>
        <w:jc w:val="left"/>
        <w:rPr>
          <w:rFonts w:eastAsia="Arial" w:cs="Arial"/>
          <w:sz w:val="20"/>
          <w:szCs w:val="20"/>
        </w:rPr>
      </w:pPr>
      <w:r>
        <w:rPr>
          <w:rFonts w:eastAsia="Arial" w:cs="Arial"/>
          <w:sz w:val="20"/>
          <w:szCs w:val="20"/>
        </w:rPr>
        <w:t>The advisory activities of each relying adviser are subject to the Advisers Act and the rules thereunder, and each relying adviser is subject to examination by the Commission; and</w:t>
      </w:r>
    </w:p>
    <w:p>
      <w:pPr>
        <w:numPr>
          <w:ilvl w:val="0"/>
          <w:numId w:val="704"/>
        </w:numPr>
        <w:spacing w:after="200"/>
        <w:ind w:left="720" w:hanging="267"/>
        <w:jc w:val="left"/>
        <w:rPr>
          <w:rFonts w:eastAsia="Arial" w:cs="Arial"/>
          <w:sz w:val="20"/>
          <w:szCs w:val="20"/>
        </w:rPr>
      </w:pPr>
      <w:r>
        <w:rPr>
          <w:rFonts w:eastAsia="Arial" w:cs="Arial"/>
          <w:sz w:val="20"/>
          <w:szCs w:val="20"/>
        </w:rPr>
        <w:t xml:space="preserve">The filing adviser and each relying adviser operate under a single code of ethics adopted in accordance with Rule 204A-1 under the Advisers Act and a single set of written policies and procedures adopted and implemented in accordance with Rule 206(4)-(7) under the Advisers Act and administered by a single chief compliance officer in accordance with that rule. </w:t>
      </w:r>
    </w:p>
    <w:p>
      <w:pPr>
        <w:pStyle w:val="normal0"/>
        <w:spacing w:before="200" w:after="200"/>
        <w:rPr>
          <w:rFonts w:eastAsia="Arial" w:cs="Arial"/>
          <w:sz w:val="20"/>
          <w:szCs w:val="20"/>
        </w:rPr>
      </w:pPr>
      <w:r>
        <w:rPr>
          <w:rFonts w:eastAsia="Arial" w:cs="Arial"/>
          <w:b/>
          <w:bCs/>
          <w:sz w:val="20"/>
          <w:szCs w:val="20"/>
        </w:rPr>
        <w:t>Eligibility</w:t>
      </w:r>
    </w:p>
    <w:p>
      <w:pPr>
        <w:pStyle w:val="normal0"/>
        <w:spacing w:before="200" w:after="200"/>
        <w:rPr>
          <w:rFonts w:eastAsia="Arial" w:cs="Arial"/>
          <w:sz w:val="20"/>
          <w:szCs w:val="20"/>
        </w:rPr>
      </w:pPr>
      <w:r>
        <w:rPr>
          <w:rFonts w:eastAsia="Arial" w:cs="Arial"/>
          <w:sz w:val="20"/>
          <w:szCs w:val="20"/>
        </w:rPr>
        <w:t>Prior to any entity related to KCD deeming itself to be a Relying Adviser, KCD will confirm that such entity is eligible to register with the SEC pursuant to one or more of the categories set forth in Section 2 of Form ADV Schedule R.</w:t>
      </w:r>
    </w:p>
    <w:p>
      <w:pPr>
        <w:pStyle w:val="normal0"/>
        <w:spacing w:before="200" w:after="200"/>
        <w:rPr>
          <w:rFonts w:eastAsia="Arial" w:cs="Arial"/>
          <w:sz w:val="20"/>
          <w:szCs w:val="20"/>
        </w:rPr>
      </w:pPr>
      <w:r>
        <w:rPr>
          <w:rFonts w:eastAsia="Arial" w:cs="Arial"/>
          <w:b/>
          <w:bCs/>
          <w:sz w:val="20"/>
          <w:szCs w:val="20"/>
        </w:rPr>
        <w:t>Schedule R</w:t>
      </w:r>
    </w:p>
    <w:p>
      <w:pPr>
        <w:pStyle w:val="normal0"/>
        <w:spacing w:before="200" w:after="200"/>
        <w:rPr>
          <w:rFonts w:eastAsia="Arial" w:cs="Arial"/>
          <w:sz w:val="20"/>
          <w:szCs w:val="20"/>
        </w:rPr>
      </w:pPr>
      <w:r>
        <w:rPr>
          <w:rFonts w:eastAsia="Arial" w:cs="Arial"/>
          <w:sz w:val="20"/>
          <w:szCs w:val="20"/>
        </w:rPr>
        <w:t>Schedule R to Part 1A must be filed for each relying adviser of KCD. Schedule R consolidates in one location information about each Relying Adviser, including:</w:t>
      </w:r>
    </w:p>
    <w:p>
      <w:pPr>
        <w:numPr>
          <w:ilvl w:val="0"/>
          <w:numId w:val="705"/>
        </w:numPr>
        <w:spacing w:before="200"/>
        <w:ind w:left="720" w:hanging="192"/>
        <w:jc w:val="left"/>
        <w:rPr>
          <w:rFonts w:eastAsia="Arial" w:cs="Arial"/>
          <w:sz w:val="20"/>
          <w:szCs w:val="20"/>
        </w:rPr>
      </w:pPr>
      <w:r>
        <w:rPr>
          <w:rFonts w:eastAsia="Arial" w:cs="Arial"/>
          <w:sz w:val="20"/>
          <w:szCs w:val="20"/>
        </w:rPr>
        <w:t>identifying information (Section 1);</w:t>
      </w:r>
    </w:p>
    <w:p>
      <w:pPr>
        <w:numPr>
          <w:ilvl w:val="0"/>
          <w:numId w:val="705"/>
        </w:numPr>
        <w:ind w:left="720" w:hanging="192"/>
        <w:jc w:val="left"/>
        <w:rPr>
          <w:rFonts w:eastAsia="Arial" w:cs="Arial"/>
          <w:sz w:val="20"/>
          <w:szCs w:val="20"/>
        </w:rPr>
      </w:pPr>
      <w:r>
        <w:rPr>
          <w:rFonts w:eastAsia="Arial" w:cs="Arial"/>
          <w:sz w:val="20"/>
          <w:szCs w:val="20"/>
        </w:rPr>
        <w:t>the basis for SEC registration (Section 2);</w:t>
      </w:r>
    </w:p>
    <w:p>
      <w:pPr>
        <w:numPr>
          <w:ilvl w:val="0"/>
          <w:numId w:val="705"/>
        </w:numPr>
        <w:ind w:left="720" w:hanging="192"/>
        <w:jc w:val="left"/>
        <w:rPr>
          <w:rFonts w:eastAsia="Arial" w:cs="Arial"/>
          <w:sz w:val="20"/>
          <w:szCs w:val="20"/>
        </w:rPr>
      </w:pPr>
      <w:r>
        <w:rPr>
          <w:rFonts w:eastAsia="Arial" w:cs="Arial"/>
          <w:sz w:val="20"/>
          <w:szCs w:val="20"/>
        </w:rPr>
        <w:t>form of organization (Section 3); and</w:t>
      </w:r>
    </w:p>
    <w:p>
      <w:pPr>
        <w:numPr>
          <w:ilvl w:val="0"/>
          <w:numId w:val="705"/>
        </w:numPr>
        <w:spacing w:after="200"/>
        <w:ind w:left="720" w:hanging="192"/>
        <w:jc w:val="left"/>
        <w:rPr>
          <w:rFonts w:eastAsia="Arial" w:cs="Arial"/>
          <w:sz w:val="20"/>
          <w:szCs w:val="20"/>
        </w:rPr>
      </w:pPr>
      <w:r>
        <w:rPr>
          <w:rFonts w:eastAsia="Arial" w:cs="Arial"/>
          <w:sz w:val="20"/>
          <w:szCs w:val="20"/>
        </w:rPr>
        <w:t>control persons and information regarding the Relying Adviser's owners and executive officers (Section 4).</w:t>
      </w:r>
    </w:p>
    <w:p>
      <w:pPr>
        <w:pStyle w:val="normal0"/>
        <w:spacing w:before="200" w:after="200"/>
        <w:rPr>
          <w:rFonts w:eastAsia="Arial" w:cs="Arial"/>
          <w:sz w:val="20"/>
          <w:szCs w:val="20"/>
        </w:rPr>
      </w:pPr>
      <w:r>
        <w:rPr>
          <w:rFonts w:eastAsia="Arial" w:cs="Arial"/>
          <w:sz w:val="20"/>
          <w:szCs w:val="20"/>
        </w:rPr>
        <w:t>Note that KCD must distinguish whether it or any of its Relying Advisers manage or sponsor the private funds that are reported in response to Section 7.B.(1) of Schedule D on Form ADV.</w:t>
      </w:r>
    </w:p>
    <w:p>
      <w:bookmarkEnd w:id="813"/>
      <w:bookmarkStart w:id="814" w:name="Sec_Chp_061016102257046_06111318113163"/>
    </w:p>
    <w:p>
      <w:pPr>
        <w:pStyle w:val="Heading5"/>
      </w:pPr>
      <w:r>
        <w:t>11.3.1.6.3 Special Purpose Vehicle Exemption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 entity (special purpose vehicle or SPV) set up to provide certain services to a private fund advised by KCD will not have to separately register as an investment adviser with the SEC provided:</w:t>
      </w:r>
    </w:p>
    <w:p>
      <w:pPr>
        <w:numPr>
          <w:ilvl w:val="0"/>
          <w:numId w:val="706"/>
        </w:numPr>
        <w:spacing w:before="200"/>
        <w:ind w:left="720" w:hanging="192"/>
        <w:jc w:val="left"/>
        <w:rPr>
          <w:rFonts w:eastAsia="Arial" w:cs="Arial"/>
          <w:sz w:val="20"/>
          <w:szCs w:val="20"/>
        </w:rPr>
      </w:pPr>
      <w:r>
        <w:rPr>
          <w:rFonts w:eastAsia="Arial" w:cs="Arial"/>
          <w:sz w:val="20"/>
          <w:szCs w:val="20"/>
        </w:rPr>
        <w:t>KCD establishes the SPV to act as the private fund's general partner or managing member;</w:t>
      </w:r>
    </w:p>
    <w:p>
      <w:pPr>
        <w:numPr>
          <w:ilvl w:val="0"/>
          <w:numId w:val="706"/>
        </w:numPr>
        <w:ind w:left="720" w:hanging="192"/>
        <w:jc w:val="left"/>
        <w:rPr>
          <w:rFonts w:eastAsia="Arial" w:cs="Arial"/>
          <w:sz w:val="20"/>
          <w:szCs w:val="20"/>
        </w:rPr>
      </w:pPr>
      <w:r>
        <w:rPr>
          <w:rFonts w:eastAsia="Arial" w:cs="Arial"/>
          <w:sz w:val="20"/>
          <w:szCs w:val="20"/>
        </w:rPr>
        <w:t>the SPV's formation documents designate the investment adviser to manage the private fund's assets;</w:t>
      </w:r>
    </w:p>
    <w:p>
      <w:pPr>
        <w:numPr>
          <w:ilvl w:val="0"/>
          <w:numId w:val="706"/>
        </w:numPr>
        <w:ind w:left="720" w:hanging="192"/>
        <w:jc w:val="left"/>
        <w:rPr>
          <w:rFonts w:eastAsia="Arial" w:cs="Arial"/>
          <w:sz w:val="20"/>
          <w:szCs w:val="20"/>
        </w:rPr>
      </w:pPr>
      <w:r>
        <w:rPr>
          <w:rFonts w:eastAsia="Arial" w:cs="Arial"/>
          <w:sz w:val="20"/>
          <w:szCs w:val="20"/>
        </w:rPr>
        <w:t>all of the investment advisory activities of the SPV are subject to the Advisers Act and the rules thereunder, and the SPV is subject to examination by the SEC; and</w:t>
      </w:r>
    </w:p>
    <w:p>
      <w:pPr>
        <w:numPr>
          <w:ilvl w:val="0"/>
          <w:numId w:val="706"/>
        </w:numPr>
        <w:spacing w:after="200"/>
        <w:ind w:left="720" w:hanging="192"/>
        <w:jc w:val="left"/>
        <w:rPr>
          <w:rFonts w:eastAsia="Arial" w:cs="Arial"/>
          <w:sz w:val="20"/>
          <w:szCs w:val="20"/>
        </w:rPr>
      </w:pPr>
      <w:r>
        <w:rPr>
          <w:rFonts w:eastAsia="Arial" w:cs="Arial"/>
          <w:sz w:val="20"/>
          <w:szCs w:val="20"/>
        </w:rPr>
        <w:t>KCD subjects the SPV, its employees and persons acting on its behalf to KCD's supervision and control and, therefore, the SPV, all of its employees and the persons acting on its behalf are "persons associated with" the registered adviser (as defined in section 202(a)(17) of the Advisers Act).</w:t>
      </w:r>
    </w:p>
    <w:p>
      <w:bookmarkEnd w:id="814"/>
      <w:bookmarkStart w:id="815" w:name="Sec_Chp_061016102257046_06111319"/>
    </w:p>
    <w:p>
      <w:pPr>
        <w:pStyle w:val="Heading4"/>
      </w:pPr>
      <w:r>
        <w:t>11.3.1.7 Venture Capital Adviser Exemption</w:t>
      </w:r>
    </w:p>
    <w:p/>
    <w:p>
      <w:pPr>
        <w:rPr>
          <w:rFonts w:eastAsia="Arial" w:cs="Arial"/>
          <w:sz w:val="16"/>
          <w:szCs w:val="16"/>
        </w:rPr>
      </w:pPr>
      <w:r>
        <w:rPr>
          <w:rFonts w:eastAsia="Arial" w:cs="Arial"/>
          <w:sz w:val="16"/>
          <w:szCs w:val="16"/>
        </w:rPr>
        <w:t>[Investment Advisers Act of 1940 Rule 203(1)-1]</w:t>
      </w:r>
    </w:p>
    <w:p/>
    <w:p>
      <w:pPr>
        <w:pStyle w:val="normal0"/>
        <w:spacing w:after="200"/>
        <w:rPr>
          <w:rFonts w:eastAsia="Arial" w:cs="Arial"/>
          <w:sz w:val="20"/>
          <w:szCs w:val="20"/>
        </w:rPr>
      </w:pPr>
      <w:r>
        <w:rPr>
          <w:rFonts w:eastAsia="Arial" w:cs="Arial"/>
          <w:sz w:val="20"/>
          <w:szCs w:val="20"/>
        </w:rPr>
        <w:t>If KCD provides investment advice solely to venture capital funds, it will not be required to register with the SEC as an investment adviser. However, it will have the status of an "exempt reporting adviser" and as such be required to file certain (but not all) information required by Form ADV with the SEC.</w:t>
      </w:r>
    </w:p>
    <w:p>
      <w:pPr>
        <w:pStyle w:val="normal0"/>
        <w:spacing w:before="200" w:after="200"/>
        <w:rPr>
          <w:rFonts w:eastAsia="Arial" w:cs="Arial"/>
          <w:sz w:val="20"/>
          <w:szCs w:val="20"/>
        </w:rPr>
      </w:pPr>
      <w:r>
        <w:rPr>
          <w:rFonts w:eastAsia="Arial" w:cs="Arial"/>
          <w:sz w:val="20"/>
          <w:szCs w:val="20"/>
        </w:rPr>
        <w:t>A venture capital fund is an entity that:</w:t>
      </w:r>
    </w:p>
    <w:p>
      <w:pPr>
        <w:numPr>
          <w:ilvl w:val="0"/>
          <w:numId w:val="707"/>
        </w:numPr>
        <w:spacing w:before="200"/>
        <w:ind w:left="720" w:hanging="192"/>
        <w:jc w:val="left"/>
        <w:rPr>
          <w:rFonts w:eastAsia="Arial" w:cs="Arial"/>
          <w:sz w:val="20"/>
          <w:szCs w:val="20"/>
        </w:rPr>
      </w:pPr>
      <w:r>
        <w:rPr>
          <w:rFonts w:eastAsia="Arial" w:cs="Arial"/>
          <w:sz w:val="20"/>
          <w:szCs w:val="20"/>
        </w:rPr>
        <w:t>holds no more than 20% of its capital commitments in non-qualifying investments (other than short-term holdings); qualifying investments generally consist of equity securities of qualifying portfolio companies;</w:t>
      </w:r>
    </w:p>
    <w:p>
      <w:pPr>
        <w:numPr>
          <w:ilvl w:val="0"/>
          <w:numId w:val="707"/>
        </w:numPr>
        <w:ind w:left="720" w:hanging="192"/>
        <w:jc w:val="left"/>
        <w:rPr>
          <w:rFonts w:eastAsia="Arial" w:cs="Arial"/>
          <w:sz w:val="20"/>
          <w:szCs w:val="20"/>
        </w:rPr>
      </w:pPr>
      <w:r>
        <w:rPr>
          <w:rFonts w:eastAsia="Arial" w:cs="Arial"/>
          <w:sz w:val="20"/>
          <w:szCs w:val="20"/>
        </w:rPr>
        <w:t>does not borrow or otherwise incur leverage, other than limited short-term borrowing (excluding certain guarantees of qualifying portfolio company obligations by the fund);</w:t>
      </w:r>
    </w:p>
    <w:p>
      <w:pPr>
        <w:numPr>
          <w:ilvl w:val="0"/>
          <w:numId w:val="707"/>
        </w:numPr>
        <w:ind w:left="720" w:hanging="192"/>
        <w:jc w:val="left"/>
        <w:rPr>
          <w:rFonts w:eastAsia="Arial" w:cs="Arial"/>
          <w:sz w:val="20"/>
          <w:szCs w:val="20"/>
        </w:rPr>
      </w:pPr>
      <w:r>
        <w:rPr>
          <w:rFonts w:eastAsia="Arial" w:cs="Arial"/>
          <w:sz w:val="20"/>
          <w:szCs w:val="20"/>
        </w:rPr>
        <w:t>does not offer its investors redemption or other similar liquidity rights except in extraordinary circumstances;</w:t>
      </w:r>
    </w:p>
    <w:p>
      <w:pPr>
        <w:numPr>
          <w:ilvl w:val="0"/>
          <w:numId w:val="707"/>
        </w:numPr>
        <w:ind w:left="720" w:hanging="192"/>
        <w:jc w:val="left"/>
        <w:rPr>
          <w:rFonts w:eastAsia="Arial" w:cs="Arial"/>
          <w:sz w:val="20"/>
          <w:szCs w:val="20"/>
        </w:rPr>
      </w:pPr>
      <w:r>
        <w:rPr>
          <w:rFonts w:eastAsia="Arial" w:cs="Arial"/>
          <w:sz w:val="20"/>
          <w:szCs w:val="20"/>
        </w:rPr>
        <w:t>represents itself as pursuing a venture capital strategy to its investors and prospective investors; and</w:t>
      </w:r>
    </w:p>
    <w:p>
      <w:pPr>
        <w:numPr>
          <w:ilvl w:val="0"/>
          <w:numId w:val="707"/>
        </w:numPr>
        <w:spacing w:after="200"/>
        <w:ind w:left="720" w:hanging="192"/>
        <w:jc w:val="left"/>
        <w:rPr>
          <w:rFonts w:eastAsia="Arial" w:cs="Arial"/>
          <w:sz w:val="20"/>
          <w:szCs w:val="20"/>
        </w:rPr>
      </w:pPr>
      <w:r>
        <w:rPr>
          <w:rFonts w:eastAsia="Arial" w:cs="Arial"/>
          <w:sz w:val="20"/>
          <w:szCs w:val="20"/>
        </w:rPr>
        <w:t>is not registered under the Investment Company Act of 1940 and has not elected to be treated as a business development company (BDC).</w:t>
      </w:r>
    </w:p>
    <w:p>
      <w:pPr>
        <w:pStyle w:val="normal0"/>
        <w:spacing w:before="200" w:after="200"/>
        <w:rPr>
          <w:rFonts w:eastAsia="Arial" w:cs="Arial"/>
          <w:sz w:val="20"/>
          <w:szCs w:val="20"/>
        </w:rPr>
      </w:pPr>
      <w:r>
        <w:rPr>
          <w:rFonts w:eastAsia="Arial" w:cs="Arial"/>
          <w:sz w:val="20"/>
          <w:szCs w:val="20"/>
        </w:rPr>
        <w:t>The Chief Compliance Officer, where necessary, will refer to definitions in Rule 203(1)-1 when reviewing whether this exemption is available to KCD.</w:t>
      </w:r>
    </w:p>
    <w:p>
      <w:bookmarkEnd w:id="815"/>
      <w:bookmarkStart w:id="816" w:name="Sec_Chp_061016102257046_11318"/>
    </w:p>
    <w:p>
      <w:pPr>
        <w:pStyle w:val="Heading4"/>
      </w:pPr>
      <w:r>
        <w:t>11.3.1.8 Advisory Operations Through a Foreign Affiliate</w:t>
      </w:r>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Multi-national financial firms rely on the staff's positions in a line of no-action letters sometimes referred to as the "Unibanco letters" regarding the extra- territorial application of the Investment Advisers Act of 1940. In the Unibanco letters, the staff provided assurances that it would not recommend enforcement action to the SEC regarding the applicability of the substantive provisions of the Advisers Act with respect to a non-U.S. adviser's relationships with its non-U.S. clients. In addition, the staff agreed not to recommend enforcement action to the SEC under section 203(a) of the Advisers Act if a non-U.S. advisory affiliate of a registered adviser, often termed a "participating affiliate," shares personnel with, and provides certain services to U.S. clients through, the registered adviser, without such participating affiliate registering under the Advisers Act. </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If KCD has one or more affiliates providing investment advice and elects to not register such affiliates (the Unregistered Participating Affiliate), KCD will at all times make sure that:</w:t>
      </w:r>
    </w:p>
    <w:p>
      <w:pPr>
        <w:numPr>
          <w:ilvl w:val="0"/>
          <w:numId w:val="708"/>
        </w:numPr>
        <w:spacing w:before="200"/>
        <w:ind w:left="720" w:hanging="192"/>
        <w:jc w:val="left"/>
        <w:rPr>
          <w:rFonts w:eastAsia="Arial" w:cs="Arial"/>
          <w:sz w:val="20"/>
          <w:szCs w:val="20"/>
        </w:rPr>
      </w:pPr>
      <w:r>
        <w:rPr>
          <w:rFonts w:eastAsia="Arial" w:cs="Arial"/>
          <w:sz w:val="20"/>
          <w:szCs w:val="20"/>
        </w:rPr>
        <w:t>KCD and Unregistered Participating Affiliate are separately organized;</w:t>
      </w:r>
    </w:p>
    <w:p>
      <w:pPr>
        <w:numPr>
          <w:ilvl w:val="0"/>
          <w:numId w:val="708"/>
        </w:numPr>
        <w:ind w:left="720" w:hanging="192"/>
        <w:jc w:val="left"/>
        <w:rPr>
          <w:rFonts w:eastAsia="Arial" w:cs="Arial"/>
          <w:sz w:val="20"/>
          <w:szCs w:val="20"/>
        </w:rPr>
      </w:pPr>
      <w:r>
        <w:rPr>
          <w:rFonts w:eastAsia="Arial" w:cs="Arial"/>
          <w:sz w:val="20"/>
          <w:szCs w:val="20"/>
        </w:rPr>
        <w:t>KCD is staffed with personnel (located in the U.S. or abroad) who are capable of providing investment advice;</w:t>
      </w:r>
    </w:p>
    <w:p>
      <w:pPr>
        <w:numPr>
          <w:ilvl w:val="0"/>
          <w:numId w:val="708"/>
        </w:numPr>
        <w:ind w:left="720" w:hanging="192"/>
        <w:jc w:val="left"/>
        <w:rPr>
          <w:rFonts w:eastAsia="Arial" w:cs="Arial"/>
          <w:sz w:val="20"/>
          <w:szCs w:val="20"/>
        </w:rPr>
      </w:pPr>
      <w:r>
        <w:rPr>
          <w:rFonts w:eastAsia="Arial" w:cs="Arial"/>
          <w:sz w:val="20"/>
          <w:szCs w:val="20"/>
        </w:rPr>
        <w:t>all personnel of the participating affiliate involved in U.S. advisory activities are deemed "associated persons" of KCD; and</w:t>
      </w:r>
    </w:p>
    <w:p>
      <w:pPr>
        <w:numPr>
          <w:ilvl w:val="0"/>
          <w:numId w:val="708"/>
        </w:numPr>
        <w:spacing w:after="200"/>
        <w:ind w:left="720" w:hanging="192"/>
        <w:jc w:val="left"/>
        <w:rPr>
          <w:rFonts w:eastAsia="Arial" w:cs="Arial"/>
          <w:sz w:val="20"/>
          <w:szCs w:val="20"/>
        </w:rPr>
      </w:pPr>
      <w:r>
        <w:rPr>
          <w:rFonts w:eastAsia="Arial" w:cs="Arial"/>
          <w:sz w:val="20"/>
          <w:szCs w:val="20"/>
        </w:rPr>
        <w:t xml:space="preserve">the SEC has adequate access to trading and other records of the participating affiliate and to its personnel to the extent necessary to enable it to identify conduct that may harm U.S. clients or markets. </w:t>
      </w:r>
    </w:p>
    <w:p>
      <w:pPr>
        <w:pStyle w:val="normal0"/>
        <w:spacing w:before="200" w:after="200"/>
        <w:rPr>
          <w:rFonts w:eastAsia="Arial" w:cs="Arial"/>
          <w:sz w:val="20"/>
          <w:szCs w:val="20"/>
        </w:rPr>
      </w:pPr>
      <w:r>
        <w:rPr>
          <w:rFonts w:eastAsia="Arial" w:cs="Arial"/>
          <w:sz w:val="20"/>
          <w:szCs w:val="20"/>
        </w:rPr>
        <w:t>In addition, if KCD has an arrangement in which one or more Unregistered Participating Affiliates that seek to share personnel with, and provide certain services to U.S. clients through, KCD without such Unregistered Participating Affiliates registering under the Advisers Act, it will submit to the SEC the following information:</w:t>
      </w:r>
    </w:p>
    <w:p>
      <w:pPr>
        <w:numPr>
          <w:ilvl w:val="0"/>
          <w:numId w:val="709"/>
        </w:numPr>
        <w:spacing w:before="200"/>
        <w:ind w:left="720" w:hanging="192"/>
        <w:jc w:val="left"/>
        <w:rPr>
          <w:rFonts w:eastAsia="Arial" w:cs="Arial"/>
          <w:sz w:val="20"/>
          <w:szCs w:val="20"/>
        </w:rPr>
      </w:pPr>
      <w:r>
        <w:rPr>
          <w:rFonts w:eastAsia="Arial" w:cs="Arial"/>
          <w:sz w:val="20"/>
          <w:szCs w:val="20"/>
        </w:rPr>
        <w:t>The name of the Firm and Unregistered Participating Affiliates, and a representation that each Unregistered Participating Affiliate is an associated person of the registered adviser within the meaning of Section 202(a)(17) of the Advisers Act.</w:t>
      </w:r>
    </w:p>
    <w:p>
      <w:pPr>
        <w:numPr>
          <w:ilvl w:val="0"/>
          <w:numId w:val="709"/>
        </w:numPr>
        <w:ind w:left="720" w:hanging="192"/>
        <w:jc w:val="left"/>
        <w:rPr>
          <w:rFonts w:eastAsia="Arial" w:cs="Arial"/>
          <w:sz w:val="20"/>
          <w:szCs w:val="20"/>
        </w:rPr>
      </w:pPr>
      <w:r>
        <w:rPr>
          <w:rFonts w:eastAsia="Arial" w:cs="Arial"/>
          <w:sz w:val="20"/>
          <w:szCs w:val="20"/>
        </w:rPr>
        <w:t>Documentation of the appointment of an agent for service of process by each Unregistered Participating Affiliate, including the name and contact information of such agent.</w:t>
      </w:r>
    </w:p>
    <w:p>
      <w:pPr>
        <w:numPr>
          <w:ilvl w:val="0"/>
          <w:numId w:val="709"/>
        </w:numPr>
        <w:ind w:left="720" w:hanging="192"/>
        <w:jc w:val="left"/>
        <w:rPr>
          <w:rFonts w:eastAsia="Arial" w:cs="Arial"/>
          <w:sz w:val="20"/>
          <w:szCs w:val="20"/>
        </w:rPr>
      </w:pPr>
      <w:r>
        <w:rPr>
          <w:rFonts w:eastAsia="Arial" w:cs="Arial"/>
          <w:sz w:val="20"/>
          <w:szCs w:val="20"/>
        </w:rPr>
        <w:t xml:space="preserve">A representation that each Unregistered Participating Affiliate is under the jurisdiction of U.S. courts for actions arising, directly or indirectly, under U.S. securities laws or the securities laws of any state in connection with any of the following for U.S. clients: (1) investment advisory activities; (2) related securities activities arising out of or relating to any investment advisory services provided by the participating affiliate through its registered adviser; and (3) any related transactions. In addition, a representation that the participating affiliate has designated and appointed, without power of revocation, [insert agent] upon whom may be served all process, pleadings, or other papers in </w:t>
      </w:r>
    </w:p>
    <w:p>
      <w:pPr>
        <w:numPr>
          <w:ilvl w:val="1"/>
          <w:numId w:val="709"/>
        </w:numPr>
        <w:ind w:left="1440" w:hanging="220"/>
        <w:jc w:val="left"/>
        <w:rPr>
          <w:rFonts w:eastAsia="Arial" w:cs="Arial"/>
          <w:sz w:val="20"/>
          <w:szCs w:val="20"/>
        </w:rPr>
      </w:pPr>
      <w:r>
        <w:rPr>
          <w:rFonts w:eastAsia="Arial" w:cs="Arial"/>
          <w:sz w:val="20"/>
          <w:szCs w:val="20"/>
        </w:rPr>
        <w:t>any investigation or administrative proceeding conducted by the SEC; and</w:t>
      </w:r>
    </w:p>
    <w:p>
      <w:pPr>
        <w:numPr>
          <w:ilvl w:val="1"/>
          <w:numId w:val="709"/>
        </w:numPr>
        <w:ind w:left="1440" w:hanging="220"/>
        <w:jc w:val="left"/>
        <w:rPr>
          <w:rFonts w:eastAsia="Arial" w:cs="Arial"/>
          <w:sz w:val="20"/>
          <w:szCs w:val="20"/>
        </w:rPr>
      </w:pPr>
      <w:r>
        <w:rPr>
          <w:rFonts w:eastAsia="Arial" w:cs="Arial"/>
          <w:sz w:val="20"/>
          <w:szCs w:val="20"/>
        </w:rPr>
        <w:t>any civil suit or action brought against the registered adviser or the Unregistered Participating Affiliates or in which the participating affiliate has been joined as defendant or respondent, in any appropriate court in any place subject to the jurisdiction of any state or of the U.S. or any of its territories or possessions or the District of Columbia in connection with the activities and transactions enumerated in this paragraph.</w:t>
      </w:r>
    </w:p>
    <w:p>
      <w:pPr>
        <w:numPr>
          <w:ilvl w:val="0"/>
          <w:numId w:val="709"/>
        </w:numPr>
        <w:ind w:left="720" w:hanging="192"/>
        <w:jc w:val="left"/>
        <w:rPr>
          <w:rFonts w:eastAsia="Arial" w:cs="Arial"/>
          <w:sz w:val="20"/>
          <w:szCs w:val="20"/>
        </w:rPr>
      </w:pPr>
      <w:r>
        <w:rPr>
          <w:rFonts w:eastAsia="Arial" w:cs="Arial"/>
          <w:sz w:val="20"/>
          <w:szCs w:val="20"/>
        </w:rPr>
        <w:t>A representation that any such civil suit or action or administrative proceeding may be commenced by the service of process upon, and service of an administrative subpoena shall be effective service upon, [insert agent], and such service shall be taken and held in all courts and administrative tribunals to be valid and binding as if personal service has been made.</w:t>
      </w:r>
    </w:p>
    <w:p>
      <w:pPr>
        <w:numPr>
          <w:ilvl w:val="0"/>
          <w:numId w:val="709"/>
        </w:numPr>
        <w:ind w:left="720" w:hanging="192"/>
        <w:jc w:val="left"/>
        <w:rPr>
          <w:rFonts w:eastAsia="Arial" w:cs="Arial"/>
          <w:sz w:val="20"/>
          <w:szCs w:val="20"/>
        </w:rPr>
      </w:pPr>
      <w:r>
        <w:rPr>
          <w:rFonts w:eastAsia="Arial" w:cs="Arial"/>
          <w:sz w:val="20"/>
          <w:szCs w:val="20"/>
        </w:rPr>
        <w:t>A representation that the participating affiliate will appoint a successor agent if the Unregistered Participating Affiliates or any person discharges the [insert agent] or the [insert agent] is unwilling or unable to accept service on behalf of the participating affiliate at any time until six years have elapsed from the date of the last investment advisory activity. Additionally, the participating affiliate undertakes to advise the SEC promptly of any change to [insert agent]'s name or address during the applicable period.</w:t>
      </w:r>
    </w:p>
    <w:p>
      <w:pPr>
        <w:numPr>
          <w:ilvl w:val="0"/>
          <w:numId w:val="709"/>
        </w:numPr>
        <w:ind w:left="720" w:hanging="192"/>
        <w:jc w:val="left"/>
        <w:rPr>
          <w:rFonts w:eastAsia="Arial" w:cs="Arial"/>
          <w:sz w:val="20"/>
          <w:szCs w:val="20"/>
        </w:rPr>
      </w:pPr>
      <w:r>
        <w:rPr>
          <w:rFonts w:eastAsia="Arial" w:cs="Arial"/>
          <w:sz w:val="20"/>
          <w:szCs w:val="20"/>
        </w:rPr>
        <w:t>A representation that the participating affiliate will promptly, upon receipt of an administrative subpoena, demand, or request for voluntary cooperation made during a routine or special inspection or otherwise, provide to the SEC or the SEC's staff any and all of the books and records required to be maintained in accordance with staff guidance, and make available for testimony before, or other questioning by, the SEC or the SEC's staff the employees of the participating affiliate (other than clerical or ministerial personnel) involved in the investment advisory activities or related securities transactions, at such place as the SEC may designate in the U.S. or, at the SEC's option, in the country where the records are kept or such personnel reside.</w:t>
      </w:r>
    </w:p>
    <w:p>
      <w:pPr>
        <w:numPr>
          <w:ilvl w:val="0"/>
          <w:numId w:val="709"/>
        </w:numPr>
        <w:spacing w:after="200"/>
        <w:ind w:left="720" w:hanging="192"/>
        <w:jc w:val="left"/>
        <w:rPr>
          <w:rFonts w:eastAsia="Arial" w:cs="Arial"/>
          <w:sz w:val="20"/>
          <w:szCs w:val="20"/>
        </w:rPr>
      </w:pPr>
      <w:r>
        <w:rPr>
          <w:rFonts w:eastAsia="Arial" w:cs="Arial"/>
          <w:sz w:val="20"/>
          <w:szCs w:val="20"/>
        </w:rPr>
        <w:t>A representation that the Unregistered Participating Affiliates will produce, pursuant to an administrative subpoena or a request for voluntary cooperation, any documents in accordance with staff guidance.</w:t>
      </w:r>
    </w:p>
    <w:p>
      <w:pPr>
        <w:pStyle w:val="normal0"/>
        <w:spacing w:before="200" w:after="200"/>
        <w:rPr>
          <w:rFonts w:eastAsia="Arial" w:cs="Arial"/>
          <w:sz w:val="20"/>
          <w:szCs w:val="20"/>
        </w:rPr>
      </w:pPr>
      <w:r>
        <w:rPr>
          <w:rFonts w:eastAsia="Arial" w:cs="Arial"/>
          <w:sz w:val="20"/>
          <w:szCs w:val="20"/>
        </w:rPr>
        <w:t>KCD shall submit the information above to the SEC pursuant to the procedures set forth in:</w:t>
      </w:r>
    </w:p>
    <w:p>
      <w:pPr>
        <w:pStyle w:val="normal0"/>
        <w:spacing w:before="200" w:after="200"/>
        <w:rPr>
          <w:rFonts w:eastAsia="Arial" w:cs="Arial"/>
          <w:sz w:val="20"/>
          <w:szCs w:val="20"/>
        </w:rPr>
      </w:pPr>
      <w:hyperlink r:id="rId23" w:tgtFrame="_blank" w:history="1">
        <w:r>
          <w:rPr>
            <w:rStyle w:val="Hyperlink"/>
            <w:rFonts w:eastAsia="Arial" w:cs="Arial"/>
            <w:color w:val="0000EE"/>
            <w:sz w:val="20"/>
            <w:szCs w:val="20"/>
            <w:u w:color="0000EE"/>
          </w:rPr>
          <w:t>https://www.sec.gov/investment/im-info-2017-03.pdf</w:t>
        </w:r>
      </w:hyperlink>
    </w:p>
    <w:p>
      <w:pPr>
        <w:pStyle w:val="normal0"/>
        <w:spacing w:before="200" w:after="200"/>
        <w:rPr>
          <w:rFonts w:eastAsia="Arial" w:cs="Arial"/>
          <w:sz w:val="20"/>
          <w:szCs w:val="20"/>
        </w:rPr>
      </w:pPr>
      <w:r>
        <w:rPr>
          <w:rFonts w:eastAsia="Arial" w:cs="Arial"/>
          <w:sz w:val="20"/>
          <w:szCs w:val="20"/>
        </w:rPr>
        <w:t xml:space="preserve">If KCD has any questions re: the submission, it will contact the Chief Counsel's office of the SEC's Division of Investment Management by dialing: (202) 551-6825 or by clicking: </w:t>
      </w:r>
      <w:hyperlink r:id="rId24" w:tgtFrame="_blank" w:history="1">
        <w:r>
          <w:rPr>
            <w:rStyle w:val="Hyperlink"/>
            <w:rFonts w:eastAsia="Arial" w:cs="Arial"/>
            <w:color w:val="0000EE"/>
            <w:sz w:val="20"/>
            <w:szCs w:val="20"/>
            <w:u w:color="0000EE"/>
          </w:rPr>
          <w:t>https://www.sec.gov/investment/Article/investment_about.html</w:t>
        </w:r>
      </w:hyperlink>
      <w:r>
        <w:rPr>
          <w:rFonts w:eastAsia="Arial" w:cs="Arial"/>
          <w:sz w:val="20"/>
          <w:szCs w:val="20"/>
        </w:rPr>
        <w:t xml:space="preserve"> and following the instructions.</w:t>
      </w:r>
    </w:p>
    <w:p>
      <w:bookmarkEnd w:id="816"/>
      <w:bookmarkStart w:id="817" w:name="Sec_Chp_061016102257046_0611131911318"/>
    </w:p>
    <w:p>
      <w:pPr>
        <w:pStyle w:val="Heading4"/>
      </w:pPr>
      <w:r>
        <w:t>11.3.1.9 Successor Registration</w:t>
      </w:r>
    </w:p>
    <w:p/>
    <w:p>
      <w:pPr>
        <w:rPr>
          <w:rFonts w:eastAsia="Arial" w:cs="Arial"/>
          <w:sz w:val="16"/>
          <w:szCs w:val="16"/>
        </w:rPr>
      </w:pPr>
      <w:r>
        <w:rPr>
          <w:rFonts w:eastAsia="Arial" w:cs="Arial"/>
          <w:sz w:val="16"/>
          <w:szCs w:val="16"/>
        </w:rPr>
        <w:t>[IM Guidance Update, No. 2016-05 (November 2016)]</w:t>
      </w:r>
    </w:p>
    <w:p/>
    <w:p>
      <w:pPr>
        <w:pStyle w:val="normal0"/>
        <w:spacing w:after="200"/>
        <w:rPr>
          <w:rFonts w:eastAsia="Arial" w:cs="Arial"/>
          <w:sz w:val="20"/>
          <w:szCs w:val="20"/>
        </w:rPr>
      </w:pPr>
      <w:r>
        <w:rPr>
          <w:rFonts w:eastAsia="Arial" w:cs="Arial"/>
          <w:sz w:val="20"/>
          <w:szCs w:val="20"/>
        </w:rPr>
        <w:t>KCD may undergo an event that impacts its registration as an investment adviser with the SEC. In such circumstances, KCD may be able to avoid filing a new registration statement if it qualifies as a "successor" for purposes of Form ADV.</w:t>
      </w:r>
    </w:p>
    <w:p>
      <w:pPr>
        <w:pStyle w:val="normal0"/>
        <w:spacing w:before="200" w:after="200"/>
        <w:rPr>
          <w:rFonts w:eastAsia="Arial" w:cs="Arial"/>
          <w:sz w:val="20"/>
          <w:szCs w:val="20"/>
        </w:rPr>
      </w:pPr>
      <w:r>
        <w:rPr>
          <w:rFonts w:eastAsia="Arial" w:cs="Arial"/>
          <w:sz w:val="20"/>
          <w:szCs w:val="20"/>
        </w:rPr>
        <w:t>KCD, as a successor, may rely upon a predecessor's registration under the Advisers Act with the SEC under the following circumstances:</w:t>
      </w:r>
    </w:p>
    <w:p>
      <w:pPr>
        <w:numPr>
          <w:ilvl w:val="0"/>
          <w:numId w:val="710"/>
        </w:numPr>
        <w:spacing w:before="200"/>
        <w:ind w:left="720" w:hanging="192"/>
        <w:jc w:val="left"/>
        <w:rPr>
          <w:rFonts w:eastAsia="Arial" w:cs="Arial"/>
          <w:sz w:val="20"/>
          <w:szCs w:val="20"/>
        </w:rPr>
      </w:pPr>
      <w:r>
        <w:rPr>
          <w:rFonts w:eastAsia="Arial" w:cs="Arial"/>
          <w:sz w:val="20"/>
          <w:szCs w:val="20"/>
        </w:rPr>
        <w:t>a change of the state or territory in which a business is organized and/or a change in its form of organization;</w:t>
      </w:r>
    </w:p>
    <w:p>
      <w:pPr>
        <w:numPr>
          <w:ilvl w:val="0"/>
          <w:numId w:val="710"/>
        </w:numPr>
        <w:ind w:left="720" w:hanging="192"/>
        <w:jc w:val="left"/>
        <w:rPr>
          <w:rFonts w:eastAsia="Arial" w:cs="Arial"/>
          <w:sz w:val="20"/>
          <w:szCs w:val="20"/>
        </w:rPr>
      </w:pPr>
      <w:r>
        <w:rPr>
          <w:rFonts w:eastAsia="Arial" w:cs="Arial"/>
          <w:sz w:val="20"/>
          <w:szCs w:val="20"/>
        </w:rPr>
        <w:t>a change in control or a change in leadership at an investment adviser;</w:t>
      </w:r>
    </w:p>
    <w:p>
      <w:pPr>
        <w:numPr>
          <w:ilvl w:val="0"/>
          <w:numId w:val="710"/>
        </w:numPr>
        <w:ind w:left="720" w:hanging="192"/>
        <w:jc w:val="left"/>
        <w:rPr>
          <w:rFonts w:eastAsia="Arial" w:cs="Arial"/>
          <w:sz w:val="20"/>
          <w:szCs w:val="20"/>
        </w:rPr>
      </w:pPr>
      <w:r>
        <w:rPr>
          <w:rFonts w:eastAsia="Arial" w:cs="Arial"/>
          <w:sz w:val="20"/>
          <w:szCs w:val="20"/>
        </w:rPr>
        <w:t>a change in ownership of an investment adviser;</w:t>
      </w:r>
    </w:p>
    <w:p>
      <w:pPr>
        <w:numPr>
          <w:ilvl w:val="0"/>
          <w:numId w:val="710"/>
        </w:numPr>
        <w:ind w:left="720" w:hanging="192"/>
        <w:jc w:val="left"/>
        <w:rPr>
          <w:rFonts w:eastAsia="Arial" w:cs="Arial"/>
          <w:sz w:val="20"/>
          <w:szCs w:val="20"/>
        </w:rPr>
      </w:pPr>
      <w:r>
        <w:rPr>
          <w:rFonts w:eastAsia="Arial" w:cs="Arial"/>
          <w:sz w:val="20"/>
          <w:szCs w:val="20"/>
        </w:rPr>
        <w:t>an acquisition of a portion of an investment advisory business; and</w:t>
      </w:r>
    </w:p>
    <w:p>
      <w:pPr>
        <w:numPr>
          <w:ilvl w:val="0"/>
          <w:numId w:val="710"/>
        </w:numPr>
        <w:spacing w:after="200"/>
        <w:ind w:left="720" w:hanging="192"/>
        <w:jc w:val="left"/>
        <w:rPr>
          <w:rFonts w:eastAsia="Arial" w:cs="Arial"/>
          <w:sz w:val="20"/>
          <w:szCs w:val="20"/>
        </w:rPr>
      </w:pPr>
      <w:r>
        <w:rPr>
          <w:rFonts w:eastAsia="Arial" w:cs="Arial"/>
          <w:sz w:val="20"/>
          <w:szCs w:val="20"/>
        </w:rPr>
        <w:t>an internal reorganization at an investment adviser.</w:t>
      </w:r>
    </w:p>
    <w:p>
      <w:pPr>
        <w:pStyle w:val="normal0"/>
        <w:spacing w:before="200" w:after="200"/>
        <w:rPr>
          <w:rFonts w:eastAsia="Arial" w:cs="Arial"/>
          <w:sz w:val="20"/>
          <w:szCs w:val="20"/>
        </w:rPr>
      </w:pPr>
      <w:r>
        <w:rPr>
          <w:rFonts w:eastAsia="Arial" w:cs="Arial"/>
          <w:sz w:val="20"/>
          <w:szCs w:val="20"/>
        </w:rPr>
        <w:t>KCD may rely on the registration of its predecessor provided KCD, as the successor, files an application to register as an investment adviser within thirty days after taking over the predecessor's business. Prior to relying upon successor registration, KCD will review IM Guidance Update, No. 2016-05 (November 2016) and other relevant legal guidance and consult outside counsel.</w:t>
      </w:r>
    </w:p>
    <w:p>
      <w:bookmarkEnd w:id="817"/>
      <w:bookmarkStart w:id="818" w:name="Sec_Chp_061016102257046_247073"/>
    </w:p>
    <w:p>
      <w:pPr>
        <w:pStyle w:val="Heading4"/>
      </w:pPr>
      <w:r>
        <w:t>11.3.1.10 Internet Adviser Exemption</w:t>
      </w:r>
    </w:p>
    <w:p/>
    <w:p>
      <w:pPr>
        <w:rPr>
          <w:rFonts w:eastAsia="Arial" w:cs="Arial"/>
          <w:sz w:val="16"/>
          <w:szCs w:val="16"/>
        </w:rPr>
      </w:pPr>
      <w:r>
        <w:rPr>
          <w:rFonts w:eastAsia="Arial" w:cs="Arial"/>
          <w:sz w:val="16"/>
          <w:szCs w:val="16"/>
        </w:rPr>
        <w:t>[Investment Advisers Act of 1940 Rule 203A-2(e)]</w:t>
      </w:r>
    </w:p>
    <w:p/>
    <w:p>
      <w:pPr>
        <w:spacing w:after="200"/>
        <w:rPr>
          <w:rFonts w:eastAsia="Arial" w:cs="Arial"/>
          <w:sz w:val="20"/>
          <w:szCs w:val="20"/>
        </w:rPr>
      </w:pPr>
      <w:r>
        <w:rPr>
          <w:rFonts w:eastAsia="Arial" w:cs="Arial"/>
          <w:sz w:val="20"/>
          <w:szCs w:val="20"/>
        </w:rPr>
        <w:t>KCD may rely on the SEC's internet adviser exemption to provide investment advice without registering as an investment adviser with the SEC if it meets the following conditions:</w:t>
      </w:r>
    </w:p>
    <w:p>
      <w:pPr>
        <w:numPr>
          <w:ilvl w:val="0"/>
          <w:numId w:val="711"/>
        </w:numPr>
        <w:spacing w:before="200"/>
        <w:ind w:left="720" w:hanging="267"/>
        <w:jc w:val="left"/>
        <w:rPr>
          <w:rFonts w:eastAsia="Arial" w:cs="Arial"/>
          <w:sz w:val="20"/>
          <w:szCs w:val="20"/>
        </w:rPr>
      </w:pPr>
      <w:r>
        <w:rPr>
          <w:rFonts w:eastAsia="Arial" w:cs="Arial"/>
          <w:sz w:val="20"/>
          <w:szCs w:val="20"/>
        </w:rPr>
        <w:t>Provides investment advice to all of its clients exclusively through an interactive website (except that the investment adviser may provide investment advice to fewer than 15 clients through other means during the preceding twelve months);</w:t>
      </w:r>
    </w:p>
    <w:p>
      <w:pPr>
        <w:numPr>
          <w:ilvl w:val="0"/>
          <w:numId w:val="711"/>
        </w:numPr>
        <w:ind w:left="720" w:hanging="267"/>
        <w:jc w:val="left"/>
        <w:rPr>
          <w:rFonts w:eastAsia="Arial" w:cs="Arial"/>
          <w:sz w:val="20"/>
          <w:szCs w:val="20"/>
        </w:rPr>
      </w:pPr>
      <w:r>
        <w:rPr>
          <w:rFonts w:eastAsia="Arial" w:cs="Arial"/>
          <w:sz w:val="20"/>
          <w:szCs w:val="20"/>
        </w:rPr>
        <w:t>Maintains, in an easily accessible place, for a period of not less than five years from the filing of a Form ADV that includes a representation that KCD is eligible to register with the SEC, a record demonstrating that it provides investment advice to its clients exclusively through an interactive website; and</w:t>
      </w:r>
    </w:p>
    <w:p>
      <w:pPr>
        <w:numPr>
          <w:ilvl w:val="0"/>
          <w:numId w:val="711"/>
        </w:numPr>
        <w:spacing w:after="200"/>
        <w:ind w:left="720" w:hanging="267"/>
        <w:jc w:val="left"/>
        <w:rPr>
          <w:rFonts w:eastAsia="Arial" w:cs="Arial"/>
          <w:sz w:val="20"/>
          <w:szCs w:val="20"/>
        </w:rPr>
      </w:pPr>
      <w:r>
        <w:rPr>
          <w:rFonts w:eastAsia="Arial" w:cs="Arial"/>
          <w:sz w:val="20"/>
          <w:szCs w:val="20"/>
        </w:rPr>
        <w:t>Does not control, is not controlled by, and is not under common control with, another investment adviser that is registered with the SEC</w:t>
      </w:r>
      <w:r>
        <w:rPr>
          <w:rFonts w:eastAsia="Arial" w:cs="Arial"/>
          <w:i/>
          <w:iCs/>
          <w:sz w:val="20"/>
          <w:szCs w:val="20"/>
        </w:rPr>
        <w:t>.</w:t>
      </w:r>
    </w:p>
    <w:p>
      <w:pPr>
        <w:pStyle w:val="normal0"/>
        <w:spacing w:before="200" w:after="200"/>
        <w:rPr>
          <w:rFonts w:eastAsia="Arial" w:cs="Arial"/>
          <w:sz w:val="20"/>
          <w:szCs w:val="20"/>
        </w:rPr>
      </w:pPr>
      <w:r>
        <w:rPr>
          <w:rFonts w:eastAsia="Arial" w:cs="Arial"/>
          <w:sz w:val="20"/>
          <w:szCs w:val="20"/>
        </w:rPr>
        <w:t>"Interactive website" means a website in which computer software-based models or applications provide investment advice to clients based on personal information each client supplies through the website.</w:t>
      </w:r>
    </w:p>
    <w:p>
      <w:bookmarkEnd w:id="818"/>
      <w:bookmarkStart w:id="819" w:name="Sec_Chp_061016102257046_061016102257359"/>
    </w:p>
    <w:p>
      <w:pPr>
        <w:pStyle w:val="Heading3"/>
      </w:pPr>
      <w:bookmarkStart w:id="820" w:name="_Toc256000216"/>
      <w:r>
        <w:t>11.3.2 SEC vs. State Registration and AUM Calculation</w:t>
      </w:r>
      <w:bookmarkEnd w:id="820"/>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register, and maintain its registration, with the proper regulatory authority based upon client assets it has under management.</w:t>
      </w:r>
    </w:p>
    <w:p>
      <w:pPr>
        <w:pStyle w:val="normal0"/>
        <w:spacing w:before="200" w:after="200"/>
        <w:rPr>
          <w:rFonts w:eastAsia="Arial" w:cs="Arial"/>
          <w:sz w:val="20"/>
          <w:szCs w:val="20"/>
        </w:rPr>
      </w:pPr>
      <w:r>
        <w:rPr>
          <w:rFonts w:eastAsia="Arial" w:cs="Arial"/>
          <w:sz w:val="20"/>
          <w:szCs w:val="20"/>
        </w:rPr>
        <w:t xml:space="preserve">If Firm personnel have questions regarding whether KCD is eligible to register or remain registered with the SEC as an investment adviser or whether it must withdraw from being an SEC-registered investment adviser, such personnel should contact the SEC at </w:t>
      </w:r>
      <w:hyperlink r:id="rId25" w:tgtFrame="_blank" w:history="1">
        <w:r>
          <w:rPr>
            <w:rStyle w:val="Hyperlink"/>
            <w:rFonts w:eastAsia="Arial" w:cs="Arial"/>
            <w:color w:val="0000EE"/>
            <w:sz w:val="20"/>
            <w:szCs w:val="20"/>
            <w:u w:color="0000EE"/>
          </w:rPr>
          <w:t>https://secsearch.sec.gov/search?utf8=%3F&amp;affiliate=secsearch&amp;query=EXAMS+Registration+Inquiries</w:t>
        </w:r>
      </w:hyperlink>
      <w:r>
        <w:rPr>
          <w:rFonts w:eastAsia="Arial" w:cs="Arial"/>
          <w:sz w:val="20"/>
          <w:szCs w:val="20"/>
        </w:rPr>
        <w:t xml:space="preserve">. </w:t>
      </w:r>
    </w:p>
    <w:p>
      <w:bookmarkEnd w:id="819"/>
      <w:bookmarkStart w:id="821" w:name="Sec_Chp_061016102257046_061016102257375"/>
    </w:p>
    <w:p>
      <w:pPr>
        <w:pStyle w:val="Heading4"/>
      </w:pPr>
      <w:r>
        <w:t>11.3.2.1 Calculation of Assets Under Management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is required to calculate its assets under management for various regulatory reasons, including disclosure in Part 1A and Part 2A (Firm Brochure) of its registration statement.</w:t>
      </w:r>
    </w:p>
    <w:p>
      <w:bookmarkEnd w:id="821"/>
      <w:bookmarkStart w:id="822" w:name="Sec_Chp_061016102257046_0610163432113211"/>
    </w:p>
    <w:p>
      <w:pPr>
        <w:pStyle w:val="Heading5"/>
      </w:pPr>
      <w:r>
        <w:t>11.3.2.1.1 Proper Regulatory Authority AUM Determination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calculating assets for purposes of determining the proper regulatory authority pursuant to Items 2.A. and 5.F. of Part 1A of Form ADV, KCD will count assets as being under its management only if they are in "securities portfolios" with respect to which KCD provides "continuous and regular supervisory or management services."</w:t>
      </w:r>
    </w:p>
    <w:p>
      <w:pPr>
        <w:pStyle w:val="normal0"/>
        <w:spacing w:before="200" w:after="200"/>
        <w:rPr>
          <w:rFonts w:eastAsia="Arial" w:cs="Arial"/>
          <w:sz w:val="20"/>
          <w:szCs w:val="20"/>
        </w:rPr>
      </w:pPr>
      <w:r>
        <w:rPr>
          <w:rFonts w:eastAsia="Arial" w:cs="Arial"/>
          <w:b/>
          <w:bCs/>
          <w:sz w:val="20"/>
          <w:szCs w:val="20"/>
        </w:rPr>
        <w:t>Securities Portfolios</w:t>
      </w:r>
    </w:p>
    <w:p>
      <w:pPr>
        <w:pStyle w:val="normal0"/>
        <w:spacing w:before="200" w:after="200"/>
        <w:rPr>
          <w:rFonts w:eastAsia="Arial" w:cs="Arial"/>
          <w:sz w:val="20"/>
          <w:szCs w:val="20"/>
        </w:rPr>
      </w:pPr>
      <w:r>
        <w:rPr>
          <w:rFonts w:eastAsia="Arial" w:cs="Arial"/>
          <w:sz w:val="20"/>
          <w:szCs w:val="20"/>
        </w:rPr>
        <w:t>An account is a "securities portfolio" if at least 50% of the total value of the account consists of securities. For purposes of this 50% test, KCD may treat cash and cash equivalents (</w:t>
      </w:r>
      <w:r>
        <w:rPr>
          <w:rFonts w:eastAsia="Arial" w:cs="Arial"/>
          <w:i/>
          <w:iCs/>
          <w:sz w:val="20"/>
          <w:szCs w:val="20"/>
        </w:rPr>
        <w:t>i.e.,</w:t>
      </w:r>
      <w:r>
        <w:rPr>
          <w:rFonts w:eastAsia="Arial" w:cs="Arial"/>
          <w:sz w:val="20"/>
          <w:szCs w:val="20"/>
        </w:rPr>
        <w:t xml:space="preserve"> bank deposits, certificates of deposit, bankers acceptances, and similar bank instruments) as securities. KCD may include securities portfolios that are:</w:t>
      </w:r>
    </w:p>
    <w:p>
      <w:pPr>
        <w:numPr>
          <w:ilvl w:val="0"/>
          <w:numId w:val="712"/>
        </w:numPr>
        <w:spacing w:before="200"/>
        <w:ind w:left="720" w:hanging="192"/>
        <w:jc w:val="left"/>
        <w:rPr>
          <w:rFonts w:eastAsia="Arial" w:cs="Arial"/>
          <w:sz w:val="20"/>
          <w:szCs w:val="20"/>
        </w:rPr>
      </w:pPr>
      <w:r>
        <w:rPr>
          <w:rFonts w:eastAsia="Arial" w:cs="Arial"/>
          <w:sz w:val="20"/>
          <w:szCs w:val="20"/>
        </w:rPr>
        <w:t>family or proprietary accounts (unless KCD is a sole proprietor, in which case its personal assets must be excluded);</w:t>
      </w:r>
    </w:p>
    <w:p>
      <w:pPr>
        <w:numPr>
          <w:ilvl w:val="0"/>
          <w:numId w:val="712"/>
        </w:numPr>
        <w:ind w:left="720" w:hanging="192"/>
        <w:jc w:val="left"/>
        <w:rPr>
          <w:rFonts w:eastAsia="Arial" w:cs="Arial"/>
          <w:sz w:val="20"/>
          <w:szCs w:val="20"/>
        </w:rPr>
      </w:pPr>
      <w:r>
        <w:rPr>
          <w:rFonts w:eastAsia="Arial" w:cs="Arial"/>
          <w:sz w:val="20"/>
          <w:szCs w:val="20"/>
        </w:rPr>
        <w:t>accounts for which KCD receives no compensation for its services; and</w:t>
      </w:r>
    </w:p>
    <w:p>
      <w:pPr>
        <w:numPr>
          <w:ilvl w:val="0"/>
          <w:numId w:val="712"/>
        </w:numPr>
        <w:spacing w:after="200"/>
        <w:ind w:left="720" w:hanging="192"/>
        <w:jc w:val="left"/>
        <w:rPr>
          <w:rFonts w:eastAsia="Arial" w:cs="Arial"/>
          <w:sz w:val="20"/>
          <w:szCs w:val="20"/>
        </w:rPr>
      </w:pPr>
      <w:r>
        <w:rPr>
          <w:rFonts w:eastAsia="Arial" w:cs="Arial"/>
          <w:sz w:val="20"/>
          <w:szCs w:val="20"/>
        </w:rPr>
        <w:t>accounts of clients who are not U.S. residents.</w:t>
      </w:r>
    </w:p>
    <w:p>
      <w:pPr>
        <w:pStyle w:val="normal0"/>
        <w:spacing w:before="200" w:after="200"/>
        <w:rPr>
          <w:rFonts w:eastAsia="Arial" w:cs="Arial"/>
          <w:sz w:val="20"/>
          <w:szCs w:val="20"/>
        </w:rPr>
      </w:pPr>
      <w:r>
        <w:rPr>
          <w:rFonts w:eastAsia="Arial" w:cs="Arial"/>
          <w:sz w:val="20"/>
          <w:szCs w:val="20"/>
        </w:rPr>
        <w:t>The value of the portfolio includes the entire value of each securities portfolio for which KCD provides continuous and regular supervisory or management services. If KCD provides continuous and regular supervisory or management services for only a portion of a securities portfolio, it will include as assets under management only that portion of the securities portfolio for which KCD provides such services. It will exclude, for example, the portion of an account:</w:t>
      </w:r>
    </w:p>
    <w:p>
      <w:pPr>
        <w:numPr>
          <w:ilvl w:val="0"/>
          <w:numId w:val="713"/>
        </w:numPr>
        <w:spacing w:before="200"/>
        <w:ind w:left="720" w:hanging="192"/>
        <w:jc w:val="left"/>
        <w:rPr>
          <w:rFonts w:eastAsia="Arial" w:cs="Arial"/>
          <w:sz w:val="20"/>
          <w:szCs w:val="20"/>
        </w:rPr>
      </w:pPr>
      <w:r>
        <w:rPr>
          <w:rFonts w:eastAsia="Arial" w:cs="Arial"/>
          <w:sz w:val="20"/>
          <w:szCs w:val="20"/>
        </w:rPr>
        <w:t>under management by another advisory firm; or</w:t>
      </w:r>
    </w:p>
    <w:p>
      <w:pPr>
        <w:numPr>
          <w:ilvl w:val="0"/>
          <w:numId w:val="713"/>
        </w:numPr>
        <w:spacing w:after="200"/>
        <w:ind w:left="720" w:hanging="192"/>
        <w:jc w:val="left"/>
        <w:rPr>
          <w:rFonts w:eastAsia="Arial" w:cs="Arial"/>
          <w:sz w:val="20"/>
          <w:szCs w:val="20"/>
        </w:rPr>
      </w:pPr>
      <w:r>
        <w:rPr>
          <w:rFonts w:eastAsia="Arial" w:cs="Arial"/>
          <w:sz w:val="20"/>
          <w:szCs w:val="20"/>
        </w:rPr>
        <w:t>that consists of real estate or businesses whose operations KCD manages on behalf of a client but not as an investment.</w:t>
      </w:r>
    </w:p>
    <w:p>
      <w:pPr>
        <w:pStyle w:val="normal0"/>
        <w:spacing w:before="200" w:after="200"/>
        <w:rPr>
          <w:rFonts w:eastAsia="Arial" w:cs="Arial"/>
          <w:sz w:val="20"/>
          <w:szCs w:val="20"/>
        </w:rPr>
      </w:pPr>
      <w:r>
        <w:rPr>
          <w:rFonts w:eastAsia="Arial" w:cs="Arial"/>
          <w:sz w:val="20"/>
          <w:szCs w:val="20"/>
        </w:rPr>
        <w:t>KCD will not deduct securities purchased on margin.</w:t>
      </w:r>
    </w:p>
    <w:p>
      <w:pPr>
        <w:pStyle w:val="normal0"/>
        <w:spacing w:before="200" w:after="200"/>
        <w:rPr>
          <w:rFonts w:eastAsia="Arial" w:cs="Arial"/>
          <w:sz w:val="20"/>
          <w:szCs w:val="20"/>
        </w:rPr>
      </w:pPr>
      <w:r>
        <w:rPr>
          <w:rFonts w:eastAsia="Arial" w:cs="Arial"/>
          <w:b/>
          <w:bCs/>
          <w:sz w:val="20"/>
          <w:szCs w:val="20"/>
        </w:rPr>
        <w:t>Continuous and Regular Supervisory or Management Services</w:t>
      </w:r>
    </w:p>
    <w:p>
      <w:pPr>
        <w:pStyle w:val="normal0"/>
        <w:spacing w:before="200" w:after="200"/>
        <w:rPr>
          <w:rFonts w:eastAsia="Arial" w:cs="Arial"/>
          <w:sz w:val="20"/>
          <w:szCs w:val="20"/>
        </w:rPr>
      </w:pPr>
      <w:r>
        <w:rPr>
          <w:rFonts w:eastAsia="Arial" w:cs="Arial"/>
          <w:sz w:val="20"/>
          <w:szCs w:val="20"/>
        </w:rPr>
        <w:t>KCD is deemed to provide continuous and regular supervisory or management services with respect to an account if:</w:t>
      </w:r>
    </w:p>
    <w:p>
      <w:pPr>
        <w:numPr>
          <w:ilvl w:val="0"/>
          <w:numId w:val="714"/>
        </w:numPr>
        <w:spacing w:before="200"/>
        <w:ind w:left="720" w:hanging="192"/>
        <w:jc w:val="left"/>
        <w:rPr>
          <w:rFonts w:eastAsia="Arial" w:cs="Arial"/>
          <w:sz w:val="20"/>
          <w:szCs w:val="20"/>
        </w:rPr>
      </w:pPr>
      <w:r>
        <w:rPr>
          <w:rFonts w:eastAsia="Arial" w:cs="Arial"/>
          <w:sz w:val="20"/>
          <w:szCs w:val="20"/>
        </w:rPr>
        <w:t>KCD has discretionary authority over and provides ongoing supervisory or management services with respect to the account; or</w:t>
      </w:r>
    </w:p>
    <w:p>
      <w:pPr>
        <w:numPr>
          <w:ilvl w:val="0"/>
          <w:numId w:val="714"/>
        </w:numPr>
        <w:spacing w:after="200"/>
        <w:ind w:left="720" w:hanging="192"/>
        <w:jc w:val="left"/>
        <w:rPr>
          <w:rFonts w:eastAsia="Arial" w:cs="Arial"/>
          <w:sz w:val="20"/>
          <w:szCs w:val="20"/>
        </w:rPr>
      </w:pPr>
      <w:r>
        <w:rPr>
          <w:rFonts w:eastAsia="Arial" w:cs="Arial"/>
          <w:sz w:val="20"/>
          <w:szCs w:val="20"/>
        </w:rPr>
        <w:t>KCD (even if it does not have discretionary authority) has ongoing responsibility to select or make recommendations, based upon the needs of the client, as to specific securities or other investments the account may purchase or sell, and, if such recommendations are accepted by the client, KCD is responsible for arranging or effecting the purchase or sale.</w:t>
      </w:r>
    </w:p>
    <w:p>
      <w:pPr>
        <w:pStyle w:val="normal0"/>
        <w:spacing w:before="200" w:after="200"/>
        <w:rPr>
          <w:rFonts w:eastAsia="Arial" w:cs="Arial"/>
          <w:sz w:val="20"/>
          <w:szCs w:val="20"/>
        </w:rPr>
      </w:pPr>
      <w:r>
        <w:rPr>
          <w:rFonts w:eastAsia="Arial" w:cs="Arial"/>
          <w:sz w:val="20"/>
          <w:szCs w:val="20"/>
        </w:rPr>
        <w:t>When the Chief Compliance Officer evaluates whether KCD provides "continuous and regular supervisory or management services" to an account, the Chief Compliance Officer shall consider the following factors:</w:t>
      </w:r>
    </w:p>
    <w:p>
      <w:pPr>
        <w:numPr>
          <w:ilvl w:val="0"/>
          <w:numId w:val="715"/>
        </w:numPr>
        <w:spacing w:before="200"/>
        <w:ind w:left="720" w:hanging="192"/>
        <w:jc w:val="left"/>
        <w:rPr>
          <w:rFonts w:eastAsia="Arial" w:cs="Arial"/>
          <w:sz w:val="20"/>
          <w:szCs w:val="20"/>
        </w:rPr>
      </w:pPr>
      <w:r>
        <w:rPr>
          <w:rFonts w:eastAsia="Arial" w:cs="Arial"/>
          <w:b/>
          <w:bCs/>
          <w:sz w:val="20"/>
          <w:szCs w:val="20"/>
        </w:rPr>
        <w:t>Terms of the advisory contract.</w:t>
      </w:r>
      <w:r>
        <w:rPr>
          <w:rFonts w:eastAsia="Arial" w:cs="Arial"/>
          <w:sz w:val="20"/>
          <w:szCs w:val="20"/>
        </w:rPr>
        <w:t xml:space="preserve"> If KCD agrees in its advisory contract to provide "continuous and regular supervisory or management services," this suggests that KCD provides these services for the account.</w:t>
      </w:r>
    </w:p>
    <w:p>
      <w:pPr>
        <w:numPr>
          <w:ilvl w:val="0"/>
          <w:numId w:val="715"/>
        </w:numPr>
        <w:ind w:left="720" w:hanging="192"/>
        <w:jc w:val="left"/>
        <w:rPr>
          <w:rFonts w:eastAsia="Arial" w:cs="Arial"/>
          <w:sz w:val="20"/>
          <w:szCs w:val="20"/>
        </w:rPr>
      </w:pPr>
      <w:r>
        <w:rPr>
          <w:rFonts w:eastAsia="Arial" w:cs="Arial"/>
          <w:b/>
          <w:bCs/>
          <w:sz w:val="20"/>
          <w:szCs w:val="20"/>
        </w:rPr>
        <w:t>Form of compensation.</w:t>
      </w:r>
      <w:r>
        <w:rPr>
          <w:rFonts w:eastAsia="Arial" w:cs="Arial"/>
          <w:sz w:val="20"/>
          <w:szCs w:val="20"/>
        </w:rPr>
        <w:t xml:space="preserve"> If KCD is compensated based on the average value of the client's assets it manages over a specified period of time, this fact suggests that KCD provides "continuous and regular supervisory or management services" for the account.</w:t>
      </w:r>
    </w:p>
    <w:p>
      <w:pPr>
        <w:numPr>
          <w:ilvl w:val="0"/>
          <w:numId w:val="715"/>
        </w:numPr>
        <w:spacing w:after="200"/>
        <w:ind w:left="720" w:hanging="192"/>
        <w:jc w:val="left"/>
        <w:rPr>
          <w:rFonts w:eastAsia="Arial" w:cs="Arial"/>
          <w:sz w:val="20"/>
          <w:szCs w:val="20"/>
        </w:rPr>
      </w:pPr>
      <w:r>
        <w:rPr>
          <w:rFonts w:eastAsia="Arial" w:cs="Arial"/>
          <w:b/>
          <w:bCs/>
          <w:sz w:val="20"/>
          <w:szCs w:val="20"/>
        </w:rPr>
        <w:t>Management practices.</w:t>
      </w:r>
      <w:r>
        <w:rPr>
          <w:rFonts w:eastAsia="Arial" w:cs="Arial"/>
          <w:sz w:val="20"/>
          <w:szCs w:val="20"/>
        </w:rPr>
        <w:t xml:space="preserve"> The extent to which KCD actively manages assets or provides advice bears on whether the services KCD provides are "continuous and regular supervisory or management services." The fact that KCD makes infrequent trades (e.g., based on a "buy and hold" strategy) does not mean its services are not "continuous and regular."</w:t>
      </w:r>
    </w:p>
    <w:p>
      <w:pPr>
        <w:pStyle w:val="normal0"/>
        <w:spacing w:before="200" w:after="200"/>
        <w:rPr>
          <w:rFonts w:eastAsia="Arial" w:cs="Arial"/>
          <w:sz w:val="20"/>
          <w:szCs w:val="20"/>
        </w:rPr>
      </w:pPr>
      <w:r>
        <w:rPr>
          <w:rFonts w:eastAsia="Arial" w:cs="Arial"/>
          <w:sz w:val="20"/>
          <w:szCs w:val="20"/>
        </w:rPr>
        <w:t xml:space="preserve">The Chief Compliance Officer will deem KCD to </w:t>
      </w:r>
      <w:r>
        <w:rPr>
          <w:rFonts w:eastAsia="Arial" w:cs="Arial"/>
          <w:sz w:val="20"/>
          <w:szCs w:val="20"/>
          <w:u w:val="single"/>
        </w:rPr>
        <w:t>not</w:t>
      </w:r>
      <w:r>
        <w:rPr>
          <w:rFonts w:eastAsia="Arial" w:cs="Arial"/>
          <w:sz w:val="20"/>
          <w:szCs w:val="20"/>
        </w:rPr>
        <w:t xml:space="preserve"> provide "continuous and regular supervisory or management services" over an account where it:</w:t>
      </w:r>
    </w:p>
    <w:p>
      <w:pPr>
        <w:numPr>
          <w:ilvl w:val="0"/>
          <w:numId w:val="716"/>
        </w:numPr>
        <w:spacing w:before="200"/>
        <w:ind w:left="720" w:hanging="192"/>
        <w:jc w:val="left"/>
        <w:rPr>
          <w:rFonts w:eastAsia="Arial" w:cs="Arial"/>
          <w:sz w:val="20"/>
          <w:szCs w:val="20"/>
        </w:rPr>
      </w:pPr>
      <w:r>
        <w:rPr>
          <w:rFonts w:eastAsia="Arial" w:cs="Arial"/>
          <w:sz w:val="20"/>
          <w:szCs w:val="20"/>
        </w:rPr>
        <w:t>provides market timing recommendations (i.e., to buy or sell), but has no ongoing management responsibilities;</w:t>
      </w:r>
    </w:p>
    <w:p>
      <w:pPr>
        <w:numPr>
          <w:ilvl w:val="0"/>
          <w:numId w:val="716"/>
        </w:numPr>
        <w:ind w:left="720" w:hanging="192"/>
        <w:jc w:val="left"/>
        <w:rPr>
          <w:rFonts w:eastAsia="Arial" w:cs="Arial"/>
          <w:sz w:val="20"/>
          <w:szCs w:val="20"/>
        </w:rPr>
      </w:pPr>
      <w:r>
        <w:rPr>
          <w:rFonts w:eastAsia="Arial" w:cs="Arial"/>
          <w:sz w:val="20"/>
          <w:szCs w:val="20"/>
        </w:rPr>
        <w:t xml:space="preserve">provides only impersonal investment advice (e.g., market newsletters); </w:t>
      </w:r>
    </w:p>
    <w:p>
      <w:pPr>
        <w:numPr>
          <w:ilvl w:val="0"/>
          <w:numId w:val="716"/>
        </w:numPr>
        <w:ind w:left="720" w:hanging="192"/>
        <w:jc w:val="left"/>
        <w:rPr>
          <w:rFonts w:eastAsia="Arial" w:cs="Arial"/>
          <w:sz w:val="20"/>
          <w:szCs w:val="20"/>
        </w:rPr>
      </w:pPr>
      <w:r>
        <w:rPr>
          <w:rFonts w:eastAsia="Arial" w:cs="Arial"/>
          <w:sz w:val="20"/>
          <w:szCs w:val="20"/>
        </w:rPr>
        <w:t>makes an initial asset allocation, without continuous and regular monitoring and reallocation; or</w:t>
      </w:r>
    </w:p>
    <w:p>
      <w:pPr>
        <w:numPr>
          <w:ilvl w:val="0"/>
          <w:numId w:val="716"/>
        </w:numPr>
        <w:spacing w:after="200"/>
        <w:ind w:left="720" w:hanging="192"/>
        <w:jc w:val="left"/>
        <w:rPr>
          <w:rFonts w:eastAsia="Arial" w:cs="Arial"/>
          <w:sz w:val="20"/>
          <w:szCs w:val="20"/>
        </w:rPr>
      </w:pPr>
      <w:r>
        <w:rPr>
          <w:rFonts w:eastAsia="Arial" w:cs="Arial"/>
          <w:sz w:val="20"/>
          <w:szCs w:val="20"/>
        </w:rPr>
        <w:t>provides advice on an intermittent or periodic basis (such as upon client request, in response to a market event, or on a specific date (e.g., the account is reviewed and adjusted quarterly)).</w:t>
      </w:r>
    </w:p>
    <w:p>
      <w:bookmarkEnd w:id="822"/>
      <w:bookmarkStart w:id="823" w:name="Sec_Chp_061016102257046_0610163432113213"/>
    </w:p>
    <w:p>
      <w:pPr>
        <w:pStyle w:val="Heading5"/>
      </w:pPr>
      <w:r>
        <w:t>11.3.2.1.2 Firm Brochure (Part 2A) AUM Disclosure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Form ADV, Part 2A allows KCD flexibility when calculating its assets under management for purposes of the Brochure.</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The SEC stated when adopting the amendments to Form ADV that created Part 2A of Form ADV that the "methodology for calculating assets [under management] required under Part 1A [of Form ADV] is designed for a particular purpose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for making a determination as to whether an adviser should register with the SEC or with the states), rather than to convey meaningful information about the scope of the adviser's business. Thus, [the SEC permits] advisers to use a different methodology for Part 2A disclosure."</w:t>
            </w:r>
          </w:p>
        </w:tc>
      </w:tr>
    </w:tbl>
    <w:p>
      <w:pPr>
        <w:spacing w:after="200"/>
        <w:rPr>
          <w:rFonts w:eastAsia="Arial" w:cs="Arial"/>
          <w:sz w:val="20"/>
          <w:szCs w:val="20"/>
        </w:rPr>
      </w:pPr>
    </w:p>
    <w:p>
      <w:pPr>
        <w:pStyle w:val="normal0"/>
        <w:spacing w:before="200" w:after="200"/>
        <w:rPr>
          <w:rFonts w:eastAsia="Arial" w:cs="Arial"/>
          <w:sz w:val="20"/>
          <w:szCs w:val="20"/>
        </w:rPr>
      </w:pPr>
      <w:r>
        <w:rPr>
          <w:rFonts w:eastAsia="Arial" w:cs="Arial"/>
          <w:sz w:val="20"/>
          <w:szCs w:val="20"/>
        </w:rPr>
        <w:t>KCD will disclose the amount of client assets that it manages on a discretionary basis and the amount of client assets it manages on a non-discretionary basis. It will disclose the date "as of" which it calculated the amounts.</w:t>
      </w:r>
    </w:p>
    <w:p>
      <w:pPr>
        <w:pStyle w:val="normal0"/>
        <w:spacing w:before="200" w:after="200"/>
        <w:rPr>
          <w:rFonts w:eastAsia="Arial" w:cs="Arial"/>
          <w:sz w:val="20"/>
          <w:szCs w:val="20"/>
        </w:rPr>
      </w:pPr>
      <w:r>
        <w:rPr>
          <w:rFonts w:eastAsia="Arial" w:cs="Arial"/>
          <w:sz w:val="20"/>
          <w:szCs w:val="20"/>
        </w:rPr>
        <w:t>If KCD chooses to use a different method to compute its assets under management, it will check "Yes" on Item 5.J.(2) of Part 1A of Form ADV (when this new item has been adopted by the SEC) and it will keep documentation describing the method KCD uses. Specifically, it will double check these calculations to confirm the rationale for reporting different numbers between the regulatory assets under management in Part 1A and assets under management in Part 2A.</w:t>
      </w:r>
    </w:p>
    <w:p>
      <w:bookmarkEnd w:id="823"/>
      <w:bookmarkStart w:id="824" w:name="Sec_Chp_061016102257046_0610163432113214"/>
    </w:p>
    <w:p>
      <w:pPr>
        <w:pStyle w:val="Heading5"/>
      </w:pPr>
      <w:r>
        <w:t>11.3.2.1.3 AUM Update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update the amount of its assets under management annually (as part of its annual updating amendment) and make interim amendments only for material changes in assets under management when it is filing an "other than annual amendment" for a separate reason.</w:t>
      </w:r>
    </w:p>
    <w:p>
      <w:bookmarkEnd w:id="824"/>
      <w:bookmarkStart w:id="825" w:name="Sec_Chp_061016102257046_061016102257390"/>
    </w:p>
    <w:p>
      <w:pPr>
        <w:pStyle w:val="Heading4"/>
      </w:pPr>
      <w:r>
        <w:t>11.3.2.2 Registration Thresholds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register, or remain registered, with the SEC or a state depending on which of the following categories its assets under management (AUM) fall within at the end of its fiscal year end:</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4960"/>
        <w:gridCol w:w="4960"/>
      </w:tblGrid>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Excess of $110 million of AUM</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Register or remain registered with SEC</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$100 million to $110 million</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Register or remain registered with appropriate State(s) unless the appropriate State(s) do not inspect investment advisers (in which case, register or remain registered with the SEC) or voluntarily register with the SEC</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Less than $100 million</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New unregistered advisers register with appropriate State(s)</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Less than $90 million</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Existing SEC-registered adviser above this threshold may remain registered with the SEC</w:t>
            </w:r>
          </w:p>
        </w:tc>
      </w:tr>
      <w:tr>
        <w:tblPrEx>
          <w:tblW w:w="5000" w:type="pct"/>
          <w:tblLook w:val="05E0"/>
        </w:tblPrEx>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Advisers of any size with a principal office and place of business in New York and Wyoming</w:t>
            </w:r>
          </w:p>
        </w:tc>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Register or remain registered with the SEC (currently New York does not inspect investment advisers and Wyoming does not have a law that regulates investment advisers)</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Advisers with only Hedge Fund Clients</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Register or remain registered with SEC if $150 million or greater of AUM; if less than $150 million of AUM, register with appropriate state(s) or rely upon an available exemption to state registration. An adviser with only hedge fund clients with less than $150 AUM may potentially file with the SEC as an "Exempt Reporting Adviser." </w:t>
            </w:r>
          </w:p>
        </w:tc>
      </w:tr>
    </w:tbl>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Of particular note, the securities regulator in New York currently does not inspect investment advisers. In such a case, the adviser that manages hedge funds would only register in New York if it manages seven or more hedge funds since each hedge fund is treated as a single client under New York law.</w:t>
            </w:r>
          </w:p>
        </w:tc>
      </w:tr>
    </w:tbl>
    <w:p>
      <w:pPr>
        <w:pStyle w:val="normal0"/>
        <w:spacing w:before="200" w:after="200"/>
        <w:rPr>
          <w:rFonts w:eastAsia="Arial" w:cs="Arial"/>
          <w:sz w:val="20"/>
          <w:szCs w:val="20"/>
        </w:rPr>
      </w:pPr>
      <w:r>
        <w:rPr>
          <w:rFonts w:eastAsia="Arial" w:cs="Arial"/>
          <w:sz w:val="20"/>
          <w:szCs w:val="20"/>
        </w:rPr>
        <w:t>If KCD has to change its registration status, it must effect such change within 90 days of its fiscal year end.</w:t>
      </w:r>
    </w:p>
    <w:p>
      <w:pPr>
        <w:pStyle w:val="normal0"/>
        <w:spacing w:before="200" w:after="200"/>
        <w:rPr>
          <w:rFonts w:eastAsia="Arial" w:cs="Arial"/>
          <w:sz w:val="20"/>
          <w:szCs w:val="20"/>
        </w:rPr>
      </w:pPr>
      <w:r>
        <w:rPr>
          <w:rFonts w:eastAsia="Arial" w:cs="Arial"/>
          <w:sz w:val="20"/>
          <w:szCs w:val="20"/>
        </w:rPr>
        <w:t xml:space="preserve">On December 31 of each year, KCD will calculate its assets under management as of the end of its most recent fiscal year end. </w:t>
      </w:r>
    </w:p>
    <w:p>
      <w:pPr>
        <w:pStyle w:val="normal0"/>
        <w:spacing w:before="200" w:after="200"/>
        <w:rPr>
          <w:rFonts w:eastAsia="Arial" w:cs="Arial"/>
          <w:sz w:val="20"/>
          <w:szCs w:val="20"/>
        </w:rPr>
      </w:pPr>
      <w:r>
        <w:rPr>
          <w:rFonts w:eastAsia="Arial" w:cs="Arial"/>
          <w:sz w:val="20"/>
          <w:szCs w:val="20"/>
        </w:rPr>
        <w:t>If it is an SEC-registered adviser, once KCD reports on its annual updating amendment that it has assets under management not meeting the threshold required by the SEC to register with that agency and is not otherwise eligible to register with the SEC, it will file a registration statement (Form ADV) with the appropriate state(s) and withdraw from its SEC registration within 90 days after the filing of its annual updating amendment by filing Form ADV-W with the SEC.</w:t>
      </w:r>
    </w:p>
    <w:p>
      <w:pPr>
        <w:pStyle w:val="normal0"/>
        <w:spacing w:before="200" w:after="200"/>
        <w:rPr>
          <w:rFonts w:eastAsia="Arial" w:cs="Arial"/>
          <w:sz w:val="20"/>
          <w:szCs w:val="20"/>
        </w:rPr>
      </w:pPr>
      <w:r>
        <w:rPr>
          <w:rFonts w:eastAsia="Arial" w:cs="Arial"/>
          <w:sz w:val="20"/>
          <w:szCs w:val="20"/>
        </w:rPr>
        <w:t>If it is a state-registered adviser, once KCD reports on its annual updating amendment that it has assets meeting a threshold that will allow it or require it to register with the SEC, it will file a registration statement (Form ADV) with the SEC and withdraw from its state registration(s) within 90 days after the filing of its annual updating amendment by filing Form ADV-W with the appropriate states.</w:t>
      </w:r>
    </w:p>
    <w:p>
      <w:pPr>
        <w:pStyle w:val="normal0"/>
        <w:spacing w:before="200" w:after="200"/>
        <w:rPr>
          <w:rFonts w:eastAsia="Arial" w:cs="Arial"/>
          <w:sz w:val="20"/>
          <w:szCs w:val="20"/>
        </w:rPr>
      </w:pPr>
      <w:r>
        <w:rPr>
          <w:rFonts w:eastAsia="Arial" w:cs="Arial"/>
          <w:sz w:val="20"/>
          <w:szCs w:val="20"/>
        </w:rPr>
        <w:t>If it is a state-registered or SEC-registered adviser and reports on its annual updating amendment that it has assets under management that is between a range that allows it to be an SEC- or state-registered adviser, KCD will decide whether to maintain its current registration, switch from SEC registration to state registration or switch from state registration to SEC.</w:t>
      </w:r>
    </w:p>
    <w:p>
      <w:pPr>
        <w:pStyle w:val="normal0"/>
        <w:spacing w:before="200" w:after="200"/>
        <w:rPr>
          <w:rFonts w:eastAsia="Arial" w:cs="Arial"/>
          <w:sz w:val="20"/>
          <w:szCs w:val="20"/>
        </w:rPr>
      </w:pPr>
      <w:r>
        <w:rPr>
          <w:rFonts w:eastAsia="Arial" w:cs="Arial"/>
          <w:sz w:val="20"/>
          <w:szCs w:val="20"/>
        </w:rPr>
        <w:t>Irrespective of its assets under management, KCD will register or remain registered as an investment adviser with the SEC, if it is an investment adviser to a registered investment company or is located in the State of Wyoming.</w:t>
      </w:r>
    </w:p>
    <w:p>
      <w:bookmarkEnd w:id="825"/>
      <w:bookmarkStart w:id="826" w:name="Sec_Chp_061016102257046_061016102257421"/>
    </w:p>
    <w:p>
      <w:pPr>
        <w:pStyle w:val="Heading3"/>
      </w:pPr>
      <w:bookmarkStart w:id="827" w:name="_Toc256000217"/>
      <w:r>
        <w:t>11.3.3 IARD Registration</w:t>
      </w:r>
      <w:bookmarkEnd w:id="827"/>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Investment Adviser Registration Depository (IARD) is an electronic investment adviser filing system that is sponsored by the SEC and the North American Securities Administrators Association (NASAA). FINRA operates the system. The SEC and most states require an investment adviser to use the IARD system to apply for registration, amend its registration, withdraw from registration, and transmit notice filings to states. </w:t>
      </w:r>
    </w:p>
    <w:p>
      <w:bookmarkEnd w:id="826"/>
      <w:bookmarkStart w:id="828" w:name="Sec_Chp_061016102257046_061016102257437"/>
    </w:p>
    <w:p>
      <w:pPr>
        <w:pStyle w:val="Heading4"/>
      </w:pPr>
      <w:r>
        <w:t>11.3.3.1 IARD Registration and Administration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employs the following controls related to its registration on the IARD:</w:t>
      </w:r>
    </w:p>
    <w:p>
      <w:pPr>
        <w:pStyle w:val="normal0"/>
        <w:spacing w:before="200" w:after="200"/>
        <w:rPr>
          <w:rFonts w:eastAsia="Arial" w:cs="Arial"/>
          <w:sz w:val="20"/>
          <w:szCs w:val="20"/>
        </w:rPr>
      </w:pPr>
      <w:r>
        <w:rPr>
          <w:rFonts w:eastAsia="Arial" w:cs="Arial"/>
          <w:sz w:val="20"/>
          <w:szCs w:val="20"/>
        </w:rPr>
        <w:t>1. The Chief Compliance Officer will maintain supporting documents regarding the date of registration commencement with the SEC and related file numbers.</w:t>
      </w:r>
    </w:p>
    <w:p>
      <w:pPr>
        <w:pStyle w:val="normal0"/>
        <w:spacing w:before="200" w:after="200"/>
        <w:rPr>
          <w:rFonts w:eastAsia="Arial" w:cs="Arial"/>
          <w:sz w:val="20"/>
          <w:szCs w:val="20"/>
        </w:rPr>
      </w:pPr>
      <w:r>
        <w:rPr>
          <w:rFonts w:eastAsia="Arial" w:cs="Arial"/>
          <w:sz w:val="20"/>
          <w:szCs w:val="20"/>
        </w:rPr>
        <w:t>2. The Chief Compliance Officer will designate a qualified employee or officer of KCD to be the "Super Account Administrator" or ("SAA"), who will be responsible for:</w:t>
      </w:r>
    </w:p>
    <w:p>
      <w:pPr>
        <w:numPr>
          <w:ilvl w:val="0"/>
          <w:numId w:val="717"/>
        </w:numPr>
        <w:spacing w:before="200"/>
        <w:ind w:left="720" w:hanging="192"/>
        <w:jc w:val="left"/>
        <w:rPr>
          <w:rFonts w:eastAsia="Arial" w:cs="Arial"/>
          <w:sz w:val="20"/>
          <w:szCs w:val="20"/>
        </w:rPr>
      </w:pPr>
      <w:r>
        <w:rPr>
          <w:rFonts w:eastAsia="Arial" w:cs="Arial"/>
          <w:sz w:val="20"/>
          <w:szCs w:val="20"/>
        </w:rPr>
        <w:t>the web/electronic filing and updates to Part 1A of KCD's Form ADV through the IARD,</w:t>
      </w:r>
    </w:p>
    <w:p>
      <w:pPr>
        <w:numPr>
          <w:ilvl w:val="0"/>
          <w:numId w:val="717"/>
        </w:numPr>
        <w:ind w:left="720" w:hanging="192"/>
        <w:jc w:val="left"/>
        <w:rPr>
          <w:rFonts w:eastAsia="Arial" w:cs="Arial"/>
          <w:sz w:val="20"/>
          <w:szCs w:val="20"/>
        </w:rPr>
      </w:pPr>
      <w:r>
        <w:rPr>
          <w:rFonts w:eastAsia="Arial" w:cs="Arial"/>
          <w:sz w:val="20"/>
          <w:szCs w:val="20"/>
        </w:rPr>
        <w:t>payment of initial and annual IARD filing fees,</w:t>
      </w:r>
    </w:p>
    <w:p>
      <w:pPr>
        <w:numPr>
          <w:ilvl w:val="0"/>
          <w:numId w:val="717"/>
        </w:numPr>
        <w:ind w:left="720" w:hanging="192"/>
        <w:jc w:val="left"/>
        <w:rPr>
          <w:rFonts w:eastAsia="Arial" w:cs="Arial"/>
          <w:sz w:val="20"/>
          <w:szCs w:val="20"/>
        </w:rPr>
      </w:pPr>
      <w:r>
        <w:rPr>
          <w:rFonts w:eastAsia="Arial" w:cs="Arial"/>
          <w:sz w:val="20"/>
          <w:szCs w:val="20"/>
        </w:rPr>
        <w:t>controlling who within KCD and persons employed by firm service providers who will have the ability to access KCD's Form ADV housed on the IARD system, and</w:t>
      </w:r>
    </w:p>
    <w:p>
      <w:pPr>
        <w:numPr>
          <w:ilvl w:val="0"/>
          <w:numId w:val="717"/>
        </w:numPr>
        <w:spacing w:after="200"/>
        <w:ind w:left="720" w:hanging="192"/>
        <w:jc w:val="left"/>
        <w:rPr>
          <w:rFonts w:eastAsia="Arial" w:cs="Arial"/>
          <w:sz w:val="20"/>
          <w:szCs w:val="20"/>
        </w:rPr>
      </w:pPr>
      <w:r>
        <w:rPr>
          <w:rFonts w:eastAsia="Arial" w:cs="Arial"/>
          <w:sz w:val="20"/>
          <w:szCs w:val="20"/>
        </w:rPr>
        <w:t>all functions related to FINRA Entitlement.</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FINRA Entitlement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FINRA Entitlement is the process by which a user is granted secure access to a FINRA web application by an account administrator who maintains that account. Entitlement includes creating and deleting accounts and granting and denying specific privileges within an application for a given user so that the user may access specific functionality that the privilege supports.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will make all necessary filings (including the FINRA Account Administrator Entitlement Form) with, and take other actions required by FINRA, to effect the designation of the SAA. The SAA will have the ability to create, modify and delete other account administrators for KCD, as well as control their access to various parts of the Form ADV and functions available on FINRA that relate to the Form ADV, including the following statuses:</w:t>
      </w:r>
    </w:p>
    <w:p>
      <w:pPr>
        <w:numPr>
          <w:ilvl w:val="0"/>
          <w:numId w:val="718"/>
        </w:numPr>
        <w:spacing w:before="200"/>
        <w:ind w:left="720" w:hanging="192"/>
        <w:jc w:val="left"/>
        <w:rPr>
          <w:rFonts w:eastAsia="Arial" w:cs="Arial"/>
          <w:sz w:val="20"/>
          <w:szCs w:val="20"/>
        </w:rPr>
      </w:pPr>
      <w:r>
        <w:rPr>
          <w:rFonts w:eastAsia="Arial" w:cs="Arial"/>
          <w:sz w:val="20"/>
          <w:szCs w:val="20"/>
        </w:rPr>
        <w:t>Reader: provides the capability for a user to read data (including access to the eFOCUS application);</w:t>
      </w:r>
    </w:p>
    <w:p>
      <w:pPr>
        <w:numPr>
          <w:ilvl w:val="0"/>
          <w:numId w:val="718"/>
        </w:numPr>
        <w:ind w:left="720" w:hanging="192"/>
        <w:jc w:val="left"/>
        <w:rPr>
          <w:rFonts w:eastAsia="Arial" w:cs="Arial"/>
          <w:sz w:val="20"/>
          <w:szCs w:val="20"/>
        </w:rPr>
      </w:pPr>
      <w:r>
        <w:rPr>
          <w:rFonts w:eastAsia="Arial" w:cs="Arial"/>
          <w:sz w:val="20"/>
          <w:szCs w:val="20"/>
        </w:rPr>
        <w:t>Editor: provides the capability for a user to save filings, create amendments and import filings;</w:t>
      </w:r>
    </w:p>
    <w:p>
      <w:pPr>
        <w:numPr>
          <w:ilvl w:val="0"/>
          <w:numId w:val="718"/>
        </w:numPr>
        <w:ind w:left="720" w:hanging="192"/>
        <w:jc w:val="left"/>
        <w:rPr>
          <w:rFonts w:eastAsia="Arial" w:cs="Arial"/>
          <w:sz w:val="20"/>
          <w:szCs w:val="20"/>
        </w:rPr>
      </w:pPr>
      <w:r>
        <w:rPr>
          <w:rFonts w:eastAsia="Arial" w:cs="Arial"/>
          <w:sz w:val="20"/>
          <w:szCs w:val="20"/>
        </w:rPr>
        <w:t>Approver: provides the capability for a user to approve saved filings; and</w:t>
      </w:r>
    </w:p>
    <w:p>
      <w:pPr>
        <w:numPr>
          <w:ilvl w:val="0"/>
          <w:numId w:val="718"/>
        </w:numPr>
        <w:spacing w:after="200"/>
        <w:ind w:left="720" w:hanging="192"/>
        <w:jc w:val="left"/>
        <w:rPr>
          <w:rFonts w:eastAsia="Arial" w:cs="Arial"/>
          <w:sz w:val="20"/>
          <w:szCs w:val="20"/>
        </w:rPr>
      </w:pPr>
      <w:r>
        <w:rPr>
          <w:rFonts w:eastAsia="Arial" w:cs="Arial"/>
          <w:sz w:val="20"/>
          <w:szCs w:val="20"/>
        </w:rPr>
        <w:t>Submitter: provides the capability for a user to submit saved filings.</w:t>
      </w:r>
    </w:p>
    <w:p>
      <w:pPr>
        <w:pStyle w:val="normal0"/>
        <w:spacing w:before="200" w:after="200"/>
        <w:rPr>
          <w:rFonts w:eastAsia="Arial" w:cs="Arial"/>
          <w:sz w:val="20"/>
          <w:szCs w:val="20"/>
        </w:rPr>
      </w:pPr>
      <w:r>
        <w:rPr>
          <w:rFonts w:eastAsia="Arial" w:cs="Arial"/>
          <w:sz w:val="20"/>
          <w:szCs w:val="20"/>
        </w:rPr>
        <w:t>3. The SAA shall perform, or delegate others at KCD to perform, the following functions related to the IARD:</w:t>
      </w:r>
    </w:p>
    <w:p>
      <w:pPr>
        <w:numPr>
          <w:ilvl w:val="0"/>
          <w:numId w:val="719"/>
        </w:numPr>
        <w:spacing w:before="200"/>
        <w:ind w:left="720" w:hanging="192"/>
        <w:jc w:val="left"/>
        <w:rPr>
          <w:rFonts w:eastAsia="Arial" w:cs="Arial"/>
          <w:sz w:val="20"/>
          <w:szCs w:val="20"/>
        </w:rPr>
      </w:pPr>
      <w:r>
        <w:rPr>
          <w:rFonts w:eastAsia="Arial" w:cs="Arial"/>
          <w:sz w:val="20"/>
          <w:szCs w:val="20"/>
        </w:rPr>
        <w:t>Creating, disabling and deleting FINRA Entitlement Users Accounts;</w:t>
      </w:r>
    </w:p>
    <w:p>
      <w:pPr>
        <w:numPr>
          <w:ilvl w:val="0"/>
          <w:numId w:val="719"/>
        </w:numPr>
        <w:ind w:left="720" w:hanging="192"/>
        <w:jc w:val="left"/>
        <w:rPr>
          <w:rFonts w:eastAsia="Arial" w:cs="Arial"/>
          <w:sz w:val="20"/>
          <w:szCs w:val="20"/>
        </w:rPr>
      </w:pPr>
      <w:r>
        <w:rPr>
          <w:rFonts w:eastAsia="Arial" w:cs="Arial"/>
          <w:sz w:val="20"/>
          <w:szCs w:val="20"/>
        </w:rPr>
        <w:t>Performing password administration (e.g., creating initial passwords, unlocking accounts and resetting passwords for users);</w:t>
      </w:r>
    </w:p>
    <w:p>
      <w:pPr>
        <w:numPr>
          <w:ilvl w:val="0"/>
          <w:numId w:val="719"/>
        </w:numPr>
        <w:ind w:left="720" w:hanging="192"/>
        <w:jc w:val="left"/>
        <w:rPr>
          <w:rFonts w:eastAsia="Arial" w:cs="Arial"/>
          <w:sz w:val="20"/>
          <w:szCs w:val="20"/>
        </w:rPr>
      </w:pPr>
      <w:r>
        <w:rPr>
          <w:rFonts w:eastAsia="Arial" w:cs="Arial"/>
          <w:sz w:val="20"/>
          <w:szCs w:val="20"/>
        </w:rPr>
        <w:t>Setting privileges for the FINRA Entitlement User Accounts;</w:t>
      </w:r>
    </w:p>
    <w:p>
      <w:pPr>
        <w:numPr>
          <w:ilvl w:val="0"/>
          <w:numId w:val="719"/>
        </w:numPr>
        <w:ind w:left="720" w:hanging="192"/>
        <w:jc w:val="left"/>
        <w:rPr>
          <w:rFonts w:eastAsia="Arial" w:cs="Arial"/>
          <w:sz w:val="20"/>
          <w:szCs w:val="20"/>
        </w:rPr>
      </w:pPr>
      <w:r>
        <w:rPr>
          <w:rFonts w:eastAsia="Arial" w:cs="Arial"/>
          <w:sz w:val="20"/>
          <w:szCs w:val="20"/>
        </w:rPr>
        <w:t>Performing account maintenance to validate active users or delete dormant users;</w:t>
      </w:r>
    </w:p>
    <w:p>
      <w:pPr>
        <w:numPr>
          <w:ilvl w:val="0"/>
          <w:numId w:val="719"/>
        </w:numPr>
        <w:ind w:left="720" w:hanging="192"/>
        <w:jc w:val="left"/>
        <w:rPr>
          <w:rFonts w:eastAsia="Arial" w:cs="Arial"/>
          <w:sz w:val="20"/>
          <w:szCs w:val="20"/>
        </w:rPr>
      </w:pPr>
      <w:r>
        <w:rPr>
          <w:rFonts w:eastAsia="Arial" w:cs="Arial"/>
          <w:sz w:val="20"/>
          <w:szCs w:val="20"/>
        </w:rPr>
        <w:t>Cloning (copying) a user's privilege to create a new account; and</w:t>
      </w:r>
    </w:p>
    <w:p>
      <w:pPr>
        <w:numPr>
          <w:ilvl w:val="0"/>
          <w:numId w:val="719"/>
        </w:numPr>
        <w:spacing w:after="200"/>
        <w:ind w:left="720" w:hanging="192"/>
        <w:jc w:val="left"/>
        <w:rPr>
          <w:rFonts w:eastAsia="Arial" w:cs="Arial"/>
          <w:sz w:val="20"/>
          <w:szCs w:val="20"/>
        </w:rPr>
      </w:pPr>
      <w:r>
        <w:rPr>
          <w:rFonts w:eastAsia="Arial" w:cs="Arial"/>
          <w:sz w:val="20"/>
          <w:szCs w:val="20"/>
        </w:rPr>
        <w:t>Controlling the maintenance and assignment of user IDs and periodically reviewing KCD's user accounts and, consistent with FINRA procedures, certifying on behalf of KCD that all designated users should retain their authorization.</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IARD Registration Functionality </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A user will be granted access to a particular functionality within an application when he or she has been given by the SAA "use" entitlement to the application and the privilege within that application. The default application and the privilege with that application is "none," which means that the user cannot access that functionality. For example, if a user needs to view firm investment personnel information in WEB CRD, the SAA when he or she creates that user's account must give such user the "use" entitlement to the CRD application, "use" entitlement to the individual section of privileges and "use" entitlement to the View individual information privilege.</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The SAA will periodically review the "IARD Announcements" web page on the SEC's web site and monitor for notices sent via e-mail by FINRA to KCD for news related to IARD registration. The following types of information may be posted at this site:</w:t>
      </w:r>
    </w:p>
    <w:p>
      <w:pPr>
        <w:numPr>
          <w:ilvl w:val="0"/>
          <w:numId w:val="720"/>
        </w:numPr>
        <w:spacing w:before="200"/>
        <w:ind w:left="720" w:hanging="192"/>
        <w:jc w:val="left"/>
        <w:rPr>
          <w:rFonts w:eastAsia="Arial" w:cs="Arial"/>
          <w:sz w:val="20"/>
          <w:szCs w:val="20"/>
        </w:rPr>
      </w:pPr>
      <w:r>
        <w:rPr>
          <w:rFonts w:eastAsia="Arial" w:cs="Arial"/>
          <w:sz w:val="20"/>
          <w:szCs w:val="20"/>
        </w:rPr>
        <w:t>Changes to KCD's registration status;</w:t>
      </w:r>
    </w:p>
    <w:p>
      <w:pPr>
        <w:numPr>
          <w:ilvl w:val="0"/>
          <w:numId w:val="720"/>
        </w:numPr>
        <w:ind w:left="720" w:hanging="192"/>
        <w:jc w:val="left"/>
        <w:rPr>
          <w:rFonts w:eastAsia="Arial" w:cs="Arial"/>
          <w:sz w:val="20"/>
          <w:szCs w:val="20"/>
        </w:rPr>
      </w:pPr>
      <w:r>
        <w:rPr>
          <w:rFonts w:eastAsia="Arial" w:cs="Arial"/>
          <w:sz w:val="20"/>
          <w:szCs w:val="20"/>
        </w:rPr>
        <w:t>Annual amendment filing deadlines; and</w:t>
      </w:r>
    </w:p>
    <w:p>
      <w:pPr>
        <w:numPr>
          <w:ilvl w:val="0"/>
          <w:numId w:val="720"/>
        </w:numPr>
        <w:spacing w:after="200"/>
        <w:ind w:left="720" w:hanging="192"/>
        <w:jc w:val="left"/>
        <w:rPr>
          <w:rFonts w:eastAsia="Arial" w:cs="Arial"/>
          <w:sz w:val="20"/>
          <w:szCs w:val="20"/>
        </w:rPr>
      </w:pPr>
      <w:r>
        <w:rPr>
          <w:rFonts w:eastAsia="Arial" w:cs="Arial"/>
          <w:sz w:val="20"/>
          <w:szCs w:val="20"/>
        </w:rPr>
        <w:t>Announcements by the SEC of regulatory and compliance information.</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4960"/>
        <w:gridCol w:w="4960"/>
      </w:tblGrid>
      <w:tr>
        <w:tblPrEx>
          <w:tblW w:w="5000" w:type="pct"/>
          <w:tblLook w:val="05E0"/>
        </w:tblPrEx>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IARD Website Address:</w:t>
            </w:r>
          </w:p>
        </w:tc>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https://www.webiard.com/iad</w:t>
            </w:r>
          </w:p>
        </w:tc>
      </w:tr>
      <w:tr>
        <w:tblPrEx>
          <w:tblW w:w="5000" w:type="pct"/>
          <w:tblLook w:val="05E0"/>
        </w:tblPrEx>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tcPr>
          <w:p>
            <w:pPr>
              <w:rPr>
                <w:rFonts w:eastAsia="Arial" w:cs="Arial"/>
                <w:b w:val="0"/>
                <w:bCs w:val="0"/>
                <w:i w:val="0"/>
                <w:iCs w:val="0"/>
                <w:smallCaps w:val="0"/>
                <w:color w:val="000000"/>
                <w:sz w:val="24"/>
              </w:rPr>
            </w:pPr>
          </w:p>
        </w:tc>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https://www.webcrd.com</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IARD Announcements</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http://www.sec.gov/divisions/investment/iard.shtml</w:t>
            </w:r>
          </w:p>
        </w:tc>
      </w:tr>
      <w:tr>
        <w:tblPrEx>
          <w:tblW w:w="5000" w:type="pct"/>
          <w:tblLook w:val="05E0"/>
        </w:tblPrEx>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Tech Support Number:</w:t>
            </w:r>
          </w:p>
        </w:tc>
        <w:tc>
          <w:tcPr>
            <w:tcW w:w="25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1-240-386-4848 or 301-869-6699</w:t>
            </w:r>
          </w:p>
        </w:tc>
      </w:tr>
      <w:tr>
        <w:tblPrEx>
          <w:tblW w:w="5000" w:type="pct"/>
          <w:tblLook w:val="05E0"/>
        </w:tblPrEx>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Mailing Address:</w:t>
            </w:r>
          </w:p>
        </w:tc>
        <w:tc>
          <w:tcPr>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FINRA </w:t>
            </w: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9509 Key West Avenue </w:t>
            </w:r>
            <w:r>
              <w:rPr>
                <w:rFonts w:eastAsia="Arial" w:cs="Arial"/>
                <w:b w:val="0"/>
                <w:bCs w:val="0"/>
                <w:i w:val="0"/>
                <w:iCs w:val="0"/>
                <w:smallCaps w:val="0"/>
                <w:color w:val="000000"/>
                <w:sz w:val="20"/>
              </w:rPr>
              <w:br/>
            </w:r>
            <w:r>
              <w:rPr>
                <w:rFonts w:eastAsia="Arial" w:cs="Arial"/>
                <w:b w:val="0"/>
                <w:bCs w:val="0"/>
                <w:i w:val="0"/>
                <w:iCs w:val="0"/>
                <w:smallCaps w:val="0"/>
                <w:color w:val="000000"/>
                <w:sz w:val="20"/>
              </w:rPr>
              <w:t>Rockville, MD 20850</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The SAA will take all steps to ensure that KCD's IARD registration is current. When necessary, the SAA shall refer to the following, which are available on the IARD web site:</w:t>
      </w:r>
    </w:p>
    <w:p>
      <w:pPr>
        <w:numPr>
          <w:ilvl w:val="0"/>
          <w:numId w:val="721"/>
        </w:numPr>
        <w:spacing w:before="200"/>
        <w:ind w:left="720" w:hanging="192"/>
        <w:jc w:val="left"/>
        <w:rPr>
          <w:rFonts w:eastAsia="Arial" w:cs="Arial"/>
          <w:sz w:val="20"/>
          <w:szCs w:val="20"/>
        </w:rPr>
      </w:pPr>
      <w:r>
        <w:rPr>
          <w:rFonts w:eastAsia="Arial" w:cs="Arial"/>
          <w:sz w:val="20"/>
          <w:szCs w:val="20"/>
        </w:rPr>
        <w:t>IARD Renewal Program Checklist</w:t>
      </w:r>
    </w:p>
    <w:p>
      <w:pPr>
        <w:numPr>
          <w:ilvl w:val="0"/>
          <w:numId w:val="721"/>
        </w:numPr>
        <w:spacing w:after="200"/>
        <w:ind w:left="720" w:hanging="192"/>
        <w:jc w:val="left"/>
        <w:rPr>
          <w:rFonts w:eastAsia="Arial" w:cs="Arial"/>
          <w:sz w:val="20"/>
          <w:szCs w:val="20"/>
        </w:rPr>
      </w:pPr>
      <w:r>
        <w:rPr>
          <w:rFonts w:eastAsia="Arial" w:cs="Arial"/>
          <w:sz w:val="20"/>
          <w:szCs w:val="20"/>
        </w:rPr>
        <w:t xml:space="preserve">IARD Renewal Program Calendar </w:t>
      </w:r>
    </w:p>
    <w:p>
      <w:pPr>
        <w:pStyle w:val="normal0"/>
        <w:spacing w:before="200" w:after="200"/>
        <w:rPr>
          <w:rFonts w:eastAsia="Arial" w:cs="Arial"/>
          <w:sz w:val="20"/>
          <w:szCs w:val="20"/>
        </w:rPr>
      </w:pPr>
      <w:r>
        <w:rPr>
          <w:rFonts w:eastAsia="Arial" w:cs="Arial"/>
          <w:sz w:val="20"/>
          <w:szCs w:val="20"/>
        </w:rPr>
        <w:t>Annually, the SAA will make all necessary filings with FINRA to renew KCD's IARD registration. The SAA will verify the ending date of the FINRA Entitlement User Accounts Certification Period for the current year, which typically falls in February of each year. The SAA will have to make an annual certification if KCD has more than one user. The SAA, when necessary, will refer to the Annual Entitlement User Accounts Certification Process Web page on the IARD web site.</w:t>
      </w:r>
    </w:p>
    <w:p>
      <w:bookmarkEnd w:id="828"/>
      <w:bookmarkStart w:id="829" w:name="Sec_Chp_061016102257046_061016102257468"/>
    </w:p>
    <w:p>
      <w:pPr>
        <w:pStyle w:val="Heading4"/>
      </w:pPr>
      <w:r>
        <w:t>11.3.3.2 State Notice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is registered with the SEC, it will not be required to register with any state. However, KCD will be required to make "notice" filings of all materials filed with the SEC in certain states. Generally, KCD will be required to make notice filings only in states where either it has clients or it has an office. In connection with state notice filings, the Chief Compliance Officer will: </w:t>
      </w:r>
    </w:p>
    <w:p>
      <w:pPr>
        <w:numPr>
          <w:ilvl w:val="0"/>
          <w:numId w:val="722"/>
        </w:numPr>
        <w:spacing w:before="200"/>
        <w:ind w:left="720" w:hanging="192"/>
        <w:jc w:val="left"/>
        <w:rPr>
          <w:rFonts w:eastAsia="Arial" w:cs="Arial"/>
          <w:sz w:val="20"/>
          <w:szCs w:val="20"/>
        </w:rPr>
      </w:pPr>
      <w:r>
        <w:rPr>
          <w:rFonts w:eastAsia="Arial" w:cs="Arial"/>
          <w:sz w:val="20"/>
          <w:szCs w:val="20"/>
        </w:rPr>
        <w:t xml:space="preserve">Maintain a list and keep such list updated of clients broken down by states where they reside; </w:t>
      </w:r>
    </w:p>
    <w:p>
      <w:pPr>
        <w:numPr>
          <w:ilvl w:val="0"/>
          <w:numId w:val="722"/>
        </w:numPr>
        <w:ind w:left="720" w:hanging="192"/>
        <w:jc w:val="left"/>
        <w:rPr>
          <w:rFonts w:eastAsia="Arial" w:cs="Arial"/>
          <w:sz w:val="20"/>
          <w:szCs w:val="20"/>
        </w:rPr>
      </w:pPr>
      <w:r>
        <w:rPr>
          <w:rFonts w:eastAsia="Arial" w:cs="Arial"/>
          <w:sz w:val="20"/>
          <w:szCs w:val="20"/>
        </w:rPr>
        <w:t xml:space="preserve">Maintain a list and keep such list updated of the states where KCD has an office; </w:t>
      </w:r>
    </w:p>
    <w:p>
      <w:pPr>
        <w:numPr>
          <w:ilvl w:val="0"/>
          <w:numId w:val="722"/>
        </w:numPr>
        <w:ind w:left="720" w:hanging="192"/>
        <w:jc w:val="left"/>
        <w:rPr>
          <w:rFonts w:eastAsia="Arial" w:cs="Arial"/>
          <w:sz w:val="20"/>
          <w:szCs w:val="20"/>
        </w:rPr>
      </w:pPr>
      <w:r>
        <w:rPr>
          <w:rFonts w:eastAsia="Arial" w:cs="Arial"/>
          <w:sz w:val="20"/>
          <w:szCs w:val="20"/>
        </w:rPr>
        <w:t>Review the notice filing requirements of each state where KCD has one or more clients or an office. Some states require notice filings only if an adviser has five or more clients located in that state. Some states exempt certain types of persons or entities (</w:t>
      </w:r>
      <w:r>
        <w:rPr>
          <w:rFonts w:eastAsia="Arial" w:cs="Arial"/>
          <w:i/>
          <w:iCs/>
          <w:sz w:val="20"/>
          <w:szCs w:val="20"/>
        </w:rPr>
        <w:t>e.g.,</w:t>
      </w:r>
      <w:r>
        <w:rPr>
          <w:rFonts w:eastAsia="Arial" w:cs="Arial"/>
          <w:sz w:val="20"/>
          <w:szCs w:val="20"/>
        </w:rPr>
        <w:t xml:space="preserve"> an institutional investor) from counting as clients for notice filing purposes. Still other states do not require a notice filing unless the investment adviser has an office in that state. The Chief Compliance Officer will look for available exemptions to the notice filing requirement. If no exemption is available, the Chief Compliance Officer will ascertain what the notice filing must contain; </w:t>
      </w:r>
    </w:p>
    <w:p>
      <w:pPr>
        <w:numPr>
          <w:ilvl w:val="0"/>
          <w:numId w:val="722"/>
        </w:numPr>
        <w:ind w:left="720" w:hanging="192"/>
        <w:jc w:val="left"/>
        <w:rPr>
          <w:rFonts w:eastAsia="Arial" w:cs="Arial"/>
          <w:sz w:val="20"/>
          <w:szCs w:val="20"/>
        </w:rPr>
      </w:pPr>
      <w:r>
        <w:rPr>
          <w:rFonts w:eastAsia="Arial" w:cs="Arial"/>
          <w:sz w:val="20"/>
          <w:szCs w:val="20"/>
        </w:rPr>
        <w:t xml:space="preserve">Maintain a list of all states where notice filings are required and include on that list the filing deadlines; and </w:t>
      </w:r>
    </w:p>
    <w:p>
      <w:pPr>
        <w:numPr>
          <w:ilvl w:val="0"/>
          <w:numId w:val="722"/>
        </w:numPr>
        <w:spacing w:after="200"/>
        <w:ind w:left="720" w:hanging="192"/>
        <w:jc w:val="left"/>
        <w:rPr>
          <w:rFonts w:eastAsia="Arial" w:cs="Arial"/>
          <w:sz w:val="20"/>
          <w:szCs w:val="20"/>
        </w:rPr>
      </w:pPr>
      <w:r>
        <w:rPr>
          <w:rFonts w:eastAsia="Arial" w:cs="Arial"/>
          <w:sz w:val="20"/>
          <w:szCs w:val="20"/>
        </w:rPr>
        <w:t>On a timely basis, make all required initial and renewal notice filings. To make a notice filing, KCD will check the box next to the appropriate states listed in Part 1A (Item 2.C.) of its Form ADV. When KCD submits its annual amendment to its Form ADV via the IARD system, it will automatically make notice filings in the states that are checked. Prior to making the notice filings, KCD will verify that it has sufficient funds in its IARD Daily Account to cover both state and SEC filing fees.</w:t>
      </w:r>
    </w:p>
    <w:p>
      <w:bookmarkEnd w:id="829"/>
      <w:bookmarkStart w:id="830" w:name="Sec_Chp_061016102257046_061016102257484"/>
    </w:p>
    <w:p>
      <w:pPr>
        <w:pStyle w:val="Heading4"/>
      </w:pPr>
      <w:r>
        <w:t>11.3.3.3 Filing Fees</w:t>
      </w:r>
    </w:p>
    <w:p/>
    <w:p>
      <w:pPr>
        <w:rPr>
          <w:rFonts w:eastAsia="Arial" w:cs="Arial"/>
          <w:sz w:val="16"/>
          <w:szCs w:val="16"/>
        </w:rPr>
      </w:pPr>
      <w:r>
        <w:rPr>
          <w:rFonts w:eastAsia="Arial" w:cs="Arial"/>
          <w:sz w:val="16"/>
          <w:szCs w:val="16"/>
        </w:rPr>
        <w:t>[Investment Advisers Act of 1940 Rule 203-1]</w:t>
      </w:r>
    </w:p>
    <w:p/>
    <w:p>
      <w:pPr>
        <w:pStyle w:val="normal0"/>
        <w:spacing w:after="200"/>
        <w:rPr>
          <w:rFonts w:eastAsia="Arial" w:cs="Arial"/>
          <w:sz w:val="20"/>
          <w:szCs w:val="20"/>
        </w:rPr>
      </w:pPr>
      <w:r>
        <w:rPr>
          <w:rFonts w:eastAsia="Arial" w:cs="Arial"/>
          <w:sz w:val="20"/>
          <w:szCs w:val="20"/>
        </w:rPr>
        <w:t>KCD shall set up and maintain an IARD Flex-Funding Account, timely paying all filing fees due on its initial registration and amendments to its registration statement and notice filings.</w:t>
      </w:r>
    </w:p>
    <w:p>
      <w:pPr>
        <w:pStyle w:val="normal0"/>
        <w:spacing w:before="200" w:after="200"/>
        <w:rPr>
          <w:rFonts w:eastAsia="Arial" w:cs="Arial"/>
          <w:sz w:val="20"/>
          <w:szCs w:val="20"/>
        </w:rPr>
      </w:pPr>
      <w:r>
        <w:rPr>
          <w:rFonts w:eastAsia="Arial" w:cs="Arial"/>
          <w:sz w:val="20"/>
          <w:szCs w:val="20"/>
          <w:u w:val="single"/>
        </w:rPr>
        <w:t>SEC Registration</w:t>
      </w:r>
    </w:p>
    <w:p>
      <w:pPr>
        <w:pStyle w:val="normal0"/>
        <w:spacing w:before="200" w:after="200"/>
        <w:rPr>
          <w:rFonts w:eastAsia="Arial" w:cs="Arial"/>
          <w:sz w:val="20"/>
          <w:szCs w:val="20"/>
        </w:rPr>
      </w:pPr>
      <w:r>
        <w:rPr>
          <w:rFonts w:eastAsia="Arial" w:cs="Arial"/>
          <w:sz w:val="20"/>
          <w:szCs w:val="20"/>
        </w:rPr>
        <w:t>Filing fees generally are due at the time KCD's annual amendment is filed. No fee is charged for filing an electronic amendment to KCD's Form ADV. To ensure that filing fees are paid, the Licensing and Registration Analyst will periodically check KCD's balance in the IARD system, and when necessary, will arrange for additional payments to be made by KCD to increase the balance so that sufficient funds are available for filing fees.</w:t>
      </w:r>
    </w:p>
    <w:p>
      <w:pPr>
        <w:pStyle w:val="normal0"/>
        <w:spacing w:before="200" w:after="200"/>
        <w:rPr>
          <w:rFonts w:eastAsia="Arial" w:cs="Arial"/>
          <w:sz w:val="20"/>
          <w:szCs w:val="20"/>
        </w:rPr>
      </w:pPr>
      <w:r>
        <w:rPr>
          <w:rFonts w:eastAsia="Arial" w:cs="Arial"/>
          <w:sz w:val="20"/>
          <w:szCs w:val="20"/>
        </w:rPr>
        <w:t>KCD will pay its annual IARD fee by April 2 of each year, prior to submitting its annual Form ADV amendment. The current fees, based on KCD's assets under management (AUM), are:</w:t>
      </w:r>
    </w:p>
    <w:p>
      <w:pPr>
        <w:numPr>
          <w:ilvl w:val="0"/>
          <w:numId w:val="723"/>
        </w:numPr>
        <w:spacing w:before="200"/>
        <w:ind w:left="720" w:hanging="192"/>
        <w:jc w:val="left"/>
        <w:rPr>
          <w:rFonts w:eastAsia="Arial" w:cs="Arial"/>
          <w:sz w:val="20"/>
          <w:szCs w:val="20"/>
        </w:rPr>
      </w:pPr>
      <w:r>
        <w:rPr>
          <w:rFonts w:eastAsia="Arial" w:cs="Arial"/>
          <w:sz w:val="20"/>
          <w:szCs w:val="20"/>
        </w:rPr>
        <w:t>$40 if AUM is below $25 million;</w:t>
      </w:r>
    </w:p>
    <w:p>
      <w:pPr>
        <w:numPr>
          <w:ilvl w:val="0"/>
          <w:numId w:val="723"/>
        </w:numPr>
        <w:ind w:left="720" w:hanging="192"/>
        <w:jc w:val="left"/>
        <w:rPr>
          <w:rFonts w:eastAsia="Arial" w:cs="Arial"/>
          <w:sz w:val="20"/>
          <w:szCs w:val="20"/>
        </w:rPr>
      </w:pPr>
      <w:r>
        <w:rPr>
          <w:rFonts w:eastAsia="Arial" w:cs="Arial"/>
          <w:sz w:val="20"/>
          <w:szCs w:val="20"/>
        </w:rPr>
        <w:t>$150 if AUM is $25 million but less than $100 million; and</w:t>
      </w:r>
    </w:p>
    <w:p>
      <w:pPr>
        <w:numPr>
          <w:ilvl w:val="0"/>
          <w:numId w:val="723"/>
        </w:numPr>
        <w:spacing w:after="200"/>
        <w:ind w:left="720" w:hanging="192"/>
        <w:jc w:val="left"/>
        <w:rPr>
          <w:rFonts w:eastAsia="Arial" w:cs="Arial"/>
          <w:sz w:val="20"/>
          <w:szCs w:val="20"/>
        </w:rPr>
      </w:pPr>
      <w:r>
        <w:rPr>
          <w:rFonts w:eastAsia="Arial" w:cs="Arial"/>
          <w:sz w:val="20"/>
          <w:szCs w:val="20"/>
        </w:rPr>
        <w:t>$225 if AUM is $100 million or more.</w:t>
      </w:r>
    </w:p>
    <w:p>
      <w:pPr>
        <w:pStyle w:val="normal0"/>
        <w:spacing w:before="200" w:after="200"/>
        <w:rPr>
          <w:rFonts w:eastAsia="Arial" w:cs="Arial"/>
          <w:sz w:val="20"/>
          <w:szCs w:val="20"/>
        </w:rPr>
      </w:pPr>
      <w:r>
        <w:rPr>
          <w:rFonts w:eastAsia="Arial" w:cs="Arial"/>
          <w:sz w:val="20"/>
          <w:szCs w:val="20"/>
          <w:u w:val="single"/>
        </w:rPr>
        <w:t>State Notice Filings</w:t>
      </w:r>
    </w:p>
    <w:p>
      <w:pPr>
        <w:pStyle w:val="normal0"/>
        <w:spacing w:before="200" w:after="200"/>
        <w:rPr>
          <w:rFonts w:eastAsia="Arial" w:cs="Arial"/>
          <w:sz w:val="20"/>
          <w:szCs w:val="20"/>
        </w:rPr>
      </w:pPr>
      <w:r>
        <w:rPr>
          <w:rFonts w:eastAsia="Arial" w:cs="Arial"/>
          <w:sz w:val="20"/>
          <w:szCs w:val="20"/>
        </w:rPr>
        <w:t>KCD is subject to applicable state Notice Filing fees associated with any amendment or initial registration filing. State Notice Filing fees are separate fees charged by state regulatory authorities. KCD pays its state Notice Filing fees through IARD when filing electronically by clicking on "Registration/Reporting Status" under "View Organization" on the main menu to see the list of states where it is registered as an adviser, the status of any registration applications, and the states where it is filing reports as an Exempt Reporting Adviser.</w:t>
      </w:r>
    </w:p>
    <w:p>
      <w:pPr>
        <w:pStyle w:val="normal0"/>
        <w:spacing w:before="200" w:after="200"/>
        <w:rPr>
          <w:rFonts w:eastAsia="Arial" w:cs="Arial"/>
          <w:sz w:val="20"/>
          <w:szCs w:val="20"/>
        </w:rPr>
      </w:pPr>
      <w:r>
        <w:rPr>
          <w:rFonts w:eastAsia="Arial" w:cs="Arial"/>
          <w:sz w:val="20"/>
          <w:szCs w:val="20"/>
          <w:u w:val="single"/>
        </w:rPr>
        <w:t>Exempt Reporting Advisers</w:t>
      </w:r>
    </w:p>
    <w:p>
      <w:pPr>
        <w:pStyle w:val="normal0"/>
        <w:spacing w:before="200" w:after="200"/>
        <w:rPr>
          <w:rFonts w:eastAsia="Arial" w:cs="Arial"/>
          <w:sz w:val="20"/>
          <w:szCs w:val="20"/>
        </w:rPr>
      </w:pPr>
      <w:r>
        <w:rPr>
          <w:rFonts w:eastAsia="Arial" w:cs="Arial"/>
          <w:sz w:val="20"/>
          <w:szCs w:val="20"/>
        </w:rPr>
        <w:t>The fee for initial reports and each annual updating amendment is $150 for Exempt Reporting Advisers.</w:t>
      </w:r>
    </w:p>
    <w:p>
      <w:bookmarkEnd w:id="830"/>
      <w:bookmarkStart w:id="831" w:name="Sec_Chp_061016102257046_061016102257500"/>
    </w:p>
    <w:p>
      <w:pPr>
        <w:pStyle w:val="Heading3"/>
      </w:pPr>
      <w:bookmarkStart w:id="832" w:name="_Toc256000218"/>
      <w:r>
        <w:t>11.3.4 Form ADV</w:t>
      </w:r>
      <w:bookmarkEnd w:id="832"/>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Form ADV is divided into four parts: the registration form (Part 1A), the state registration form (Part 1B), Part 2A (Firm Brochure) and Part 2B (Brochure Supplement). Each part has the following schedules that may have to be completed depending on KCD's responses to the questions in Part 1A:</w:t>
      </w:r>
    </w:p>
    <w:p>
      <w:pPr>
        <w:numPr>
          <w:ilvl w:val="0"/>
          <w:numId w:val="724"/>
        </w:numPr>
        <w:spacing w:before="200"/>
        <w:ind w:left="720" w:hanging="192"/>
        <w:jc w:val="left"/>
        <w:rPr>
          <w:rFonts w:eastAsia="Arial" w:cs="Arial"/>
          <w:sz w:val="20"/>
          <w:szCs w:val="20"/>
        </w:rPr>
      </w:pPr>
      <w:r>
        <w:rPr>
          <w:rFonts w:eastAsia="Arial" w:cs="Arial"/>
          <w:sz w:val="20"/>
          <w:szCs w:val="20"/>
        </w:rPr>
        <w:t xml:space="preserve">Schedule A asks for information about an adviser's direct owners and executive officers. </w:t>
      </w:r>
    </w:p>
    <w:p>
      <w:pPr>
        <w:numPr>
          <w:ilvl w:val="0"/>
          <w:numId w:val="724"/>
        </w:numPr>
        <w:ind w:left="720" w:hanging="192"/>
        <w:jc w:val="left"/>
        <w:rPr>
          <w:rFonts w:eastAsia="Arial" w:cs="Arial"/>
          <w:sz w:val="20"/>
          <w:szCs w:val="20"/>
        </w:rPr>
      </w:pPr>
      <w:r>
        <w:rPr>
          <w:rFonts w:eastAsia="Arial" w:cs="Arial"/>
          <w:sz w:val="20"/>
          <w:szCs w:val="20"/>
        </w:rPr>
        <w:t xml:space="preserve">Schedule B asks for information about an adviser's indirect owners. </w:t>
      </w:r>
    </w:p>
    <w:p>
      <w:pPr>
        <w:numPr>
          <w:ilvl w:val="0"/>
          <w:numId w:val="724"/>
        </w:numPr>
        <w:ind w:left="720" w:hanging="192"/>
        <w:jc w:val="left"/>
        <w:rPr>
          <w:rFonts w:eastAsia="Arial" w:cs="Arial"/>
          <w:sz w:val="20"/>
          <w:szCs w:val="20"/>
        </w:rPr>
      </w:pPr>
      <w:r>
        <w:rPr>
          <w:rFonts w:eastAsia="Arial" w:cs="Arial"/>
          <w:sz w:val="20"/>
          <w:szCs w:val="20"/>
        </w:rPr>
        <w:t xml:space="preserve">Schedule C is used by paper filers to update the information required by Schedules A and B. </w:t>
      </w:r>
    </w:p>
    <w:p>
      <w:pPr>
        <w:numPr>
          <w:ilvl w:val="0"/>
          <w:numId w:val="724"/>
        </w:numPr>
        <w:spacing w:after="200"/>
        <w:ind w:left="720" w:hanging="192"/>
        <w:jc w:val="left"/>
        <w:rPr>
          <w:rFonts w:eastAsia="Arial" w:cs="Arial"/>
          <w:sz w:val="20"/>
          <w:szCs w:val="20"/>
        </w:rPr>
      </w:pPr>
      <w:r>
        <w:rPr>
          <w:rFonts w:eastAsia="Arial" w:cs="Arial"/>
          <w:sz w:val="20"/>
          <w:szCs w:val="20"/>
        </w:rPr>
        <w:t xml:space="preserve">Schedule D asks for additional information for certain items in Part 1A. </w:t>
      </w:r>
    </w:p>
    <w:p>
      <w:pPr>
        <w:pStyle w:val="normal0"/>
        <w:spacing w:before="200" w:after="200"/>
        <w:rPr>
          <w:rFonts w:eastAsia="Arial" w:cs="Arial"/>
          <w:sz w:val="20"/>
          <w:szCs w:val="20"/>
        </w:rPr>
      </w:pPr>
      <w:r>
        <w:rPr>
          <w:rFonts w:eastAsia="Arial" w:cs="Arial"/>
          <w:sz w:val="20"/>
          <w:szCs w:val="20"/>
        </w:rPr>
        <w:t>Disclosure Reporting Pages (or "DRPs") ask for details about disciplinary events involving KCD or persons affiliated with the adviser. (These are considered schedules too.)</w:t>
      </w:r>
    </w:p>
    <w:p>
      <w:bookmarkEnd w:id="831"/>
      <w:bookmarkStart w:id="833" w:name="Sec_Chp_061016102257046_061016102257515"/>
    </w:p>
    <w:p>
      <w:pPr>
        <w:pStyle w:val="Heading4"/>
      </w:pPr>
      <w:r>
        <w:t>11.3.4.1 Part 1A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Part 1A consists of a series of fill-in-the-blank, multiple-choice, and check-the-box questions. Part 1A is designed to provide information that assists the SEC (or state securities commission) in determining whether to grant the application for registration or revoke an existing registration. KCD therefore is not required to deliver Part 1A to clients or prospective clients.</w:t>
      </w:r>
    </w:p>
    <w:p>
      <w:pPr>
        <w:pStyle w:val="normal0"/>
        <w:spacing w:before="200" w:after="200"/>
        <w:rPr>
          <w:rFonts w:eastAsia="Arial" w:cs="Arial"/>
          <w:sz w:val="20"/>
          <w:szCs w:val="20"/>
        </w:rPr>
      </w:pPr>
      <w:r>
        <w:rPr>
          <w:rFonts w:eastAsia="Arial" w:cs="Arial"/>
          <w:sz w:val="20"/>
          <w:szCs w:val="20"/>
        </w:rPr>
        <w:t xml:space="preserve">Prior to filing Part 1A or an amendment thereto with the SEC or a state securities commission, the </w:t>
      </w:r>
      <w:r>
        <w:rPr>
          <w:rFonts w:eastAsia="Arial" w:cs="Arial"/>
          <w:sz w:val="20"/>
          <w:szCs w:val="20"/>
        </w:rPr>
        <w:t>Licensing and Registrations Analyst</w:t>
      </w:r>
      <w:r>
        <w:rPr>
          <w:rFonts w:eastAsia="Arial" w:cs="Arial"/>
          <w:sz w:val="20"/>
          <w:szCs w:val="20"/>
        </w:rPr>
        <w:t xml:space="preserve"> or its designee will ensure Part 1A and any related schedules are filled out accurately and completely.</w:t>
      </w:r>
    </w:p>
    <w:p>
      <w:pPr>
        <w:pStyle w:val="normal0"/>
        <w:spacing w:before="200" w:after="200"/>
        <w:rPr>
          <w:rFonts w:eastAsia="Arial" w:cs="Arial"/>
          <w:sz w:val="20"/>
          <w:szCs w:val="20"/>
        </w:rPr>
      </w:pPr>
      <w:r>
        <w:rPr>
          <w:rFonts w:eastAsia="Arial" w:cs="Arial"/>
          <w:sz w:val="20"/>
          <w:szCs w:val="20"/>
        </w:rPr>
        <w:br/>
      </w:r>
      <w:r>
        <w:rPr>
          <w:rFonts w:eastAsia="Arial" w:cs="Arial"/>
          <w:sz w:val="20"/>
          <w:szCs w:val="20"/>
        </w:rPr>
        <w:t>KCD shall ensure that all names that it or its supervised persons and investment adviser representatives use are included where applicable when responding to items in its Form ADV.</w:t>
      </w:r>
    </w:p>
    <w:p>
      <w:bookmarkEnd w:id="833"/>
      <w:bookmarkStart w:id="834" w:name="Sec_Chp_061016102257046_061016102257531"/>
    </w:p>
    <w:p>
      <w:pPr>
        <w:pStyle w:val="Heading5"/>
      </w:pPr>
      <w:r>
        <w:t>11.3.4.1.1 Identifying Information (Item 1)</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make sure all information identifying KCD reported in Item 1 is accurate and up-to-date, and promptly will file an amendment to Part I if there is an address change, telephone number change or other material change to this information.</w:t>
      </w:r>
    </w:p>
    <w:p>
      <w:bookmarkEnd w:id="834"/>
      <w:bookmarkStart w:id="835" w:name="Sec_Chp_061016102257046_061016102257546"/>
    </w:p>
    <w:p>
      <w:pPr>
        <w:pStyle w:val="Heading5"/>
      </w:pPr>
      <w:r>
        <w:t>11.3.4.1.2 SEC Registration (Item 2)</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responding to this item, the Chief Compliance Officer will make sure all information is accurate and up-to-date, and promptly will file an amendment to Part 1 if there is a material change to this information.</w:t>
      </w:r>
    </w:p>
    <w:p>
      <w:bookmarkEnd w:id="835"/>
      <w:bookmarkStart w:id="836" w:name="Sec_Chp_061016102257046_061016102257562"/>
    </w:p>
    <w:p>
      <w:pPr>
        <w:pStyle w:val="Heading5"/>
      </w:pPr>
      <w:r>
        <w:t>11.3.4.1.3 Form of Organization (Item 3)</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correctly identify the form of KCD's organization in Item 3.</w:t>
      </w:r>
    </w:p>
    <w:p>
      <w:bookmarkEnd w:id="836"/>
      <w:bookmarkStart w:id="837" w:name="Sec_Chp_061016102257046_061016102257578"/>
    </w:p>
    <w:p>
      <w:pPr>
        <w:pStyle w:val="Heading5"/>
      </w:pPr>
      <w:r>
        <w:t>11.3.4.1.4 Successions (Item 4)</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Item 4 is applicable only if KCD has (1) taken over the business of an investment adviser or (2) has changed its structure or legal status (e.g., form of organization or state of incorporation) or a new organization has been created. If this is the case, the Chief Compliance Officer will respond in the appropriate manner to the questions answered in this item. When so responding, the Chief Compliance Officer shall refer to "Registration of Successors to Broker-Dealers and Investment Advisers," Investment Advisers Act Release No. 1357 (Dec. 28, 1992).</w:t>
      </w:r>
    </w:p>
    <w:p>
      <w:bookmarkEnd w:id="837"/>
      <w:bookmarkStart w:id="838" w:name="Sec_Chp_061016102257046_061016102257593"/>
    </w:p>
    <w:p>
      <w:pPr>
        <w:pStyle w:val="Heading5"/>
      </w:pPr>
      <w:r>
        <w:t>11.3.4.1.5 Information About the Advisory Business (Item 5)</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responding to this item, the Chief Compliance Officer shall review documents, including KCD's standard Investment Advisory Contract.</w:t>
      </w:r>
    </w:p>
    <w:p>
      <w:bookmarkEnd w:id="838"/>
      <w:bookmarkStart w:id="839" w:name="Sec_Chp_061016102257046_061016102257609"/>
    </w:p>
    <w:p>
      <w:pPr>
        <w:pStyle w:val="Heading5"/>
      </w:pPr>
      <w:r>
        <w:t>11.3.4.1.6 Other Business Activity (Item 6)</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the Chief Compliance Officer indicates that KCD engages in other business activities, the Chief Compliance Officer will describe the other business activities of KCD in Schedule F of Part II of KCD's Form ADV and any conflicts of interest caused by such activities.</w:t>
      </w:r>
    </w:p>
    <w:p>
      <w:bookmarkEnd w:id="839"/>
      <w:bookmarkStart w:id="840" w:name="Sec_Chp_061016102257046_061016102257625"/>
    </w:p>
    <w:p>
      <w:pPr>
        <w:pStyle w:val="Heading5"/>
      </w:pPr>
      <w:r>
        <w:t>11.3.4.1.7 Financial Industry Affiliations (Item 7)</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responding to the request for information about KCD and its related persons, the following persons will be deemed to be "related persons":</w:t>
      </w:r>
    </w:p>
    <w:p>
      <w:pPr>
        <w:numPr>
          <w:ilvl w:val="0"/>
          <w:numId w:val="725"/>
        </w:numPr>
        <w:spacing w:before="200"/>
        <w:ind w:left="720" w:hanging="192"/>
        <w:jc w:val="left"/>
        <w:rPr>
          <w:rFonts w:eastAsia="Arial" w:cs="Arial"/>
          <w:sz w:val="20"/>
          <w:szCs w:val="20"/>
        </w:rPr>
      </w:pPr>
      <w:r>
        <w:rPr>
          <w:rFonts w:eastAsia="Arial" w:cs="Arial"/>
          <w:sz w:val="20"/>
          <w:szCs w:val="20"/>
        </w:rPr>
        <w:t>The officers, partners, or directors (or any person performing similar functions) of KCD;</w:t>
      </w:r>
    </w:p>
    <w:p>
      <w:pPr>
        <w:numPr>
          <w:ilvl w:val="0"/>
          <w:numId w:val="725"/>
        </w:numPr>
        <w:ind w:left="720" w:hanging="192"/>
        <w:jc w:val="left"/>
        <w:rPr>
          <w:rFonts w:eastAsia="Arial" w:cs="Arial"/>
          <w:sz w:val="20"/>
          <w:szCs w:val="20"/>
        </w:rPr>
      </w:pPr>
      <w:r>
        <w:rPr>
          <w:rFonts w:eastAsia="Arial" w:cs="Arial"/>
          <w:sz w:val="20"/>
          <w:szCs w:val="20"/>
        </w:rPr>
        <w:t>Persons directly or indirectly controlling or controlled by KCD; and</w:t>
      </w:r>
    </w:p>
    <w:p>
      <w:pPr>
        <w:numPr>
          <w:ilvl w:val="0"/>
          <w:numId w:val="725"/>
        </w:numPr>
        <w:spacing w:after="200"/>
        <w:ind w:left="720" w:hanging="192"/>
        <w:jc w:val="left"/>
        <w:rPr>
          <w:rFonts w:eastAsia="Arial" w:cs="Arial"/>
          <w:sz w:val="20"/>
          <w:szCs w:val="20"/>
        </w:rPr>
      </w:pPr>
      <w:r>
        <w:rPr>
          <w:rFonts w:eastAsia="Arial" w:cs="Arial"/>
          <w:sz w:val="20"/>
          <w:szCs w:val="20"/>
        </w:rPr>
        <w:t>The employees of KCD (other than employees performing only clerical, administrative, support or similar functions).</w:t>
      </w:r>
    </w:p>
    <w:p>
      <w:pPr>
        <w:pStyle w:val="normal0"/>
        <w:spacing w:before="200" w:after="200"/>
        <w:rPr>
          <w:rFonts w:eastAsia="Arial" w:cs="Arial"/>
          <w:sz w:val="20"/>
          <w:szCs w:val="20"/>
        </w:rPr>
      </w:pPr>
      <w:r>
        <w:rPr>
          <w:rFonts w:eastAsia="Arial" w:cs="Arial"/>
          <w:sz w:val="20"/>
          <w:szCs w:val="20"/>
        </w:rPr>
        <w:t xml:space="preserve">When determining whether a person or entity is controlling or controlled by another person or entity, the </w:t>
      </w:r>
      <w:r>
        <w:rPr>
          <w:rFonts w:eastAsia="Arial" w:cs="Arial"/>
          <w:sz w:val="20"/>
          <w:szCs w:val="20"/>
        </w:rPr>
        <w:t>Licensing and Registrations Analyst</w:t>
      </w:r>
      <w:r>
        <w:rPr>
          <w:rFonts w:eastAsia="Arial" w:cs="Arial"/>
          <w:sz w:val="20"/>
          <w:szCs w:val="20"/>
        </w:rPr>
        <w:t xml:space="preserve"> shall consider the definition of "control" set forth herein.</w:t>
      </w:r>
    </w:p>
    <w:p>
      <w:pPr>
        <w:pStyle w:val="normal0"/>
        <w:spacing w:before="200" w:after="200"/>
        <w:rPr>
          <w:rFonts w:eastAsia="Arial" w:cs="Arial"/>
          <w:sz w:val="20"/>
          <w:szCs w:val="20"/>
        </w:rPr>
      </w:pPr>
      <w:r>
        <w:rPr>
          <w:rFonts w:eastAsia="Arial" w:cs="Arial"/>
          <w:sz w:val="20"/>
          <w:szCs w:val="20"/>
        </w:rPr>
        <w:t>KCD will indicate when responding to Item 7 the applicable activities that each of its related persons are involved in. Note that the SEC does not want KCD to disclose in response to Item 7 those employees who perform investment advisory functions or registered representatives of a broker-dealer. These items should be disclosed when responding to Item 5.B.</w:t>
      </w:r>
    </w:p>
    <w:p>
      <w:pPr>
        <w:pStyle w:val="normal0"/>
        <w:spacing w:before="200" w:after="200"/>
        <w:rPr>
          <w:rFonts w:eastAsia="Arial" w:cs="Arial"/>
          <w:sz w:val="20"/>
          <w:szCs w:val="20"/>
        </w:rPr>
      </w:pPr>
      <w:r>
        <w:rPr>
          <w:rFonts w:eastAsia="Arial" w:cs="Arial"/>
          <w:sz w:val="20"/>
          <w:szCs w:val="20"/>
        </w:rPr>
        <w:t>If KCD advises hedge funds, it will complete Item 7.B.(1) in Schedule D for each hedge fund.</w:t>
      </w:r>
    </w:p>
    <w:p>
      <w:pPr>
        <w:pStyle w:val="normal0"/>
        <w:spacing w:before="200" w:after="200"/>
        <w:rPr>
          <w:rFonts w:eastAsia="Arial" w:cs="Arial"/>
          <w:sz w:val="20"/>
          <w:szCs w:val="20"/>
        </w:rPr>
      </w:pPr>
      <w:r>
        <w:rPr>
          <w:rFonts w:eastAsia="Arial" w:cs="Arial"/>
          <w:sz w:val="20"/>
          <w:szCs w:val="20"/>
        </w:rPr>
        <w:t>KCD must report separate information about compensation paid to solicitors who are employees and non-employees.</w:t>
      </w:r>
    </w:p>
    <w:p>
      <w:bookmarkEnd w:id="840"/>
      <w:bookmarkStart w:id="841" w:name="Sec_Chp_061016102257046_061016102257640"/>
    </w:p>
    <w:p>
      <w:pPr>
        <w:pStyle w:val="Heading5"/>
      </w:pPr>
      <w:r>
        <w:t>11.3.4.1.8 Participation or Interest in Client Transactions (Item 8)</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With respect to any affirmative answer in Item 8, the Chief Compliance Officer shall describe the arrangement in Part 2A (Firm Brochure) of KCD's Form ADV, including conflicts of interest that may occur between KCD and its clients. </w:t>
      </w:r>
    </w:p>
    <w:p>
      <w:bookmarkEnd w:id="841"/>
      <w:bookmarkStart w:id="842" w:name="Sec_Chp_061016102257046_061016102257656"/>
    </w:p>
    <w:p>
      <w:pPr>
        <w:pStyle w:val="Heading5"/>
      </w:pPr>
      <w:r>
        <w:t>11.3.4.1.9 Custody (Item 9)</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responding to this item, the Chief Compliance Officer will consult with the procedures set forth in the Custody chapter of this Compliance Manual. In addition, KCD will include on Form ADV where appropriate:</w:t>
      </w:r>
    </w:p>
    <w:p>
      <w:pPr>
        <w:numPr>
          <w:ilvl w:val="0"/>
          <w:numId w:val="726"/>
        </w:numPr>
        <w:spacing w:before="200"/>
        <w:ind w:left="720" w:hanging="192"/>
        <w:jc w:val="left"/>
        <w:rPr>
          <w:rFonts w:eastAsia="Arial" w:cs="Arial"/>
          <w:sz w:val="20"/>
          <w:szCs w:val="20"/>
        </w:rPr>
      </w:pPr>
      <w:r>
        <w:rPr>
          <w:rFonts w:eastAsia="Arial" w:cs="Arial"/>
          <w:sz w:val="20"/>
          <w:szCs w:val="20"/>
        </w:rPr>
        <w:t>whether KCD has custody over client assets;</w:t>
      </w:r>
    </w:p>
    <w:p>
      <w:pPr>
        <w:numPr>
          <w:ilvl w:val="0"/>
          <w:numId w:val="726"/>
        </w:numPr>
        <w:ind w:left="720" w:hanging="192"/>
        <w:jc w:val="left"/>
        <w:rPr>
          <w:rFonts w:eastAsia="Arial" w:cs="Arial"/>
          <w:sz w:val="20"/>
          <w:szCs w:val="20"/>
        </w:rPr>
      </w:pPr>
      <w:r>
        <w:rPr>
          <w:rFonts w:eastAsia="Arial" w:cs="Arial"/>
          <w:sz w:val="20"/>
          <w:szCs w:val="20"/>
        </w:rPr>
        <w:t>whether a "related person" (as defined in Rule 206(4)-2 under the Advisers Act) has custody over client assets;</w:t>
      </w:r>
    </w:p>
    <w:p>
      <w:pPr>
        <w:numPr>
          <w:ilvl w:val="0"/>
          <w:numId w:val="726"/>
        </w:numPr>
        <w:ind w:left="720" w:hanging="192"/>
        <w:jc w:val="left"/>
        <w:rPr>
          <w:rFonts w:eastAsia="Arial" w:cs="Arial"/>
          <w:sz w:val="20"/>
          <w:szCs w:val="20"/>
        </w:rPr>
      </w:pPr>
      <w:r>
        <w:rPr>
          <w:rFonts w:eastAsia="Arial" w:cs="Arial"/>
          <w:sz w:val="20"/>
          <w:szCs w:val="20"/>
        </w:rPr>
        <w:t>whether KCD or a related person (i) sends account statements; (ii) retains an independent public accountant to audit financial statements of hedge fund clients; (iii) arranges for an annual surprise examination of client assets; and (iv) arranges for the preparation of an internal control report regarding client custody arrangements;</w:t>
      </w:r>
    </w:p>
    <w:p>
      <w:pPr>
        <w:numPr>
          <w:ilvl w:val="0"/>
          <w:numId w:val="726"/>
        </w:numPr>
        <w:ind w:left="720" w:hanging="192"/>
        <w:jc w:val="left"/>
        <w:rPr>
          <w:rFonts w:eastAsia="Arial" w:cs="Arial"/>
          <w:sz w:val="20"/>
          <w:szCs w:val="20"/>
        </w:rPr>
      </w:pPr>
      <w:r>
        <w:rPr>
          <w:rFonts w:eastAsia="Arial" w:cs="Arial"/>
          <w:sz w:val="20"/>
          <w:szCs w:val="20"/>
        </w:rPr>
        <w:t>the date that any surprise examination began in the last fiscal year of KCD;</w:t>
      </w:r>
    </w:p>
    <w:p>
      <w:pPr>
        <w:numPr>
          <w:ilvl w:val="0"/>
          <w:numId w:val="726"/>
        </w:numPr>
        <w:ind w:left="720" w:hanging="192"/>
        <w:jc w:val="left"/>
        <w:rPr>
          <w:rFonts w:eastAsia="Arial" w:cs="Arial"/>
          <w:sz w:val="20"/>
          <w:szCs w:val="20"/>
        </w:rPr>
      </w:pPr>
      <w:r>
        <w:rPr>
          <w:rFonts w:eastAsia="Arial" w:cs="Arial"/>
          <w:sz w:val="20"/>
          <w:szCs w:val="20"/>
        </w:rPr>
        <w:t>if KCD arranges for an annual surprise examination or internal control report, it shall list the independent public accountant performing such function in Schedule D of KCD's Form ADV, as well as other information about the independent public accountant required by Form ADV;</w:t>
      </w:r>
    </w:p>
    <w:p>
      <w:pPr>
        <w:numPr>
          <w:ilvl w:val="0"/>
          <w:numId w:val="726"/>
        </w:numPr>
        <w:ind w:left="720" w:hanging="192"/>
        <w:jc w:val="left"/>
        <w:rPr>
          <w:rFonts w:eastAsia="Arial" w:cs="Arial"/>
          <w:sz w:val="20"/>
          <w:szCs w:val="20"/>
        </w:rPr>
      </w:pPr>
      <w:r>
        <w:rPr>
          <w:rFonts w:eastAsia="Arial" w:cs="Arial"/>
          <w:sz w:val="20"/>
          <w:szCs w:val="20"/>
        </w:rPr>
        <w:t>whether KCD or a related person acts as qualified custodian over client assets;</w:t>
      </w:r>
    </w:p>
    <w:p>
      <w:pPr>
        <w:numPr>
          <w:ilvl w:val="0"/>
          <w:numId w:val="726"/>
        </w:numPr>
        <w:ind w:left="720" w:hanging="192"/>
        <w:jc w:val="left"/>
        <w:rPr>
          <w:rFonts w:eastAsia="Arial" w:cs="Arial"/>
          <w:sz w:val="20"/>
          <w:szCs w:val="20"/>
        </w:rPr>
      </w:pPr>
      <w:r>
        <w:rPr>
          <w:rFonts w:eastAsia="Arial" w:cs="Arial"/>
          <w:sz w:val="20"/>
          <w:szCs w:val="20"/>
        </w:rPr>
        <w:t>if a related person acts in a qualified custodian capacity, KCD will indicate the name of the related person in Schedule D of KCD's Form ADV, as well as other information about the related person required by Form ADV; and</w:t>
      </w:r>
    </w:p>
    <w:p>
      <w:pPr>
        <w:numPr>
          <w:ilvl w:val="0"/>
          <w:numId w:val="726"/>
        </w:numPr>
        <w:spacing w:after="200"/>
        <w:ind w:left="720" w:hanging="192"/>
        <w:jc w:val="left"/>
        <w:rPr>
          <w:rFonts w:eastAsia="Arial" w:cs="Arial"/>
          <w:sz w:val="20"/>
          <w:szCs w:val="20"/>
        </w:rPr>
      </w:pPr>
      <w:r>
        <w:rPr>
          <w:rFonts w:eastAsia="Arial" w:cs="Arial"/>
          <w:sz w:val="20"/>
          <w:szCs w:val="20"/>
        </w:rPr>
        <w:t>if applicable, KCD will answer any question about overcoming a presumption that a related person is not operationally independent of KCD.</w:t>
      </w:r>
    </w:p>
    <w:p>
      <w:bookmarkEnd w:id="842"/>
      <w:bookmarkStart w:id="843" w:name="Sec_Chp_061016102257046_061016102257671"/>
    </w:p>
    <w:p>
      <w:pPr>
        <w:pStyle w:val="Heading5"/>
      </w:pPr>
      <w:r>
        <w:t>11.3.4.1.10 Control Persons (Item 10)</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responding to requests for information about control persons, the Chief Compliance Officer shall consider the following factors regarding what constitutes "control":</w:t>
      </w:r>
    </w:p>
    <w:p>
      <w:pPr>
        <w:numPr>
          <w:ilvl w:val="0"/>
          <w:numId w:val="727"/>
        </w:numPr>
        <w:spacing w:before="200"/>
        <w:ind w:left="720" w:hanging="192"/>
        <w:jc w:val="left"/>
        <w:rPr>
          <w:rFonts w:eastAsia="Arial" w:cs="Arial"/>
          <w:sz w:val="20"/>
          <w:szCs w:val="20"/>
        </w:rPr>
      </w:pPr>
      <w:r>
        <w:rPr>
          <w:rFonts w:eastAsia="Arial" w:cs="Arial"/>
          <w:sz w:val="20"/>
          <w:szCs w:val="20"/>
        </w:rPr>
        <w:t xml:space="preserve">Control means the power, directly or indirectly, to direct the management or policies of a person or company, whether through ownership of securities, by contract, or otherwise. </w:t>
      </w:r>
    </w:p>
    <w:p>
      <w:pPr>
        <w:numPr>
          <w:ilvl w:val="0"/>
          <w:numId w:val="727"/>
        </w:numPr>
        <w:ind w:left="720" w:hanging="192"/>
        <w:jc w:val="left"/>
        <w:rPr>
          <w:rFonts w:eastAsia="Arial" w:cs="Arial"/>
          <w:sz w:val="20"/>
          <w:szCs w:val="20"/>
        </w:rPr>
      </w:pPr>
      <w:r>
        <w:rPr>
          <w:rFonts w:eastAsia="Arial" w:cs="Arial"/>
          <w:sz w:val="20"/>
          <w:szCs w:val="20"/>
        </w:rPr>
        <w:t xml:space="preserve">Each of KCD's officers, partners, or directors exercising executive responsibility (or persons having similar status or functions) is presumed to control KCD. </w:t>
      </w:r>
    </w:p>
    <w:p>
      <w:pPr>
        <w:numPr>
          <w:ilvl w:val="0"/>
          <w:numId w:val="727"/>
        </w:numPr>
        <w:ind w:left="720" w:hanging="192"/>
        <w:jc w:val="left"/>
        <w:rPr>
          <w:rFonts w:eastAsia="Arial" w:cs="Arial"/>
          <w:sz w:val="20"/>
          <w:szCs w:val="20"/>
        </w:rPr>
      </w:pPr>
      <w:r>
        <w:rPr>
          <w:rFonts w:eastAsia="Arial" w:cs="Arial"/>
          <w:sz w:val="20"/>
          <w:szCs w:val="20"/>
        </w:rPr>
        <w:t xml:space="preserve">A person is presumed to control a corporation if the person: (i) directly or indirectly has the right to vote 25% or more of a class of the corporation's voting securities; or (ii) has the power to sell or direct the sale of 25% or more of a class of the corporation's voting securities. </w:t>
      </w:r>
    </w:p>
    <w:p>
      <w:pPr>
        <w:numPr>
          <w:ilvl w:val="0"/>
          <w:numId w:val="727"/>
        </w:numPr>
        <w:ind w:left="720" w:hanging="192"/>
        <w:jc w:val="left"/>
        <w:rPr>
          <w:rFonts w:eastAsia="Arial" w:cs="Arial"/>
          <w:sz w:val="20"/>
          <w:szCs w:val="20"/>
        </w:rPr>
      </w:pPr>
      <w:r>
        <w:rPr>
          <w:rFonts w:eastAsia="Arial" w:cs="Arial"/>
          <w:sz w:val="20"/>
          <w:szCs w:val="20"/>
        </w:rPr>
        <w:t xml:space="preserve">A person is presumed to control a partnership if the person has the right to receive upon dissolution, or has contributed, 25% or more of the capital of the partnership. </w:t>
      </w:r>
    </w:p>
    <w:p>
      <w:pPr>
        <w:numPr>
          <w:ilvl w:val="0"/>
          <w:numId w:val="727"/>
        </w:numPr>
        <w:ind w:left="720" w:hanging="192"/>
        <w:jc w:val="left"/>
        <w:rPr>
          <w:rFonts w:eastAsia="Arial" w:cs="Arial"/>
          <w:sz w:val="20"/>
          <w:szCs w:val="20"/>
        </w:rPr>
      </w:pPr>
      <w:r>
        <w:rPr>
          <w:rFonts w:eastAsia="Arial" w:cs="Arial"/>
          <w:sz w:val="20"/>
          <w:szCs w:val="20"/>
        </w:rPr>
        <w:t>A person is presumed to control a limited liability company ("LLC") if the person: (i) directly or indirectly has the right to vote 25% or more of a class of the interests of the LLC; (ii) has the right to receive upon dissolution, or has contributed, 25% or more of the capital of the LLC; or (iii) is an elected manager of the LLC.</w:t>
      </w:r>
    </w:p>
    <w:p>
      <w:pPr>
        <w:numPr>
          <w:ilvl w:val="0"/>
          <w:numId w:val="727"/>
        </w:numPr>
        <w:spacing w:after="200"/>
        <w:ind w:left="720" w:hanging="192"/>
        <w:jc w:val="left"/>
        <w:rPr>
          <w:rFonts w:eastAsia="Arial" w:cs="Arial"/>
          <w:sz w:val="20"/>
          <w:szCs w:val="20"/>
        </w:rPr>
      </w:pPr>
      <w:r>
        <w:rPr>
          <w:rFonts w:eastAsia="Arial" w:cs="Arial"/>
          <w:sz w:val="20"/>
          <w:szCs w:val="20"/>
        </w:rPr>
        <w:t xml:space="preserve">A person is presumed to control a trust if the person is a trustee or managing agent of the trust. </w:t>
      </w:r>
    </w:p>
    <w:p>
      <w:bookmarkEnd w:id="843"/>
      <w:bookmarkStart w:id="844" w:name="Sec_Chp_061016102257046_061016102257687"/>
    </w:p>
    <w:p>
      <w:pPr>
        <w:pStyle w:val="Heading5"/>
      </w:pPr>
      <w:r>
        <w:t>11.3.4.1.11 Disciplinary Disclosure Information (Item 11)</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this Item, KCD must provide information about the disciplinary history of KCD and certain of its employees. It must disclose the material facts about each legal or disciplinary event "material" to an evaluation of KCD's integrity or ability to meet contractual commitments to clients. The Chief Compliance Officer shall make sure that it answers each question in Item 11 with respect to:</w:t>
      </w:r>
    </w:p>
    <w:p>
      <w:pPr>
        <w:numPr>
          <w:ilvl w:val="0"/>
          <w:numId w:val="728"/>
        </w:numPr>
        <w:spacing w:before="200"/>
        <w:ind w:left="720" w:hanging="192"/>
        <w:jc w:val="left"/>
        <w:rPr>
          <w:rFonts w:eastAsia="Arial" w:cs="Arial"/>
          <w:sz w:val="20"/>
          <w:szCs w:val="20"/>
        </w:rPr>
      </w:pPr>
      <w:r>
        <w:rPr>
          <w:rFonts w:eastAsia="Arial" w:cs="Arial"/>
          <w:sz w:val="20"/>
          <w:szCs w:val="20"/>
        </w:rPr>
        <w:t>all of its current employees (other than employees performing only clerical, administrative, support or similar functions);</w:t>
      </w:r>
    </w:p>
    <w:p>
      <w:pPr>
        <w:numPr>
          <w:ilvl w:val="0"/>
          <w:numId w:val="728"/>
        </w:numPr>
        <w:ind w:left="720" w:hanging="192"/>
        <w:jc w:val="left"/>
        <w:rPr>
          <w:rFonts w:eastAsia="Arial" w:cs="Arial"/>
          <w:sz w:val="20"/>
          <w:szCs w:val="20"/>
        </w:rPr>
      </w:pPr>
      <w:r>
        <w:rPr>
          <w:rFonts w:eastAsia="Arial" w:cs="Arial"/>
          <w:sz w:val="20"/>
          <w:szCs w:val="20"/>
        </w:rPr>
        <w:t xml:space="preserve">all of its officers, partners, or directors (or any person performing similar functions); and </w:t>
      </w:r>
    </w:p>
    <w:p>
      <w:pPr>
        <w:numPr>
          <w:ilvl w:val="0"/>
          <w:numId w:val="728"/>
        </w:numPr>
        <w:spacing w:after="200"/>
        <w:ind w:left="720" w:hanging="192"/>
        <w:jc w:val="left"/>
        <w:rPr>
          <w:rFonts w:eastAsia="Arial" w:cs="Arial"/>
          <w:sz w:val="20"/>
          <w:szCs w:val="20"/>
        </w:rPr>
      </w:pPr>
      <w:r>
        <w:rPr>
          <w:rFonts w:eastAsia="Arial" w:cs="Arial"/>
          <w:sz w:val="20"/>
          <w:szCs w:val="20"/>
        </w:rPr>
        <w:t>all persons directly or indirectly controlling KCD or controlled by KCD.</w:t>
      </w:r>
    </w:p>
    <w:p>
      <w:pPr>
        <w:pStyle w:val="normal0"/>
        <w:spacing w:before="200" w:after="200"/>
        <w:rPr>
          <w:rFonts w:eastAsia="Arial" w:cs="Arial"/>
          <w:sz w:val="20"/>
          <w:szCs w:val="20"/>
        </w:rPr>
      </w:pPr>
      <w:r>
        <w:rPr>
          <w:rFonts w:eastAsia="Arial" w:cs="Arial"/>
          <w:sz w:val="20"/>
          <w:szCs w:val="20"/>
        </w:rPr>
        <w:t>The Chief Compliance Officer will review the instructions of Item 11 to determine how many years back (typically 10 years) it has to report a disciplinary action and conduct due diligence (</w:t>
      </w:r>
      <w:r>
        <w:rPr>
          <w:rFonts w:eastAsia="Arial" w:cs="Arial"/>
          <w:i/>
          <w:iCs/>
          <w:sz w:val="20"/>
          <w:szCs w:val="20"/>
        </w:rPr>
        <w:t>e.g.,</w:t>
      </w:r>
      <w:r>
        <w:rPr>
          <w:rFonts w:eastAsia="Arial" w:cs="Arial"/>
          <w:sz w:val="20"/>
          <w:szCs w:val="20"/>
        </w:rPr>
        <w:t xml:space="preserve"> check FINRA and other data bases) on each applicable employee. The following factors should be considered when determining if an event is "material":</w:t>
      </w:r>
    </w:p>
    <w:p>
      <w:pPr>
        <w:numPr>
          <w:ilvl w:val="0"/>
          <w:numId w:val="729"/>
        </w:numPr>
        <w:spacing w:before="200"/>
        <w:ind w:left="720" w:hanging="192"/>
        <w:jc w:val="left"/>
        <w:rPr>
          <w:rFonts w:eastAsia="Arial" w:cs="Arial"/>
          <w:sz w:val="20"/>
          <w:szCs w:val="20"/>
        </w:rPr>
      </w:pPr>
      <w:r>
        <w:rPr>
          <w:rFonts w:eastAsia="Arial" w:cs="Arial"/>
          <w:sz w:val="20"/>
          <w:szCs w:val="20"/>
        </w:rPr>
        <w:t>the distance of the entity or individual from the advisory function;</w:t>
      </w:r>
    </w:p>
    <w:p>
      <w:pPr>
        <w:numPr>
          <w:ilvl w:val="0"/>
          <w:numId w:val="729"/>
        </w:numPr>
        <w:ind w:left="720" w:hanging="192"/>
        <w:jc w:val="left"/>
        <w:rPr>
          <w:rFonts w:eastAsia="Arial" w:cs="Arial"/>
          <w:sz w:val="20"/>
          <w:szCs w:val="20"/>
        </w:rPr>
      </w:pPr>
      <w:r>
        <w:rPr>
          <w:rFonts w:eastAsia="Arial" w:cs="Arial"/>
          <w:sz w:val="20"/>
          <w:szCs w:val="20"/>
        </w:rPr>
        <w:t>the nature of the infraction;</w:t>
      </w:r>
    </w:p>
    <w:p>
      <w:pPr>
        <w:numPr>
          <w:ilvl w:val="0"/>
          <w:numId w:val="729"/>
        </w:numPr>
        <w:ind w:left="720" w:hanging="192"/>
        <w:jc w:val="left"/>
        <w:rPr>
          <w:rFonts w:eastAsia="Arial" w:cs="Arial"/>
          <w:sz w:val="20"/>
          <w:szCs w:val="20"/>
        </w:rPr>
      </w:pPr>
      <w:r>
        <w:rPr>
          <w:rFonts w:eastAsia="Arial" w:cs="Arial"/>
          <w:sz w:val="20"/>
          <w:szCs w:val="20"/>
        </w:rPr>
        <w:t>the severity of the sanction; and</w:t>
      </w:r>
    </w:p>
    <w:p>
      <w:pPr>
        <w:numPr>
          <w:ilvl w:val="0"/>
          <w:numId w:val="729"/>
        </w:numPr>
        <w:spacing w:after="200"/>
        <w:ind w:left="720" w:hanging="192"/>
        <w:jc w:val="left"/>
        <w:rPr>
          <w:rFonts w:eastAsia="Arial" w:cs="Arial"/>
          <w:sz w:val="20"/>
          <w:szCs w:val="20"/>
        </w:rPr>
      </w:pPr>
      <w:r>
        <w:rPr>
          <w:rFonts w:eastAsia="Arial" w:cs="Arial"/>
          <w:sz w:val="20"/>
          <w:szCs w:val="20"/>
        </w:rPr>
        <w:t>time that has elapsed since the event occurred.</w:t>
      </w:r>
    </w:p>
    <w:p>
      <w:pPr>
        <w:pStyle w:val="normal0"/>
        <w:spacing w:before="200" w:after="200"/>
        <w:rPr>
          <w:rFonts w:eastAsia="Arial" w:cs="Arial"/>
          <w:sz w:val="20"/>
          <w:szCs w:val="20"/>
        </w:rPr>
      </w:pPr>
      <w:r>
        <w:rPr>
          <w:rFonts w:eastAsia="Arial" w:cs="Arial"/>
          <w:sz w:val="20"/>
          <w:szCs w:val="20"/>
        </w:rPr>
        <w:t xml:space="preserve">Whether or not the disciplinary event occurred within ten years or over ten years ago is a significant fact that KCD will consider. The same event may be material if it occurred five years ago, but not material if it occurred over 10 years ago. In some circumstances, an event will not be deemed material if it happened one month ago and thus would not have to be disclosed. See </w:t>
      </w:r>
      <w:r>
        <w:rPr>
          <w:rFonts w:eastAsia="Arial" w:cs="Arial"/>
          <w:i/>
          <w:iCs/>
          <w:sz w:val="20"/>
          <w:szCs w:val="20"/>
        </w:rPr>
        <w:t>Investment Advisers Act Rel. No. 1083</w:t>
      </w:r>
      <w:r>
        <w:rPr>
          <w:rFonts w:eastAsia="Arial" w:cs="Arial"/>
          <w:sz w:val="20"/>
          <w:szCs w:val="20"/>
        </w:rPr>
        <w:t>.</w:t>
      </w:r>
    </w:p>
    <w:p>
      <w:pPr>
        <w:pStyle w:val="normal0"/>
        <w:spacing w:before="200" w:after="200"/>
        <w:rPr>
          <w:rFonts w:eastAsia="Arial" w:cs="Arial"/>
          <w:sz w:val="20"/>
          <w:szCs w:val="20"/>
        </w:rPr>
      </w:pPr>
      <w:r>
        <w:rPr>
          <w:rFonts w:eastAsia="Arial" w:cs="Arial"/>
          <w:sz w:val="20"/>
          <w:szCs w:val="20"/>
        </w:rPr>
        <w:t>KCD will deem the following events to be material and disclosable if they occurred within the last ten years:</w:t>
      </w:r>
    </w:p>
    <w:p>
      <w:pPr>
        <w:numPr>
          <w:ilvl w:val="0"/>
          <w:numId w:val="730"/>
        </w:numPr>
        <w:spacing w:before="200"/>
        <w:ind w:left="720" w:hanging="192"/>
        <w:jc w:val="left"/>
        <w:rPr>
          <w:rFonts w:eastAsia="Arial" w:cs="Arial"/>
          <w:sz w:val="20"/>
          <w:szCs w:val="20"/>
        </w:rPr>
      </w:pPr>
      <w:r>
        <w:rPr>
          <w:rFonts w:eastAsia="Arial" w:cs="Arial"/>
          <w:sz w:val="20"/>
          <w:szCs w:val="20"/>
        </w:rPr>
        <w:t>conviction or guilty or nolo contendere ("no contest") plea in a domestic, foreign, or military court to any felony;</w:t>
      </w:r>
    </w:p>
    <w:p>
      <w:pPr>
        <w:numPr>
          <w:ilvl w:val="0"/>
          <w:numId w:val="730"/>
        </w:numPr>
        <w:ind w:left="720" w:hanging="192"/>
        <w:jc w:val="left"/>
        <w:rPr>
          <w:rFonts w:eastAsia="Arial" w:cs="Arial"/>
          <w:sz w:val="20"/>
          <w:szCs w:val="20"/>
        </w:rPr>
      </w:pPr>
      <w:r>
        <w:rPr>
          <w:rFonts w:eastAsia="Arial" w:cs="Arial"/>
          <w:sz w:val="20"/>
          <w:szCs w:val="20"/>
        </w:rPr>
        <w:t>felony charge;</w:t>
      </w:r>
    </w:p>
    <w:p>
      <w:pPr>
        <w:numPr>
          <w:ilvl w:val="0"/>
          <w:numId w:val="730"/>
        </w:numPr>
        <w:ind w:left="720" w:hanging="192"/>
        <w:jc w:val="left"/>
        <w:rPr>
          <w:rFonts w:eastAsia="Arial" w:cs="Arial"/>
          <w:sz w:val="20"/>
          <w:szCs w:val="20"/>
        </w:rPr>
      </w:pPr>
      <w:r>
        <w:rPr>
          <w:rFonts w:eastAsia="Arial" w:cs="Arial"/>
          <w:sz w:val="20"/>
          <w:szCs w:val="20"/>
        </w:rPr>
        <w:t>conviction or guilty or nolo contendere ("no contest") plea in a domestic, foreign, or military court to a misdemeanor involving: investments or an investment-related business, or any fraud, false statements, or omissions, wrongful taking of property, bribery, perjury, forgery, counterfeiting, extortion, or a conspiracy to commit any of these offenses;</w:t>
      </w:r>
    </w:p>
    <w:p>
      <w:pPr>
        <w:numPr>
          <w:ilvl w:val="0"/>
          <w:numId w:val="730"/>
        </w:numPr>
        <w:ind w:left="720" w:hanging="192"/>
        <w:jc w:val="left"/>
        <w:rPr>
          <w:rFonts w:eastAsia="Arial" w:cs="Arial"/>
          <w:sz w:val="20"/>
          <w:szCs w:val="20"/>
        </w:rPr>
      </w:pPr>
      <w:r>
        <w:rPr>
          <w:rFonts w:eastAsia="Arial" w:cs="Arial"/>
          <w:sz w:val="20"/>
          <w:szCs w:val="20"/>
        </w:rPr>
        <w:t>SEC or CFTC finding of a false statement or omission;</w:t>
      </w:r>
    </w:p>
    <w:p>
      <w:pPr>
        <w:numPr>
          <w:ilvl w:val="0"/>
          <w:numId w:val="730"/>
        </w:numPr>
        <w:ind w:left="720" w:hanging="192"/>
        <w:jc w:val="left"/>
        <w:rPr>
          <w:rFonts w:eastAsia="Arial" w:cs="Arial"/>
          <w:sz w:val="20"/>
          <w:szCs w:val="20"/>
        </w:rPr>
      </w:pPr>
      <w:r>
        <w:rPr>
          <w:rFonts w:eastAsia="Arial" w:cs="Arial"/>
          <w:sz w:val="20"/>
          <w:szCs w:val="20"/>
        </w:rPr>
        <w:t>SEC or CFTC finding of a violation of SEC or CFTC regulations or statutes;</w:t>
      </w:r>
    </w:p>
    <w:p>
      <w:pPr>
        <w:numPr>
          <w:ilvl w:val="0"/>
          <w:numId w:val="730"/>
        </w:numPr>
        <w:ind w:left="720" w:hanging="192"/>
        <w:jc w:val="left"/>
        <w:rPr>
          <w:rFonts w:eastAsia="Arial" w:cs="Arial"/>
          <w:sz w:val="20"/>
          <w:szCs w:val="20"/>
        </w:rPr>
      </w:pPr>
      <w:r>
        <w:rPr>
          <w:rFonts w:eastAsia="Arial" w:cs="Arial"/>
          <w:sz w:val="20"/>
          <w:szCs w:val="20"/>
        </w:rPr>
        <w:t>Finding that resulted in an investment-related business having its authorization to do business denied, suspended, revoked, or restricted;</w:t>
      </w:r>
    </w:p>
    <w:p>
      <w:pPr>
        <w:numPr>
          <w:ilvl w:val="0"/>
          <w:numId w:val="730"/>
        </w:numPr>
        <w:ind w:left="720" w:hanging="192"/>
        <w:jc w:val="left"/>
        <w:rPr>
          <w:rFonts w:eastAsia="Arial" w:cs="Arial"/>
          <w:sz w:val="20"/>
          <w:szCs w:val="20"/>
        </w:rPr>
      </w:pPr>
      <w:r>
        <w:rPr>
          <w:rFonts w:eastAsia="Arial" w:cs="Arial"/>
          <w:sz w:val="20"/>
          <w:szCs w:val="20"/>
        </w:rPr>
        <w:t xml:space="preserve">Administrative order in connection with investment-related activity; </w:t>
      </w:r>
    </w:p>
    <w:p>
      <w:pPr>
        <w:numPr>
          <w:ilvl w:val="0"/>
          <w:numId w:val="730"/>
        </w:numPr>
        <w:ind w:left="720" w:hanging="192"/>
        <w:jc w:val="left"/>
        <w:rPr>
          <w:rFonts w:eastAsia="Arial" w:cs="Arial"/>
          <w:sz w:val="20"/>
          <w:szCs w:val="20"/>
        </w:rPr>
      </w:pPr>
      <w:r>
        <w:rPr>
          <w:rFonts w:eastAsia="Arial" w:cs="Arial"/>
          <w:sz w:val="20"/>
          <w:szCs w:val="20"/>
        </w:rPr>
        <w:t>Imposition of a civil money penalty;</w:t>
      </w:r>
    </w:p>
    <w:p>
      <w:pPr>
        <w:numPr>
          <w:ilvl w:val="0"/>
          <w:numId w:val="730"/>
        </w:numPr>
        <w:ind w:left="720" w:hanging="192"/>
        <w:jc w:val="left"/>
        <w:rPr>
          <w:rFonts w:eastAsia="Arial" w:cs="Arial"/>
          <w:sz w:val="20"/>
          <w:szCs w:val="20"/>
        </w:rPr>
      </w:pPr>
      <w:r>
        <w:rPr>
          <w:rFonts w:eastAsia="Arial" w:cs="Arial"/>
          <w:sz w:val="20"/>
          <w:szCs w:val="20"/>
        </w:rPr>
        <w:t>Cease and desist order;</w:t>
      </w:r>
    </w:p>
    <w:p>
      <w:pPr>
        <w:numPr>
          <w:ilvl w:val="0"/>
          <w:numId w:val="730"/>
        </w:numPr>
        <w:ind w:left="720" w:hanging="192"/>
        <w:jc w:val="left"/>
        <w:rPr>
          <w:rFonts w:eastAsia="Arial" w:cs="Arial"/>
          <w:sz w:val="20"/>
          <w:szCs w:val="20"/>
        </w:rPr>
      </w:pPr>
      <w:r>
        <w:rPr>
          <w:rFonts w:eastAsia="Arial" w:cs="Arial"/>
          <w:sz w:val="20"/>
          <w:szCs w:val="20"/>
        </w:rPr>
        <w:t>Federal regulatory agency, any state regulatory agency, or any foreign financial regulatory authority finding of:</w:t>
      </w:r>
    </w:p>
    <w:p>
      <w:pPr>
        <w:numPr>
          <w:ilvl w:val="1"/>
          <w:numId w:val="730"/>
        </w:numPr>
        <w:ind w:left="1440" w:hanging="220"/>
        <w:jc w:val="left"/>
        <w:rPr>
          <w:rFonts w:eastAsia="Arial" w:cs="Arial"/>
          <w:sz w:val="20"/>
          <w:szCs w:val="20"/>
        </w:rPr>
      </w:pPr>
      <w:r>
        <w:rPr>
          <w:rFonts w:eastAsia="Arial" w:cs="Arial"/>
          <w:sz w:val="20"/>
          <w:szCs w:val="20"/>
        </w:rPr>
        <w:t>a false statement or omission, or a dishonest, unfair, or unethical act;</w:t>
      </w:r>
    </w:p>
    <w:p>
      <w:pPr>
        <w:numPr>
          <w:ilvl w:val="1"/>
          <w:numId w:val="730"/>
        </w:numPr>
        <w:ind w:left="1440" w:hanging="220"/>
        <w:jc w:val="left"/>
        <w:rPr>
          <w:rFonts w:eastAsia="Arial" w:cs="Arial"/>
          <w:sz w:val="20"/>
          <w:szCs w:val="20"/>
        </w:rPr>
      </w:pPr>
      <w:r>
        <w:rPr>
          <w:rFonts w:eastAsia="Arial" w:cs="Arial"/>
          <w:sz w:val="20"/>
          <w:szCs w:val="20"/>
        </w:rPr>
        <w:t>a violation of investment-related regulations or statutes;</w:t>
      </w:r>
    </w:p>
    <w:p>
      <w:pPr>
        <w:numPr>
          <w:ilvl w:val="1"/>
          <w:numId w:val="730"/>
        </w:numPr>
        <w:ind w:left="1440" w:hanging="220"/>
        <w:jc w:val="left"/>
        <w:rPr>
          <w:rFonts w:eastAsia="Arial" w:cs="Arial"/>
          <w:sz w:val="20"/>
          <w:szCs w:val="20"/>
        </w:rPr>
      </w:pPr>
      <w:r>
        <w:rPr>
          <w:rFonts w:eastAsia="Arial" w:cs="Arial"/>
          <w:sz w:val="20"/>
          <w:szCs w:val="20"/>
        </w:rPr>
        <w:t>a cause of an investment-related business having its authorization to do business denied, suspended, revoked, or restricted.</w:t>
      </w:r>
    </w:p>
    <w:p>
      <w:pPr>
        <w:numPr>
          <w:ilvl w:val="0"/>
          <w:numId w:val="730"/>
        </w:numPr>
        <w:ind w:left="720" w:hanging="192"/>
        <w:jc w:val="left"/>
        <w:rPr>
          <w:rFonts w:eastAsia="Arial" w:cs="Arial"/>
          <w:sz w:val="20"/>
          <w:szCs w:val="20"/>
        </w:rPr>
      </w:pPr>
      <w:r>
        <w:rPr>
          <w:rFonts w:eastAsia="Arial" w:cs="Arial"/>
          <w:sz w:val="20"/>
          <w:szCs w:val="20"/>
        </w:rPr>
        <w:t>Federal regulatory agency, any state regulatory agency, or any foreign financial regulatory authority order denying, suspending or revoking registration or license, or otherwise preventing association with an investment-related business or restricting activity;</w:t>
      </w:r>
    </w:p>
    <w:p>
      <w:pPr>
        <w:numPr>
          <w:ilvl w:val="0"/>
          <w:numId w:val="730"/>
        </w:numPr>
        <w:ind w:left="720" w:hanging="192"/>
        <w:jc w:val="left"/>
        <w:rPr>
          <w:rFonts w:eastAsia="Arial" w:cs="Arial"/>
          <w:sz w:val="20"/>
          <w:szCs w:val="20"/>
        </w:rPr>
      </w:pPr>
      <w:r>
        <w:rPr>
          <w:rFonts w:eastAsia="Arial" w:cs="Arial"/>
          <w:sz w:val="20"/>
          <w:szCs w:val="20"/>
        </w:rPr>
        <w:t>Self-regulatory organization or commodities exchange finding of:</w:t>
      </w:r>
    </w:p>
    <w:p>
      <w:pPr>
        <w:numPr>
          <w:ilvl w:val="1"/>
          <w:numId w:val="730"/>
        </w:numPr>
        <w:ind w:left="1440" w:hanging="220"/>
        <w:jc w:val="left"/>
        <w:rPr>
          <w:rFonts w:eastAsia="Arial" w:cs="Arial"/>
          <w:sz w:val="20"/>
          <w:szCs w:val="20"/>
        </w:rPr>
      </w:pPr>
      <w:r>
        <w:rPr>
          <w:rFonts w:eastAsia="Arial" w:cs="Arial"/>
          <w:sz w:val="20"/>
          <w:szCs w:val="20"/>
        </w:rPr>
        <w:t xml:space="preserve">a false statement or omission; </w:t>
      </w:r>
    </w:p>
    <w:p>
      <w:pPr>
        <w:numPr>
          <w:ilvl w:val="1"/>
          <w:numId w:val="730"/>
        </w:numPr>
        <w:ind w:left="1440" w:hanging="220"/>
        <w:jc w:val="left"/>
        <w:rPr>
          <w:rFonts w:eastAsia="Arial" w:cs="Arial"/>
          <w:sz w:val="20"/>
          <w:szCs w:val="20"/>
        </w:rPr>
      </w:pPr>
      <w:r>
        <w:rPr>
          <w:rFonts w:eastAsia="Arial" w:cs="Arial"/>
          <w:sz w:val="20"/>
          <w:szCs w:val="20"/>
        </w:rPr>
        <w:t>a violation of its rules (other than a violation designated as a "minor rule violation" under a plan approved by the SEC);</w:t>
      </w:r>
    </w:p>
    <w:p>
      <w:pPr>
        <w:numPr>
          <w:ilvl w:val="1"/>
          <w:numId w:val="730"/>
        </w:numPr>
        <w:ind w:left="1440" w:hanging="220"/>
        <w:jc w:val="left"/>
        <w:rPr>
          <w:rFonts w:eastAsia="Arial" w:cs="Arial"/>
          <w:sz w:val="20"/>
          <w:szCs w:val="20"/>
        </w:rPr>
      </w:pPr>
      <w:r>
        <w:rPr>
          <w:rFonts w:eastAsia="Arial" w:cs="Arial"/>
          <w:sz w:val="20"/>
          <w:szCs w:val="20"/>
        </w:rPr>
        <w:t>a cause of an investment-related business having its authorization to do business denied, suspended, revoked, or restricted; or</w:t>
      </w:r>
    </w:p>
    <w:p>
      <w:pPr>
        <w:numPr>
          <w:ilvl w:val="1"/>
          <w:numId w:val="730"/>
        </w:numPr>
        <w:ind w:left="1440" w:hanging="220"/>
        <w:jc w:val="left"/>
        <w:rPr>
          <w:rFonts w:eastAsia="Arial" w:cs="Arial"/>
          <w:sz w:val="20"/>
          <w:szCs w:val="20"/>
        </w:rPr>
      </w:pPr>
      <w:r>
        <w:rPr>
          <w:rFonts w:eastAsia="Arial" w:cs="Arial"/>
          <w:sz w:val="20"/>
          <w:szCs w:val="20"/>
        </w:rPr>
        <w:t>an expulsion or suspension; or barring membership from association with other members, or otherwise restriction of activities.</w:t>
      </w:r>
    </w:p>
    <w:p>
      <w:pPr>
        <w:numPr>
          <w:ilvl w:val="0"/>
          <w:numId w:val="730"/>
        </w:numPr>
        <w:ind w:left="720" w:hanging="192"/>
        <w:jc w:val="left"/>
        <w:rPr>
          <w:rFonts w:eastAsia="Arial" w:cs="Arial"/>
          <w:sz w:val="20"/>
          <w:szCs w:val="20"/>
        </w:rPr>
      </w:pPr>
      <w:r>
        <w:rPr>
          <w:rFonts w:eastAsia="Arial" w:cs="Arial"/>
          <w:sz w:val="20"/>
          <w:szCs w:val="20"/>
        </w:rPr>
        <w:t>Revocation or suspension to act as an attorney, accountant, or federal contractor;</w:t>
      </w:r>
    </w:p>
    <w:p>
      <w:pPr>
        <w:numPr>
          <w:ilvl w:val="0"/>
          <w:numId w:val="730"/>
        </w:numPr>
        <w:ind w:left="720" w:hanging="192"/>
        <w:jc w:val="left"/>
        <w:rPr>
          <w:rFonts w:eastAsia="Arial" w:cs="Arial"/>
          <w:sz w:val="20"/>
          <w:szCs w:val="20"/>
        </w:rPr>
      </w:pPr>
      <w:r>
        <w:rPr>
          <w:rFonts w:eastAsia="Arial" w:cs="Arial"/>
          <w:sz w:val="20"/>
          <w:szCs w:val="20"/>
        </w:rPr>
        <w:t xml:space="preserve">Domestic or foreign court: </w:t>
      </w:r>
    </w:p>
    <w:p>
      <w:pPr>
        <w:numPr>
          <w:ilvl w:val="1"/>
          <w:numId w:val="730"/>
        </w:numPr>
        <w:ind w:left="1440" w:hanging="220"/>
        <w:jc w:val="left"/>
        <w:rPr>
          <w:rFonts w:eastAsia="Arial" w:cs="Arial"/>
          <w:sz w:val="20"/>
          <w:szCs w:val="20"/>
        </w:rPr>
      </w:pPr>
      <w:r>
        <w:rPr>
          <w:rFonts w:eastAsia="Arial" w:cs="Arial"/>
          <w:sz w:val="20"/>
          <w:szCs w:val="20"/>
        </w:rPr>
        <w:t>finding in the past ten years, enjoining KCD or any advisory affiliate in connection with any investment-related activity;</w:t>
      </w:r>
    </w:p>
    <w:p>
      <w:pPr>
        <w:numPr>
          <w:ilvl w:val="1"/>
          <w:numId w:val="730"/>
        </w:numPr>
        <w:ind w:left="1440" w:hanging="220"/>
        <w:jc w:val="left"/>
        <w:rPr>
          <w:rFonts w:eastAsia="Arial" w:cs="Arial"/>
          <w:sz w:val="20"/>
          <w:szCs w:val="20"/>
        </w:rPr>
      </w:pPr>
      <w:r>
        <w:rPr>
          <w:rFonts w:eastAsia="Arial" w:cs="Arial"/>
          <w:sz w:val="20"/>
          <w:szCs w:val="20"/>
        </w:rPr>
        <w:t>finding that KCD or any advisory affiliate was involved in a violation of investment-related statutes or regulations;</w:t>
      </w:r>
    </w:p>
    <w:p>
      <w:pPr>
        <w:numPr>
          <w:ilvl w:val="1"/>
          <w:numId w:val="730"/>
        </w:numPr>
        <w:spacing w:after="200"/>
        <w:ind w:left="1440" w:hanging="220"/>
        <w:jc w:val="left"/>
        <w:rPr>
          <w:rFonts w:eastAsia="Arial" w:cs="Arial"/>
          <w:sz w:val="20"/>
          <w:szCs w:val="20"/>
        </w:rPr>
      </w:pPr>
      <w:r>
        <w:rPr>
          <w:rFonts w:eastAsia="Arial" w:cs="Arial"/>
          <w:sz w:val="20"/>
          <w:szCs w:val="20"/>
        </w:rPr>
        <w:t>dismissal, pursuant to a settlement agreement, of an investment-related civil action brought against KCD or any advisory affiliate.</w:t>
      </w:r>
    </w:p>
    <w:p>
      <w:bookmarkEnd w:id="844"/>
      <w:bookmarkStart w:id="845" w:name="Sec_Chp_061016102257046_061016102257703"/>
    </w:p>
    <w:p>
      <w:pPr>
        <w:pStyle w:val="Heading4"/>
      </w:pPr>
      <w:r>
        <w:t>11.3.4.2 Part 1B</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Part 1B asks additional questions required by state securities authorities. If KCD is applying for registration or is registered with the SEC, it does not have to complete Part 1B.</w:t>
      </w:r>
    </w:p>
    <w:p>
      <w:bookmarkEnd w:id="845"/>
      <w:bookmarkStart w:id="846" w:name="Sec_Chp_061016102257046_061016343211343"/>
    </w:p>
    <w:p>
      <w:pPr>
        <w:pStyle w:val="Heading4"/>
      </w:pPr>
      <w:r>
        <w:t>11.3.4.3 Part 2A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Part 2A, also called the "Firm Brochure" is both part of KCD's registration statement and the brochure that KCD provides to clients and prospective clients. The Firm Brochure is a narrative document that must contain disclosure addressing 18 separate items listed in Part 2A. </w:t>
      </w:r>
    </w:p>
    <w:p>
      <w:bookmarkEnd w:id="846"/>
    </w:p>
    <w:p>
      <w:pPr>
        <w:pStyle w:val="Heading5"/>
      </w:pPr>
      <w:r>
        <w:t>Content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Firm's Brochure must cover the following 18 required items set forth in Part 2A. (The 19th required item is applicable only to state-registered investment advisers). The Chief Compliance Officer or other Firm employee responsible for the Form ADV shall refer to and meet each of the requirements set forth in Form ADV, Part 2A, which are highlighted herein, when preparing and updating the Firm's Brochure. </w:t>
      </w:r>
    </w:p>
    <w:p>
      <w:pPr>
        <w:pStyle w:val="normal0"/>
        <w:spacing w:before="200" w:after="200"/>
        <w:rPr>
          <w:rFonts w:eastAsia="Arial" w:cs="Arial"/>
          <w:sz w:val="20"/>
          <w:szCs w:val="20"/>
        </w:rPr>
      </w:pPr>
      <w:r>
        <w:rPr>
          <w:rFonts w:eastAsia="Arial" w:cs="Arial"/>
          <w:b/>
          <w:bCs/>
          <w:sz w:val="20"/>
          <w:szCs w:val="20"/>
        </w:rPr>
        <w:t>Order of Content</w:t>
      </w:r>
    </w:p>
    <w:p>
      <w:pPr>
        <w:pStyle w:val="normal0"/>
        <w:spacing w:before="200" w:after="200"/>
        <w:rPr>
          <w:rFonts w:eastAsia="Arial" w:cs="Arial"/>
          <w:sz w:val="20"/>
          <w:szCs w:val="20"/>
        </w:rPr>
      </w:pPr>
      <w:r>
        <w:rPr>
          <w:rFonts w:eastAsia="Arial" w:cs="Arial"/>
          <w:sz w:val="20"/>
          <w:szCs w:val="20"/>
        </w:rPr>
        <w:t>KCD must respond in a pre-determined order and use the headings required by Part 2A.</w:t>
      </w:r>
    </w:p>
    <w:p/>
    <w:p>
      <w:pPr>
        <w:pStyle w:val="Heading5"/>
      </w:pPr>
      <w:r>
        <w:t>11.3.4.3.1 Cover Page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cover page (or front cover) of the Firm Brochure will contain KCD's:</w:t>
      </w:r>
    </w:p>
    <w:p>
      <w:pPr>
        <w:numPr>
          <w:ilvl w:val="0"/>
          <w:numId w:val="731"/>
        </w:numPr>
        <w:spacing w:before="200"/>
        <w:ind w:left="720" w:hanging="192"/>
        <w:jc w:val="left"/>
        <w:rPr>
          <w:rFonts w:eastAsia="Arial" w:cs="Arial"/>
          <w:sz w:val="20"/>
          <w:szCs w:val="20"/>
        </w:rPr>
      </w:pPr>
      <w:r>
        <w:rPr>
          <w:rFonts w:eastAsia="Arial" w:cs="Arial"/>
          <w:sz w:val="20"/>
          <w:szCs w:val="20"/>
        </w:rPr>
        <w:t xml:space="preserve">Name </w:t>
      </w:r>
    </w:p>
    <w:p>
      <w:pPr>
        <w:numPr>
          <w:ilvl w:val="0"/>
          <w:numId w:val="731"/>
        </w:numPr>
        <w:ind w:left="720" w:hanging="192"/>
        <w:jc w:val="left"/>
        <w:rPr>
          <w:rFonts w:eastAsia="Arial" w:cs="Arial"/>
          <w:sz w:val="20"/>
          <w:szCs w:val="20"/>
        </w:rPr>
      </w:pPr>
      <w:r>
        <w:rPr>
          <w:rFonts w:eastAsia="Arial" w:cs="Arial"/>
          <w:sz w:val="20"/>
          <w:szCs w:val="20"/>
        </w:rPr>
        <w:t>Address</w:t>
      </w:r>
    </w:p>
    <w:p>
      <w:pPr>
        <w:numPr>
          <w:ilvl w:val="0"/>
          <w:numId w:val="731"/>
        </w:numPr>
        <w:ind w:left="720" w:hanging="192"/>
        <w:jc w:val="left"/>
        <w:rPr>
          <w:rFonts w:eastAsia="Arial" w:cs="Arial"/>
          <w:sz w:val="20"/>
          <w:szCs w:val="20"/>
        </w:rPr>
      </w:pPr>
      <w:r>
        <w:rPr>
          <w:rFonts w:eastAsia="Arial" w:cs="Arial"/>
          <w:sz w:val="20"/>
          <w:szCs w:val="20"/>
        </w:rPr>
        <w:t>Contact information</w:t>
      </w:r>
    </w:p>
    <w:p>
      <w:pPr>
        <w:numPr>
          <w:ilvl w:val="0"/>
          <w:numId w:val="731"/>
        </w:numPr>
        <w:spacing w:after="200"/>
        <w:ind w:left="720" w:hanging="192"/>
        <w:jc w:val="left"/>
        <w:rPr>
          <w:rFonts w:eastAsia="Arial" w:cs="Arial"/>
          <w:sz w:val="20"/>
          <w:szCs w:val="20"/>
        </w:rPr>
      </w:pPr>
      <w:r>
        <w:rPr>
          <w:rFonts w:eastAsia="Arial" w:cs="Arial"/>
          <w:sz w:val="20"/>
          <w:szCs w:val="20"/>
        </w:rPr>
        <w:t>Web site address (if any)</w:t>
      </w:r>
    </w:p>
    <w:p>
      <w:pPr>
        <w:pStyle w:val="normal0"/>
        <w:spacing w:before="200" w:after="200"/>
        <w:rPr>
          <w:rFonts w:eastAsia="Arial" w:cs="Arial"/>
          <w:sz w:val="20"/>
          <w:szCs w:val="20"/>
        </w:rPr>
      </w:pPr>
      <w:r>
        <w:rPr>
          <w:rFonts w:eastAsia="Arial" w:cs="Arial"/>
          <w:sz w:val="20"/>
          <w:szCs w:val="20"/>
        </w:rPr>
        <w:t>The cover page also will include the following standard SEC regulatory disclaimer in bold print:</w:t>
      </w:r>
    </w:p>
    <w:p>
      <w:pPr>
        <w:pStyle w:val="normal0"/>
        <w:spacing w:before="200" w:after="200"/>
        <w:rPr>
          <w:rFonts w:eastAsia="Arial" w:cs="Arial"/>
          <w:sz w:val="20"/>
          <w:szCs w:val="20"/>
        </w:rPr>
      </w:pPr>
      <w:r>
        <w:rPr>
          <w:rFonts w:eastAsia="Arial" w:cs="Arial"/>
          <w:b/>
          <w:bCs/>
          <w:sz w:val="20"/>
          <w:szCs w:val="20"/>
        </w:rPr>
        <w:t>This brochure provides information about the qualifications and business practices of [the Firm's name]. If you have any questions about the contents of this brochure, please contact us at [telephone number and/or email address]. The information in this brochure has not been approved or verified by the United States Securities and Exchange Commission or by any state securities authority.</w:t>
      </w:r>
    </w:p>
    <w:p>
      <w:pPr>
        <w:pStyle w:val="normal0"/>
        <w:spacing w:before="200" w:after="200"/>
        <w:rPr>
          <w:rFonts w:eastAsia="Arial" w:cs="Arial"/>
          <w:sz w:val="20"/>
          <w:szCs w:val="20"/>
        </w:rPr>
      </w:pPr>
      <w:r>
        <w:rPr>
          <w:rFonts w:eastAsia="Arial" w:cs="Arial"/>
          <w:b/>
          <w:bCs/>
          <w:sz w:val="20"/>
          <w:szCs w:val="20"/>
        </w:rPr>
        <w:t xml:space="preserve">Additional information about [the Firm's name] also is available on the SEC's website at </w:t>
      </w:r>
      <w:hyperlink r:id="rId26" w:tgtFrame="_blank" w:history="1">
        <w:r>
          <w:rPr>
            <w:rStyle w:val="Hyperlink"/>
            <w:rFonts w:eastAsia="Arial" w:cs="Arial"/>
            <w:b/>
            <w:bCs/>
            <w:color w:val="0000EE"/>
            <w:sz w:val="20"/>
            <w:szCs w:val="20"/>
            <w:u w:color="0000EE"/>
          </w:rPr>
          <w:t>http://www.adviserinfo.sec.gov</w:t>
        </w:r>
      </w:hyperlink>
      <w:r>
        <w:rPr>
          <w:rFonts w:eastAsia="Arial" w:cs="Arial"/>
          <w:b/>
          <w:bCs/>
          <w:sz w:val="20"/>
          <w:szCs w:val="20"/>
        </w:rPr>
        <w:t>.</w:t>
      </w:r>
    </w:p>
    <w:p>
      <w:pPr>
        <w:pStyle w:val="normal0"/>
        <w:spacing w:before="200" w:after="200"/>
        <w:rPr>
          <w:rFonts w:eastAsia="Arial" w:cs="Arial"/>
          <w:sz w:val="20"/>
          <w:szCs w:val="20"/>
        </w:rPr>
      </w:pPr>
      <w:r>
        <w:rPr>
          <w:rFonts w:eastAsia="Arial" w:cs="Arial"/>
          <w:sz w:val="20"/>
          <w:szCs w:val="20"/>
        </w:rPr>
        <w:t>The cover page will contain the date of the Firm Brochure and the date that the Firm Brochure was last updated.</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If KCD refers to itself as a "registered investment adviser" or describes itself as being "registered," it will include a statement that registration does not imply a certain level of skill or training.</w:t>
            </w:r>
          </w:p>
        </w:tc>
      </w:tr>
    </w:tbl>
    <w:p/>
    <w:p>
      <w:pPr>
        <w:pStyle w:val="Heading5"/>
      </w:pPr>
      <w:r>
        <w:t>11.3.4.3.2 Summary of Material Changes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Upon the first amendment to the Firm's Brochure (and not the initially created Brochure that is first filed with the SEC), KCD shall create an annual summary of the material changes to its Firm Brochure. This summary shall be created in connection with each subsequent update. The summary shall describe the material changes made to the Firm's Brochure since its last update.</w:t>
      </w:r>
    </w:p>
    <w:p>
      <w:pPr>
        <w:pStyle w:val="normal0"/>
        <w:spacing w:before="200" w:after="200"/>
        <w:rPr>
          <w:rFonts w:eastAsia="Arial" w:cs="Arial"/>
          <w:sz w:val="20"/>
          <w:szCs w:val="20"/>
        </w:rPr>
      </w:pPr>
      <w:r>
        <w:rPr>
          <w:rFonts w:eastAsia="Arial" w:cs="Arial"/>
          <w:sz w:val="20"/>
          <w:szCs w:val="20"/>
        </w:rPr>
        <w:t>The summary will be placed:</w:t>
      </w:r>
    </w:p>
    <w:p>
      <w:pPr>
        <w:numPr>
          <w:ilvl w:val="0"/>
          <w:numId w:val="732"/>
        </w:numPr>
        <w:spacing w:before="200"/>
        <w:ind w:left="720" w:hanging="192"/>
        <w:jc w:val="left"/>
        <w:rPr>
          <w:rFonts w:eastAsia="Arial" w:cs="Arial"/>
          <w:sz w:val="20"/>
          <w:szCs w:val="20"/>
        </w:rPr>
      </w:pPr>
      <w:r>
        <w:rPr>
          <w:rFonts w:eastAsia="Arial" w:cs="Arial"/>
          <w:sz w:val="20"/>
          <w:szCs w:val="20"/>
        </w:rPr>
        <w:t>on the cover page of the Firm Brochure,</w:t>
      </w:r>
    </w:p>
    <w:p>
      <w:pPr>
        <w:numPr>
          <w:ilvl w:val="0"/>
          <w:numId w:val="732"/>
        </w:numPr>
        <w:ind w:left="720" w:hanging="192"/>
        <w:jc w:val="left"/>
        <w:rPr>
          <w:rFonts w:eastAsia="Arial" w:cs="Arial"/>
          <w:sz w:val="20"/>
          <w:szCs w:val="20"/>
        </w:rPr>
      </w:pPr>
      <w:r>
        <w:rPr>
          <w:rFonts w:eastAsia="Arial" w:cs="Arial"/>
          <w:sz w:val="20"/>
          <w:szCs w:val="20"/>
        </w:rPr>
        <w:t>on the page following the cover page, or</w:t>
      </w:r>
    </w:p>
    <w:p>
      <w:pPr>
        <w:numPr>
          <w:ilvl w:val="0"/>
          <w:numId w:val="732"/>
        </w:numPr>
        <w:spacing w:after="200"/>
        <w:ind w:left="720" w:hanging="192"/>
        <w:jc w:val="left"/>
        <w:rPr>
          <w:rFonts w:eastAsia="Arial" w:cs="Arial"/>
          <w:sz w:val="20"/>
          <w:szCs w:val="20"/>
        </w:rPr>
      </w:pPr>
      <w:r>
        <w:rPr>
          <w:rFonts w:eastAsia="Arial" w:cs="Arial"/>
          <w:sz w:val="20"/>
          <w:szCs w:val="20"/>
        </w:rPr>
        <w:t>as a separate exhibit that accompanies the Firm's Brochure.</w:t>
      </w:r>
    </w:p>
    <w:p/>
    <w:p>
      <w:pPr>
        <w:pStyle w:val="Heading5"/>
      </w:pPr>
      <w:r>
        <w:t>11.3.4.3.3 Table of Contents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Firm's Brochure will contain a table of contents that lists the 18 required items set forth in Part 2A. The Table of Contents will list the items in the same order of the 18 items listed in Part 2A. KCD may also include sub-headings.</w:t>
      </w:r>
    </w:p>
    <w:p/>
    <w:p>
      <w:pPr>
        <w:pStyle w:val="Heading5"/>
      </w:pPr>
      <w:r>
        <w:t>11.3.4.3.4 Advisory Business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describe its advisory business consistent with the instructions in Item 4, including whether it holds itself out as specializing in a particular type of advisory service. When providing its assets under management ("AUM") as required by that item, KCD may use different methodologies from those used in calculating AUM in its Form ADV Part 1. If so, KCD will retain records supporting its calculations. </w:t>
      </w:r>
    </w:p>
    <w:p/>
    <w:p>
      <w:pPr>
        <w:pStyle w:val="Heading5"/>
      </w:pPr>
      <w:r>
        <w:t>11.3.4.3.5 Fees and Compensation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shall review the fee tables and other compensation provisions of the advisory agreements KCD has with its clients. Based on this review, the Brochure shall disclose the range of its fees in a fee table and other compensation KCD or its personnel receives, including commissions for the sale of a security or other investment product. As required by Item 5, KCD shall describe the conflicts raised by any compensation practices and how it addresses these conflicts. </w:t>
      </w:r>
    </w:p>
    <w:p/>
    <w:p>
      <w:pPr>
        <w:pStyle w:val="Heading5"/>
      </w:pPr>
      <w:r>
        <w:t>11.3.4.3.6 Performance Fees and Side-By-Side Management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review the advisory agreements KCD has with its clients to see if it charges any performance fees. If so, KCD shall disclose that it charges performance fees or has advisory personnel who manage accounts that pay performance fees. If KCD manages some accounts that are subject to a performance fee and other accounts that are not subject to a performance fee, it will describe:</w:t>
      </w:r>
    </w:p>
    <w:p>
      <w:pPr>
        <w:numPr>
          <w:ilvl w:val="0"/>
          <w:numId w:val="733"/>
        </w:numPr>
        <w:spacing w:before="200"/>
        <w:ind w:left="720" w:hanging="192"/>
        <w:jc w:val="left"/>
        <w:rPr>
          <w:rFonts w:eastAsia="Arial" w:cs="Arial"/>
          <w:sz w:val="20"/>
          <w:szCs w:val="20"/>
        </w:rPr>
      </w:pPr>
      <w:r>
        <w:rPr>
          <w:rFonts w:eastAsia="Arial" w:cs="Arial"/>
          <w:sz w:val="20"/>
          <w:szCs w:val="20"/>
        </w:rPr>
        <w:t>the conflicts of interest arising from the side-by-side management of performance-based fee accounts and the other accounts; and</w:t>
      </w:r>
    </w:p>
    <w:p>
      <w:pPr>
        <w:numPr>
          <w:ilvl w:val="0"/>
          <w:numId w:val="733"/>
        </w:numPr>
        <w:spacing w:after="200"/>
        <w:ind w:left="720" w:hanging="192"/>
        <w:jc w:val="left"/>
        <w:rPr>
          <w:rFonts w:eastAsia="Arial" w:cs="Arial"/>
          <w:sz w:val="20"/>
          <w:szCs w:val="20"/>
        </w:rPr>
      </w:pPr>
      <w:r>
        <w:rPr>
          <w:rFonts w:eastAsia="Arial" w:cs="Arial"/>
          <w:sz w:val="20"/>
          <w:szCs w:val="20"/>
        </w:rPr>
        <w:t>how the adviser addresses those conflicts.</w:t>
      </w:r>
    </w:p>
    <w:p/>
    <w:p>
      <w:pPr>
        <w:pStyle w:val="Heading5"/>
      </w:pPr>
      <w:r>
        <w:t>11.3.4.3.7 Types of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review the types of advisory clients that KCD provides advisory services to and KCD's requirements for opening and maintaining client accounts and accurately report this information in response to Item 7 of Part 1A of Form ADV.</w:t>
      </w:r>
    </w:p>
    <w:p/>
    <w:p>
      <w:pPr>
        <w:pStyle w:val="Heading5"/>
      </w:pPr>
      <w:r>
        <w:t>11.3.4.3.8 Methods of Analysis, Investment Strategies and Risk of Loss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w:t>
      </w:r>
      <w:r>
        <w:rPr>
          <w:rFonts w:eastAsia="Arial" w:cs="Arial"/>
          <w:sz w:val="20"/>
          <w:szCs w:val="20"/>
        </w:rPr>
        <w:t>Licensing and Registrations Analyst</w:t>
      </w:r>
      <w:r>
        <w:rPr>
          <w:rFonts w:eastAsia="Arial" w:cs="Arial"/>
          <w:sz w:val="20"/>
          <w:szCs w:val="20"/>
        </w:rPr>
        <w:t xml:space="preserve"> shall meet with each portfolio manager, investment committee member (if KCD has an investment committee), key (and if possible all) investment analysts and other personnel involved with formulating investment advice for clients. Through such interviews, as well as any Firm literature or other materials that describe its investment philosophy and methods, the </w:t>
      </w:r>
      <w:r>
        <w:rPr>
          <w:rFonts w:eastAsia="Arial" w:cs="Arial"/>
          <w:sz w:val="20"/>
          <w:szCs w:val="20"/>
        </w:rPr>
        <w:t>Licensing and Registrations Analyst</w:t>
      </w:r>
      <w:r>
        <w:rPr>
          <w:rFonts w:eastAsia="Arial" w:cs="Arial"/>
          <w:sz w:val="20"/>
          <w:szCs w:val="20"/>
        </w:rPr>
        <w:t xml:space="preserve"> or his or her delegate shall draft a disclosure document that describes KCD's methods of analyses and investment strategies.</w:t>
      </w:r>
    </w:p>
    <w:p>
      <w:pPr>
        <w:pStyle w:val="normal0"/>
        <w:spacing w:before="200" w:after="200"/>
        <w:rPr>
          <w:rFonts w:eastAsia="Arial" w:cs="Arial"/>
          <w:sz w:val="20"/>
          <w:szCs w:val="20"/>
        </w:rPr>
      </w:pPr>
      <w:r>
        <w:rPr>
          <w:rFonts w:eastAsia="Arial" w:cs="Arial"/>
          <w:sz w:val="20"/>
          <w:szCs w:val="20"/>
        </w:rPr>
        <w:t xml:space="preserve">Through the process described above, as well as independent sources, the </w:t>
      </w:r>
      <w:r>
        <w:rPr>
          <w:rFonts w:eastAsia="Arial" w:cs="Arial"/>
          <w:sz w:val="20"/>
          <w:szCs w:val="20"/>
        </w:rPr>
        <w:t>Licensing and Registrations Analyst</w:t>
      </w:r>
      <w:r>
        <w:rPr>
          <w:rFonts w:eastAsia="Arial" w:cs="Arial"/>
          <w:sz w:val="20"/>
          <w:szCs w:val="20"/>
        </w:rPr>
        <w:t xml:space="preserve"> and delegates (including investment personnel) shall identify risks associated with investment strategies used by KCD as well as specific instruments recommended or used to implement the investment strategies.</w:t>
      </w:r>
    </w:p>
    <w:p>
      <w:pPr>
        <w:pStyle w:val="normal0"/>
        <w:spacing w:before="200" w:after="200"/>
        <w:rPr>
          <w:rFonts w:eastAsia="Arial" w:cs="Arial"/>
          <w:sz w:val="20"/>
          <w:szCs w:val="20"/>
        </w:rPr>
      </w:pPr>
      <w:r>
        <w:rPr>
          <w:rFonts w:eastAsia="Arial" w:cs="Arial"/>
          <w:sz w:val="20"/>
          <w:szCs w:val="20"/>
        </w:rPr>
        <w:t xml:space="preserve">The </w:t>
      </w:r>
      <w:r>
        <w:rPr>
          <w:rFonts w:eastAsia="Arial" w:cs="Arial"/>
          <w:sz w:val="20"/>
          <w:szCs w:val="20"/>
        </w:rPr>
        <w:t>Licensing and Registrations Analyst</w:t>
      </w:r>
      <w:r>
        <w:rPr>
          <w:rFonts w:eastAsia="Arial" w:cs="Arial"/>
          <w:sz w:val="20"/>
          <w:szCs w:val="20"/>
        </w:rPr>
        <w:t xml:space="preserve"> or its delegate will draft disclosure that describes material risks related to the significant methods of analyses and strategies and certain types of securities they or KCD recommend, with further additional detail if the risks related to foregoing are unusual. Once drafted, the </w:t>
      </w:r>
      <w:r>
        <w:rPr>
          <w:rFonts w:eastAsia="Arial" w:cs="Arial"/>
          <w:sz w:val="20"/>
          <w:szCs w:val="20"/>
        </w:rPr>
        <w:t>Licensing and Registrations Analyst</w:t>
      </w:r>
      <w:r>
        <w:rPr>
          <w:rFonts w:eastAsia="Arial" w:cs="Arial"/>
          <w:sz w:val="20"/>
          <w:szCs w:val="20"/>
        </w:rPr>
        <w:t xml:space="preserve"> will circulate the disclosure to appropriate investment advisory personnel for their review and comments.</w:t>
      </w:r>
    </w:p>
    <w:p>
      <w:pPr>
        <w:pStyle w:val="normal0"/>
        <w:spacing w:before="200" w:after="200"/>
        <w:rPr>
          <w:rFonts w:eastAsia="Arial" w:cs="Arial"/>
          <w:sz w:val="20"/>
          <w:szCs w:val="20"/>
        </w:rPr>
      </w:pPr>
      <w:r>
        <w:rPr>
          <w:rFonts w:eastAsia="Arial" w:cs="Arial"/>
          <w:sz w:val="20"/>
          <w:szCs w:val="20"/>
        </w:rPr>
        <w:t>If applicable, KCD shall disclose in Item 8 of its Part 2A the ESG factor or factors it considers for each significant investment strategy or method of analysis for which KCD considers any ESG factors and KCD incorporates these factors when providing investment advice, including when recommending or selecting other investment advisers.</w:t>
      </w:r>
    </w:p>
    <w:p>
      <w:pPr>
        <w:pStyle w:val="normal0"/>
        <w:spacing w:before="200" w:after="200"/>
        <w:rPr>
          <w:rFonts w:eastAsia="Arial" w:cs="Arial"/>
          <w:sz w:val="20"/>
          <w:szCs w:val="20"/>
        </w:rPr>
      </w:pPr>
      <w:r>
        <w:rPr>
          <w:rFonts w:eastAsia="Arial" w:cs="Arial"/>
          <w:sz w:val="20"/>
          <w:szCs w:val="20"/>
        </w:rPr>
        <w:t>KCD shall explain whether and how it incorporates a particular ESG factor (E, S, or G) and/or a combination of factors. In addition, KCD will include an explanation of whether and how it employs integration and/or ESG-focused strategies, and if ESG-focused, whether and how KCD also employs ESG impact strategies.</w:t>
      </w:r>
    </w:p>
    <w:p>
      <w:pPr>
        <w:pStyle w:val="normal0"/>
        <w:spacing w:before="200" w:after="200"/>
        <w:rPr>
          <w:rFonts w:eastAsia="Arial" w:cs="Arial"/>
          <w:sz w:val="20"/>
          <w:szCs w:val="20"/>
        </w:rPr>
      </w:pPr>
      <w:r>
        <w:rPr>
          <w:rFonts w:eastAsia="Arial" w:cs="Arial"/>
          <w:sz w:val="20"/>
          <w:szCs w:val="20"/>
        </w:rPr>
        <w:t>To the extent KCD employs an ESG-focused approach that is also considered ESG-impact because it seeks to achieve a specific ESG impact or impacts for the significant strategy, KCD will consider whether additional disclosures may be necessary including KCD providing an overview of the impact KCD seeks to achieve, and how KCD seeks to achieve the impacts. This would include how KCD measures progress toward the stated impact, disclosing the key performance indicators KCD analyzes, the time horizon KCD uses to analyze progress, and the relationship between the impact KCD is seeking to achieve and financial returns.</w:t>
      </w:r>
    </w:p>
    <w:p>
      <w:pPr>
        <w:pStyle w:val="normal0"/>
        <w:spacing w:before="200" w:after="200"/>
        <w:rPr>
          <w:rFonts w:eastAsia="Arial" w:cs="Arial"/>
          <w:sz w:val="20"/>
          <w:szCs w:val="20"/>
        </w:rPr>
      </w:pPr>
      <w:r>
        <w:rPr>
          <w:rFonts w:eastAsia="Arial" w:cs="Arial"/>
          <w:sz w:val="20"/>
          <w:szCs w:val="20"/>
        </w:rPr>
        <w:t>To the extent KCD uses, for any significant strategy, criteria or a methodology to evaluate, select, or exclude investments based on the consideration of ESG factors, it will describe those criteria and/or methodologies and how it uses them. If KCD employs different criteria or methodologies for different strategies, it will include the proposed disclosures for each significant strategy.</w:t>
      </w:r>
    </w:p>
    <w:p/>
    <w:p>
      <w:pPr>
        <w:pStyle w:val="Heading5"/>
      </w:pPr>
      <w:r>
        <w:t>11.3.4.3.9 Adviser Disciplinary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in responding to this item will use the disciplinary disclosure KCD has made in Part 1A of the Form ADV and SEC adopted as proposed the requirement that advisers disclose legal and disciplinary events. The Chief Compliance Officer will make sure that the two sets of disclosure are consistent.</w:t>
      </w:r>
    </w:p>
    <w:p>
      <w:pPr>
        <w:rPr>
          <w:rFonts w:eastAsia="Arial" w:cs="Arial"/>
          <w:sz w:val="20"/>
          <w:szCs w:val="20"/>
        </w:rPr>
      </w:pPr>
    </w:p>
    <w:tbl>
      <w:tblPr>
        <w:tblStyle w:val="strfreeform"/>
        <w:tblW w:w="5000" w:type="pct"/>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When responding to this disclosure item in Part 1A, KCD notes that the SEC takes the position that involvement in certain disciplinary events are presumed to be material unless the event was resolved in the adviser's (or the management person's) favor, was reversed, suspended or vacated, or the adviser rebutted the presumption of materiality. An adviser may rebut the presumption of materiality and not disclose certain disciplinary events if it documents its analysis and retains such documentation so that the SEC can monitor compliance with this particular disclosure requirement.</w:t>
            </w:r>
          </w:p>
        </w:tc>
      </w:tr>
    </w:tbl>
    <w:p/>
    <w:p>
      <w:pPr>
        <w:pStyle w:val="Heading5"/>
      </w:pPr>
      <w:r>
        <w:t>11.3.4.3.10 Other Financial Industry Activities and Affiliations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before responding to this item will review relationships KCD and its principals have with other entities. The Chief Compliance Officer will summarize this information in narrative form. This disclosure shall include the material conflicts related thereto and explain how KCD addresses such material conflicts. Prior to including this information in the Firm Brochure, the Chief Compliance Officer will circulate this narrative to the principals of KCD for their review and input.</w:t>
      </w:r>
    </w:p>
    <w:p/>
    <w:p>
      <w:pPr>
        <w:pStyle w:val="Heading5"/>
      </w:pPr>
      <w:r>
        <w:t>11.3.4.3.11 Code of Ethics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will review KCD's Code of Ethics and personal trading compliance program. In addition to disclosing information, the narrative responding to this item will describe how KCD's personnel may participate in or have interests in client transactions and the conflicts related to such practice and how KCD addresses such conflicts. </w:t>
      </w:r>
    </w:p>
    <w:p/>
    <w:p>
      <w:pPr>
        <w:pStyle w:val="Heading5"/>
      </w:pPr>
      <w:r>
        <w:t>11.3.4.3.12 Brokerage Practices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review the brokerage practices of KCD, including how it selects broker-dealers, brokerage arrangements and soft dollars. In connection with this review, the Chief Compliance Officer will consult with advisory personnel who place trades. Based on this review, the Chief Compliance Officer or delegate shall draft disclosure describing arrangements. In particular, the disclosure shall describe the following arrangements if applicable:</w:t>
      </w:r>
    </w:p>
    <w:p>
      <w:pPr>
        <w:numPr>
          <w:ilvl w:val="0"/>
          <w:numId w:val="734"/>
        </w:numPr>
        <w:spacing w:before="200"/>
        <w:ind w:left="720" w:hanging="192"/>
        <w:jc w:val="left"/>
        <w:rPr>
          <w:rFonts w:eastAsia="Arial" w:cs="Arial"/>
          <w:sz w:val="20"/>
          <w:szCs w:val="20"/>
        </w:rPr>
      </w:pPr>
      <w:r>
        <w:rPr>
          <w:rFonts w:eastAsia="Arial" w:cs="Arial"/>
          <w:i/>
          <w:iCs/>
          <w:sz w:val="20"/>
          <w:szCs w:val="20"/>
        </w:rPr>
        <w:t>Soft Dollars:</w:t>
      </w:r>
      <w:r>
        <w:rPr>
          <w:rFonts w:eastAsia="Arial" w:cs="Arial"/>
          <w:sz w:val="20"/>
          <w:szCs w:val="20"/>
        </w:rPr>
        <w:t xml:space="preserve"> the disclosure shall describe the products and services that KCD acquires, with more specific disclosure for products and services that do not qualify for the safe harbor in section 28(e) of the Securities Exchange Act of 1934. The disclosure will discuss the conflicts of interests associated with accepting soft dollar benefits and how KCD addresses those conflicts.</w:t>
      </w:r>
    </w:p>
    <w:p>
      <w:pPr>
        <w:numPr>
          <w:ilvl w:val="0"/>
          <w:numId w:val="734"/>
        </w:numPr>
        <w:ind w:left="720" w:hanging="192"/>
        <w:jc w:val="left"/>
        <w:rPr>
          <w:rFonts w:eastAsia="Arial" w:cs="Arial"/>
          <w:sz w:val="20"/>
          <w:szCs w:val="20"/>
        </w:rPr>
      </w:pPr>
      <w:r>
        <w:rPr>
          <w:rFonts w:eastAsia="Arial" w:cs="Arial"/>
          <w:i/>
          <w:iCs/>
          <w:sz w:val="20"/>
          <w:szCs w:val="20"/>
        </w:rPr>
        <w:t>Client Referrals:</w:t>
      </w:r>
      <w:r>
        <w:rPr>
          <w:rFonts w:eastAsia="Arial" w:cs="Arial"/>
          <w:sz w:val="20"/>
          <w:szCs w:val="20"/>
        </w:rPr>
        <w:t xml:space="preserve"> If KCD uses client brokerage to compensate brokers for client referrals, KCD will disclose this arrangement and the conflicts of interests that these arrangements present. In addition, the disclosure will describe the procedures related to directing brokerage to referring brokers.</w:t>
      </w:r>
    </w:p>
    <w:p>
      <w:pPr>
        <w:numPr>
          <w:ilvl w:val="0"/>
          <w:numId w:val="734"/>
        </w:numPr>
        <w:ind w:left="720" w:hanging="192"/>
        <w:jc w:val="left"/>
        <w:rPr>
          <w:rFonts w:eastAsia="Arial" w:cs="Arial"/>
          <w:sz w:val="20"/>
          <w:szCs w:val="20"/>
        </w:rPr>
      </w:pPr>
      <w:r>
        <w:rPr>
          <w:rFonts w:eastAsia="Arial" w:cs="Arial"/>
          <w:i/>
          <w:iCs/>
          <w:sz w:val="20"/>
          <w:szCs w:val="20"/>
        </w:rPr>
        <w:t>Directed Brokerage:</w:t>
      </w:r>
      <w:r>
        <w:rPr>
          <w:rFonts w:eastAsia="Arial" w:cs="Arial"/>
          <w:sz w:val="20"/>
          <w:szCs w:val="20"/>
        </w:rPr>
        <w:t xml:space="preserve"> The disclosure will discuss directed brokerage arrangements. If KCD permits clients to direct brokerage, it will disclose that directing brokerage may be more costly for the client and may prevent the adviser from being able to obtain best execution. If KCD, routinely recommends, requests or requires clients to direct brokerage then KCD must also disclose that not all investment advisers require such directed brokerage arrangements.</w:t>
      </w:r>
    </w:p>
    <w:p>
      <w:pPr>
        <w:numPr>
          <w:ilvl w:val="0"/>
          <w:numId w:val="734"/>
        </w:numPr>
        <w:spacing w:after="200"/>
        <w:ind w:left="720" w:hanging="192"/>
        <w:jc w:val="left"/>
        <w:rPr>
          <w:rFonts w:eastAsia="Arial" w:cs="Arial"/>
          <w:sz w:val="20"/>
          <w:szCs w:val="20"/>
        </w:rPr>
      </w:pPr>
      <w:r>
        <w:rPr>
          <w:rFonts w:eastAsia="Arial" w:cs="Arial"/>
          <w:i/>
          <w:iCs/>
          <w:sz w:val="20"/>
          <w:szCs w:val="20"/>
        </w:rPr>
        <w:t>Trade Aggregation:</w:t>
      </w:r>
      <w:r>
        <w:rPr>
          <w:rFonts w:eastAsia="Arial" w:cs="Arial"/>
          <w:sz w:val="20"/>
          <w:szCs w:val="20"/>
        </w:rPr>
        <w:t xml:space="preserve"> The Firm will describe whether and when it aggregates trades, and if they do not aggregate trades despite having the opportunity to do so, they must explain that clients may end up paying higher brokerage costs.</w:t>
      </w:r>
    </w:p>
    <w:p/>
    <w:p>
      <w:pPr>
        <w:pStyle w:val="Heading5"/>
      </w:pPr>
      <w:r>
        <w:t>11.3.4.3.13 Review of Accounts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consult with advisory personnel and other relevant personnel regarding the process for reviewing client accounts and, based on this information, disclose how often KCD reviews client accounts. If KCD reviews accounts other than regularly, it will disclose the triggering factor(s) for such reviews. This disclosure will also set forth the titles of those persons conducting the reviews.</w:t>
      </w:r>
    </w:p>
    <w:p/>
    <w:p>
      <w:pPr>
        <w:pStyle w:val="Heading5"/>
      </w:pPr>
      <w:r>
        <w:t>11.3.4.3.14 Client Referrals and Other Compensation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review all arrangements in which KCD or its related persons compensate others for client referrals. In addition, the Chief Compliance Officer will verify whether KCD has any arrangements such as sales awards and prizes where KCD receives economic benefits from any non-clients for providing advisory services to clients. To the extent KCD enters into such arrangements, it will describe them in its Brochure, as well as disclose the conflicts of interest inherent in such arrangements and to discuss how KCD addresses such conflicts.</w:t>
      </w:r>
    </w:p>
    <w:p/>
    <w:p>
      <w:pPr>
        <w:pStyle w:val="Heading5"/>
      </w:pPr>
      <w:r>
        <w:t>11.3.4.3.15 Custody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review KCD's custody arrangements, including how it complies with Rule 206(4)-2 under the Advisers Act (the custody rule) and describe these arrangements in its Brochure. If KCD has custody over client funds or securities, it will explain how clients receive account statements directly from custodians and that clients should review such account statements carefully. If in addition to receiving statements from a custodian, a client receives an account statement from KCD, KCD in this item will explain that the client should compare the two statements against each other.</w:t>
      </w:r>
    </w:p>
    <w:p/>
    <w:p>
      <w:pPr>
        <w:pStyle w:val="Heading5"/>
      </w:pPr>
      <w:r>
        <w:t>11.3.4.3.16 Investment Discretion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review all client investment advisory agreements to determine whether KCD has investment discretion and/or no investment discretion over client accounts and accurately disclose this in response in its Brochure.</w:t>
      </w:r>
    </w:p>
    <w:p/>
    <w:p>
      <w:pPr>
        <w:pStyle w:val="Heading5"/>
      </w:pPr>
      <w:r>
        <w:t>11.3.4.3.17 Voting Client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w:t>
      </w:r>
      <w:r>
        <w:rPr>
          <w:rFonts w:eastAsia="Arial" w:cs="Arial"/>
          <w:sz w:val="20"/>
          <w:szCs w:val="20"/>
        </w:rPr>
        <w:t>Licensing and Registrations Analyst</w:t>
      </w:r>
      <w:r>
        <w:rPr>
          <w:rFonts w:eastAsia="Arial" w:cs="Arial"/>
          <w:sz w:val="20"/>
          <w:szCs w:val="20"/>
        </w:rPr>
        <w:t xml:space="preserve"> with respect to proxy voting disclosure in Part 2A of KCD's Form ADV will:</w:t>
      </w:r>
    </w:p>
    <w:p>
      <w:pPr>
        <w:numPr>
          <w:ilvl w:val="0"/>
          <w:numId w:val="735"/>
        </w:numPr>
        <w:spacing w:before="200"/>
        <w:ind w:left="720" w:hanging="192"/>
        <w:jc w:val="left"/>
        <w:rPr>
          <w:rFonts w:eastAsia="Arial" w:cs="Arial"/>
          <w:sz w:val="20"/>
          <w:szCs w:val="20"/>
        </w:rPr>
      </w:pPr>
      <w:r>
        <w:rPr>
          <w:rFonts w:eastAsia="Arial" w:cs="Arial"/>
          <w:sz w:val="20"/>
          <w:szCs w:val="20"/>
        </w:rPr>
        <w:t>consult with the investment personnel or, if applicable, a proxy voting service regarding their proxy voting practices;</w:t>
      </w:r>
    </w:p>
    <w:p>
      <w:pPr>
        <w:numPr>
          <w:ilvl w:val="0"/>
          <w:numId w:val="735"/>
        </w:numPr>
        <w:ind w:left="720" w:hanging="192"/>
        <w:jc w:val="left"/>
        <w:rPr>
          <w:rFonts w:eastAsia="Arial" w:cs="Arial"/>
          <w:sz w:val="20"/>
          <w:szCs w:val="20"/>
        </w:rPr>
      </w:pPr>
      <w:r>
        <w:rPr>
          <w:rFonts w:eastAsia="Arial" w:cs="Arial"/>
          <w:sz w:val="20"/>
          <w:szCs w:val="20"/>
        </w:rPr>
        <w:t>review the client investment advisory agreements and any related agreements to ascertain whether KCD or the client has proxy voting authority;</w:t>
      </w:r>
    </w:p>
    <w:p>
      <w:pPr>
        <w:numPr>
          <w:ilvl w:val="0"/>
          <w:numId w:val="735"/>
        </w:numPr>
        <w:ind w:left="720" w:hanging="192"/>
        <w:jc w:val="left"/>
        <w:rPr>
          <w:rFonts w:eastAsia="Arial" w:cs="Arial"/>
          <w:sz w:val="20"/>
          <w:szCs w:val="20"/>
        </w:rPr>
      </w:pPr>
      <w:r>
        <w:rPr>
          <w:rFonts w:eastAsia="Arial" w:cs="Arial"/>
          <w:sz w:val="20"/>
          <w:szCs w:val="20"/>
        </w:rPr>
        <w:t>draft disclosure regarding whether KCD or client has authority to vote client securities; and such disclosure will describe:</w:t>
      </w:r>
    </w:p>
    <w:p>
      <w:pPr>
        <w:numPr>
          <w:ilvl w:val="1"/>
          <w:numId w:val="735"/>
        </w:numPr>
        <w:ind w:left="1440" w:hanging="220"/>
        <w:jc w:val="left"/>
        <w:rPr>
          <w:rFonts w:eastAsia="Arial" w:cs="Arial"/>
          <w:sz w:val="20"/>
          <w:szCs w:val="20"/>
        </w:rPr>
      </w:pPr>
      <w:r>
        <w:rPr>
          <w:rFonts w:eastAsia="Arial" w:cs="Arial"/>
          <w:sz w:val="20"/>
          <w:szCs w:val="20"/>
        </w:rPr>
        <w:t>KCD's voting policies;</w:t>
      </w:r>
    </w:p>
    <w:p>
      <w:pPr>
        <w:numPr>
          <w:ilvl w:val="1"/>
          <w:numId w:val="735"/>
        </w:numPr>
        <w:ind w:left="1440" w:hanging="220"/>
        <w:jc w:val="left"/>
        <w:rPr>
          <w:rFonts w:eastAsia="Arial" w:cs="Arial"/>
          <w:sz w:val="20"/>
          <w:szCs w:val="20"/>
        </w:rPr>
      </w:pPr>
      <w:r>
        <w:rPr>
          <w:rFonts w:eastAsia="Arial" w:cs="Arial"/>
          <w:sz w:val="20"/>
          <w:szCs w:val="20"/>
        </w:rPr>
        <w:t>how clients can direct KCD to vote their proxies;</w:t>
      </w:r>
    </w:p>
    <w:p>
      <w:pPr>
        <w:numPr>
          <w:ilvl w:val="1"/>
          <w:numId w:val="735"/>
        </w:numPr>
        <w:ind w:left="1440" w:hanging="220"/>
        <w:jc w:val="left"/>
        <w:rPr>
          <w:rFonts w:eastAsia="Arial" w:cs="Arial"/>
          <w:sz w:val="20"/>
          <w:szCs w:val="20"/>
        </w:rPr>
      </w:pPr>
      <w:r>
        <w:rPr>
          <w:rFonts w:eastAsia="Arial" w:cs="Arial"/>
          <w:sz w:val="20"/>
          <w:szCs w:val="20"/>
        </w:rPr>
        <w:t>how KCD addresses conflicts of interests when voting securities;</w:t>
      </w:r>
    </w:p>
    <w:p>
      <w:pPr>
        <w:numPr>
          <w:ilvl w:val="1"/>
          <w:numId w:val="735"/>
        </w:numPr>
        <w:ind w:left="1440" w:hanging="220"/>
        <w:jc w:val="left"/>
        <w:rPr>
          <w:rFonts w:eastAsia="Arial" w:cs="Arial"/>
          <w:sz w:val="20"/>
          <w:szCs w:val="20"/>
        </w:rPr>
      </w:pPr>
      <w:r>
        <w:rPr>
          <w:rFonts w:eastAsia="Arial" w:cs="Arial"/>
          <w:sz w:val="20"/>
          <w:szCs w:val="20"/>
        </w:rPr>
        <w:t>how clients can obtain information on how KCD voted;</w:t>
      </w:r>
    </w:p>
    <w:p>
      <w:pPr>
        <w:numPr>
          <w:ilvl w:val="1"/>
          <w:numId w:val="735"/>
        </w:numPr>
        <w:ind w:left="1440" w:hanging="220"/>
        <w:jc w:val="left"/>
        <w:rPr>
          <w:rFonts w:eastAsia="Arial" w:cs="Arial"/>
          <w:sz w:val="20"/>
          <w:szCs w:val="20"/>
        </w:rPr>
      </w:pPr>
      <w:r>
        <w:rPr>
          <w:rFonts w:eastAsia="Arial" w:cs="Arial"/>
          <w:sz w:val="20"/>
          <w:szCs w:val="20"/>
        </w:rPr>
        <w:t>how clients may obtain a copy of KCD's proxy voting policies and procedures upon request;</w:t>
      </w:r>
    </w:p>
    <w:p>
      <w:pPr>
        <w:numPr>
          <w:ilvl w:val="1"/>
          <w:numId w:val="735"/>
        </w:numPr>
        <w:ind w:left="1440" w:hanging="220"/>
        <w:jc w:val="left"/>
        <w:rPr>
          <w:rFonts w:eastAsia="Arial" w:cs="Arial"/>
          <w:sz w:val="20"/>
          <w:szCs w:val="20"/>
        </w:rPr>
      </w:pPr>
      <w:r>
        <w:rPr>
          <w:rFonts w:eastAsia="Arial" w:cs="Arial"/>
          <w:sz w:val="20"/>
          <w:szCs w:val="20"/>
        </w:rPr>
        <w:t>if KCD does not accept authority to vote, explain to clients how they can receive their proxies and solicitations; and</w:t>
      </w:r>
    </w:p>
    <w:p>
      <w:pPr>
        <w:numPr>
          <w:ilvl w:val="1"/>
          <w:numId w:val="735"/>
        </w:numPr>
        <w:spacing w:after="200"/>
        <w:ind w:left="1440" w:hanging="220"/>
        <w:jc w:val="left"/>
        <w:rPr>
          <w:rFonts w:eastAsia="Arial" w:cs="Arial"/>
          <w:sz w:val="20"/>
          <w:szCs w:val="20"/>
        </w:rPr>
      </w:pPr>
      <w:r>
        <w:rPr>
          <w:rFonts w:eastAsia="Arial" w:cs="Arial"/>
          <w:sz w:val="20"/>
          <w:szCs w:val="20"/>
        </w:rPr>
        <w:t>to the extent KCD uses an automated proxy voting service, the circumstances it uses such services, how KCD's policies and procedures address the use of automated voting in cases where it becomes aware before the submission deadline for proxies to be voted at the shareholder meeting that an issuer intends to file or has filed additional soliciting materials with the SEC regarding a matter to be voted upon; and such disclosure will have sufficiently specific information so that a client is able to understand the role of automated voting in KCD's exercise of voting authority.</w:t>
      </w:r>
    </w:p>
    <w:p/>
    <w:p>
      <w:pPr>
        <w:pStyle w:val="Heading5"/>
      </w:pPr>
      <w:r>
        <w:t>11.3.4.3.18 Financial Information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will review client advisory contracts to verify whether they require any clients to prepay advisory fees six months or more in advance. If so, the Chief Compliance Officer will make sure that KCD obtains an audited balance sheet in a timely manner and includes such balance sheets in the Firm's Brochure in response to this Item 18. </w:t>
      </w:r>
    </w:p>
    <w:p>
      <w:pPr>
        <w:pStyle w:val="normal0"/>
        <w:spacing w:before="200" w:after="200"/>
        <w:rPr>
          <w:rFonts w:eastAsia="Arial" w:cs="Arial"/>
          <w:sz w:val="20"/>
          <w:szCs w:val="20"/>
        </w:rPr>
      </w:pPr>
      <w:r>
        <w:rPr>
          <w:rFonts w:eastAsia="Arial" w:cs="Arial"/>
          <w:sz w:val="20"/>
          <w:szCs w:val="20"/>
        </w:rPr>
        <w:t>The Chief Compliance Officer will also consult with the principals of KCD regarding its financial condition. If the Chief Compliance Officer, in consultation with the principals, determines that KCD's financial condition is reasonably likely to impair its ability to meet contractual commitments, it will disclose this fact in response to Item 18. If KCD has been subject to a bankruptcy petition in the past 10 years, it will disclose this fact in response to Item 18.</w:t>
      </w:r>
    </w:p>
    <w:p>
      <w:bookmarkStart w:id="847" w:name="Sec_Chp_061016102257046_0610163432113431"/>
    </w:p>
    <w:p>
      <w:pPr>
        <w:pStyle w:val="Heading5"/>
      </w:pPr>
      <w:r>
        <w:t>11.3.4.3.19 State-Registered Adviser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Investment advisers registered with one or more states (and not the SEC) must provide additional information in the adviser's brochure, including additional information about the management personnel of the adviser, activities of the adviser other than providing investment advice, certain performance-fee information, disciplinary information and information about arrangements with certain issuers of securities.</w:t>
      </w:r>
    </w:p>
    <w:p>
      <w:bookmarkEnd w:id="847"/>
      <w:bookmarkStart w:id="848" w:name="Sec_Chp_061016102257046_061016102257734"/>
    </w:p>
    <w:p>
      <w:pPr>
        <w:pStyle w:val="Heading4"/>
      </w:pPr>
      <w:r>
        <w:t xml:space="preserve">11.3.4.4 Schedules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Where appropriate, the Chief Compliance Officer will complete Schedules A, B, C, D and R.</w:t>
      </w:r>
    </w:p>
    <w:p>
      <w:pPr>
        <w:pStyle w:val="normal0"/>
        <w:spacing w:before="200" w:after="200"/>
        <w:rPr>
          <w:rFonts w:eastAsia="Arial" w:cs="Arial"/>
          <w:sz w:val="20"/>
          <w:szCs w:val="20"/>
        </w:rPr>
      </w:pPr>
      <w:r>
        <w:rPr>
          <w:rFonts w:eastAsia="Arial" w:cs="Arial"/>
          <w:sz w:val="20"/>
          <w:szCs w:val="20"/>
        </w:rPr>
        <w:t>With respect to Schedule D, KCD, in compliance with new Form ADV amendments, will provide information about each branch office's business activities, FINRA status (if any registered representatives are located there) and number of employees located there.</w:t>
      </w:r>
    </w:p>
    <w:p>
      <w:pPr>
        <w:pStyle w:val="normal0"/>
        <w:spacing w:before="200" w:after="200"/>
        <w:rPr>
          <w:rFonts w:eastAsia="Arial" w:cs="Arial"/>
          <w:sz w:val="20"/>
          <w:szCs w:val="20"/>
        </w:rPr>
      </w:pPr>
      <w:r>
        <w:rPr>
          <w:rFonts w:eastAsia="Arial" w:cs="Arial"/>
          <w:sz w:val="20"/>
          <w:szCs w:val="20"/>
        </w:rPr>
        <w:t>KCD on Schedule D will report all social media platforms where it provides content and control of that content including, for example, social media platforms such as:</w:t>
      </w:r>
    </w:p>
    <w:p>
      <w:pPr>
        <w:numPr>
          <w:ilvl w:val="0"/>
          <w:numId w:val="736"/>
        </w:numPr>
        <w:spacing w:before="200"/>
        <w:ind w:left="720" w:hanging="192"/>
        <w:jc w:val="left"/>
        <w:rPr>
          <w:rFonts w:eastAsia="Arial" w:cs="Arial"/>
          <w:sz w:val="20"/>
          <w:szCs w:val="20"/>
        </w:rPr>
      </w:pPr>
      <w:r>
        <w:rPr>
          <w:rFonts w:eastAsia="Arial" w:cs="Arial"/>
          <w:sz w:val="20"/>
          <w:szCs w:val="20"/>
        </w:rPr>
        <w:t>LinkedIn</w:t>
      </w:r>
    </w:p>
    <w:p>
      <w:pPr>
        <w:numPr>
          <w:ilvl w:val="0"/>
          <w:numId w:val="736"/>
        </w:numPr>
        <w:ind w:left="720" w:hanging="192"/>
        <w:jc w:val="left"/>
        <w:rPr>
          <w:rFonts w:eastAsia="Arial" w:cs="Arial"/>
          <w:sz w:val="20"/>
          <w:szCs w:val="20"/>
        </w:rPr>
      </w:pPr>
      <w:r>
        <w:rPr>
          <w:rFonts w:eastAsia="Arial" w:cs="Arial"/>
          <w:sz w:val="20"/>
          <w:szCs w:val="20"/>
        </w:rPr>
        <w:t>Facebook</w:t>
      </w:r>
    </w:p>
    <w:p>
      <w:pPr>
        <w:numPr>
          <w:ilvl w:val="0"/>
          <w:numId w:val="736"/>
        </w:numPr>
        <w:spacing w:after="200"/>
        <w:ind w:left="720" w:hanging="192"/>
        <w:jc w:val="left"/>
        <w:rPr>
          <w:rFonts w:eastAsia="Arial" w:cs="Arial"/>
          <w:sz w:val="20"/>
          <w:szCs w:val="20"/>
        </w:rPr>
      </w:pPr>
      <w:r>
        <w:rPr>
          <w:rFonts w:eastAsia="Arial" w:cs="Arial"/>
          <w:sz w:val="20"/>
          <w:szCs w:val="20"/>
        </w:rPr>
        <w:t>Twitter</w:t>
      </w:r>
    </w:p>
    <w:p>
      <w:bookmarkEnd w:id="848"/>
      <w:bookmarkStart w:id="849" w:name="Sec_Chp_061016102257046_061016102257750"/>
    </w:p>
    <w:p>
      <w:pPr>
        <w:pStyle w:val="Heading3"/>
      </w:pPr>
      <w:bookmarkStart w:id="850" w:name="_Toc256000219"/>
      <w:r>
        <w:t>11.3.5 Amendments to Form ADV</w:t>
      </w:r>
      <w:bookmarkEnd w:id="850"/>
    </w:p>
    <w:p/>
    <w:p>
      <w:pPr>
        <w:rPr>
          <w:rFonts w:eastAsia="Arial" w:cs="Arial"/>
          <w:sz w:val="16"/>
          <w:szCs w:val="16"/>
        </w:rPr>
      </w:pPr>
    </w:p>
    <w:p>
      <w:bookmarkEnd w:id="849"/>
      <w:bookmarkStart w:id="851" w:name="Sec_Chp_061016102257046_061016102257765"/>
    </w:p>
    <w:p>
      <w:pPr>
        <w:pStyle w:val="Heading4"/>
      </w:pPr>
      <w:r>
        <w:t>11.3.5.1 Annual Amendment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amend its Form ADV each year by filing an annual updating amendment within 90 days after 12/31, the end of KCD's fiscal year. In preparation for the annual amendment, the Chief Compliance Officer shall formally review KCD's Form ADV and will circulate the Form ADV to relevant departments or employees of KCD and the inside or outside legal counsel for their review and comments.</w:t>
      </w:r>
    </w:p>
    <w:p>
      <w:pPr>
        <w:pStyle w:val="normal0"/>
        <w:spacing w:before="200" w:after="200"/>
        <w:rPr>
          <w:rFonts w:eastAsia="Arial" w:cs="Arial"/>
          <w:sz w:val="20"/>
          <w:szCs w:val="20"/>
        </w:rPr>
      </w:pPr>
      <w:r>
        <w:rPr>
          <w:rFonts w:eastAsia="Arial" w:cs="Arial"/>
          <w:sz w:val="20"/>
          <w:szCs w:val="20"/>
        </w:rPr>
        <w:t>Prior to filing any amendments with the SEC via the IARD, Firm personnel responsible for updating KCD's registration statement on Form ADV, including its Chief Compliance Officer, shall:</w:t>
      </w:r>
    </w:p>
    <w:p>
      <w:pPr>
        <w:numPr>
          <w:ilvl w:val="0"/>
          <w:numId w:val="737"/>
        </w:numPr>
        <w:spacing w:before="200"/>
        <w:ind w:left="720" w:hanging="192"/>
        <w:jc w:val="left"/>
        <w:rPr>
          <w:rFonts w:eastAsia="Arial" w:cs="Arial"/>
          <w:sz w:val="20"/>
          <w:szCs w:val="20"/>
        </w:rPr>
      </w:pPr>
      <w:r>
        <w:rPr>
          <w:rFonts w:eastAsia="Arial" w:cs="Arial"/>
          <w:sz w:val="20"/>
          <w:szCs w:val="20"/>
        </w:rPr>
        <w:t>Ensure KCD's IARD funding account is sufficiently funded including an amount that equals at least fees due at the annual update;</w:t>
      </w:r>
    </w:p>
    <w:p>
      <w:pPr>
        <w:numPr>
          <w:ilvl w:val="0"/>
          <w:numId w:val="737"/>
        </w:numPr>
        <w:ind w:left="720" w:hanging="192"/>
        <w:jc w:val="left"/>
        <w:rPr>
          <w:rFonts w:eastAsia="Arial" w:cs="Arial"/>
          <w:sz w:val="20"/>
          <w:szCs w:val="20"/>
        </w:rPr>
      </w:pPr>
      <w:r>
        <w:rPr>
          <w:rFonts w:eastAsia="Arial" w:cs="Arial"/>
          <w:sz w:val="20"/>
          <w:szCs w:val="20"/>
        </w:rPr>
        <w:t>Review client makeup, business activities, discipline history, fees, investment risks, new conflicts of interest and other material changes during the past year that may require the updating of information in KCD's Form ADV;</w:t>
      </w:r>
    </w:p>
    <w:p>
      <w:pPr>
        <w:numPr>
          <w:ilvl w:val="0"/>
          <w:numId w:val="737"/>
        </w:numPr>
        <w:ind w:left="720" w:hanging="192"/>
        <w:jc w:val="left"/>
        <w:rPr>
          <w:rFonts w:eastAsia="Arial" w:cs="Arial"/>
          <w:sz w:val="20"/>
          <w:szCs w:val="20"/>
        </w:rPr>
      </w:pPr>
      <w:r>
        <w:rPr>
          <w:rFonts w:eastAsia="Arial" w:cs="Arial"/>
          <w:sz w:val="20"/>
          <w:szCs w:val="20"/>
        </w:rPr>
        <w:t>Compare advisory personnel U-4s with Part 2Bs for consistency;</w:t>
      </w:r>
    </w:p>
    <w:p>
      <w:pPr>
        <w:numPr>
          <w:ilvl w:val="0"/>
          <w:numId w:val="737"/>
        </w:numPr>
        <w:ind w:left="720" w:hanging="192"/>
        <w:jc w:val="left"/>
        <w:rPr>
          <w:rFonts w:eastAsia="Arial" w:cs="Arial"/>
          <w:sz w:val="20"/>
          <w:szCs w:val="20"/>
        </w:rPr>
      </w:pPr>
      <w:r>
        <w:rPr>
          <w:rFonts w:eastAsia="Arial" w:cs="Arial"/>
          <w:sz w:val="20"/>
          <w:szCs w:val="20"/>
        </w:rPr>
        <w:t xml:space="preserve">Ensure consistency among the following documents by cross-checking their content against one another: Part 1A, Part 2A, Part 2Bs, CRSs (relationship summaries), advisory contracts and Firm's website. When comparing these documents, KCD will look for disclosure in some documents and the website and omissions from other documents or the website; </w:t>
      </w:r>
    </w:p>
    <w:p>
      <w:pPr>
        <w:numPr>
          <w:ilvl w:val="0"/>
          <w:numId w:val="737"/>
        </w:numPr>
        <w:ind w:left="720" w:hanging="192"/>
        <w:jc w:val="left"/>
        <w:rPr>
          <w:rFonts w:eastAsia="Arial" w:cs="Arial"/>
          <w:sz w:val="20"/>
          <w:szCs w:val="20"/>
        </w:rPr>
      </w:pPr>
      <w:r>
        <w:rPr>
          <w:rFonts w:eastAsia="Arial" w:cs="Arial"/>
          <w:sz w:val="20"/>
          <w:szCs w:val="20"/>
        </w:rPr>
        <w:t xml:space="preserve">Perform multiple reviews of Part 1A, Part 2A, Part 2Bs and CRSs to ensure accuracy and no omissions of required disclosure and other information; and </w:t>
      </w:r>
    </w:p>
    <w:p>
      <w:pPr>
        <w:numPr>
          <w:ilvl w:val="0"/>
          <w:numId w:val="737"/>
        </w:numPr>
        <w:spacing w:after="200"/>
        <w:ind w:left="720" w:hanging="192"/>
        <w:jc w:val="left"/>
        <w:rPr>
          <w:rFonts w:eastAsia="Arial" w:cs="Arial"/>
          <w:sz w:val="20"/>
          <w:szCs w:val="20"/>
        </w:rPr>
      </w:pPr>
      <w:r>
        <w:rPr>
          <w:rFonts w:eastAsia="Arial" w:cs="Arial"/>
          <w:sz w:val="20"/>
          <w:szCs w:val="20"/>
        </w:rPr>
        <w:t>Run completeness check on the IARD.</w:t>
      </w:r>
    </w:p>
    <w:p>
      <w:bookmarkEnd w:id="851"/>
      <w:bookmarkStart w:id="852" w:name="Sec_Chp_061016102257046_061016102257796"/>
    </w:p>
    <w:p>
      <w:pPr>
        <w:pStyle w:val="Heading4"/>
      </w:pPr>
      <w:r>
        <w:t>11.3.5.2 Periodic Amendments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amend its Form ADV promptly if:</w:t>
      </w:r>
    </w:p>
    <w:p>
      <w:pPr>
        <w:numPr>
          <w:ilvl w:val="0"/>
          <w:numId w:val="738"/>
        </w:numPr>
        <w:spacing w:before="200"/>
        <w:ind w:left="720" w:hanging="192"/>
        <w:jc w:val="left"/>
        <w:rPr>
          <w:rFonts w:eastAsia="Arial" w:cs="Arial"/>
          <w:sz w:val="20"/>
          <w:szCs w:val="20"/>
        </w:rPr>
      </w:pPr>
      <w:r>
        <w:rPr>
          <w:rFonts w:eastAsia="Arial" w:cs="Arial"/>
          <w:sz w:val="20"/>
          <w:szCs w:val="20"/>
        </w:rPr>
        <w:t xml:space="preserve">information in response to Items 1, 3, 9, or 11 of Part 1A or Items 1, 2.A. through 2.F., or 2.I. of Part 1B become inaccurate in any way; </w:t>
      </w:r>
    </w:p>
    <w:p>
      <w:pPr>
        <w:numPr>
          <w:ilvl w:val="0"/>
          <w:numId w:val="738"/>
        </w:numPr>
        <w:ind w:left="720" w:hanging="192"/>
        <w:jc w:val="left"/>
        <w:rPr>
          <w:rFonts w:eastAsia="Arial" w:cs="Arial"/>
          <w:sz w:val="20"/>
          <w:szCs w:val="20"/>
        </w:rPr>
      </w:pPr>
      <w:r>
        <w:rPr>
          <w:rFonts w:eastAsia="Arial" w:cs="Arial"/>
          <w:sz w:val="20"/>
          <w:szCs w:val="20"/>
        </w:rPr>
        <w:t xml:space="preserve">information provided in response to Items 4, 8, or 10 of Part 1A or Item 2.G. of Part 1B become materially inaccurate; </w:t>
      </w:r>
    </w:p>
    <w:p>
      <w:pPr>
        <w:numPr>
          <w:ilvl w:val="0"/>
          <w:numId w:val="738"/>
        </w:numPr>
        <w:ind w:left="720" w:hanging="192"/>
        <w:jc w:val="left"/>
        <w:rPr>
          <w:rFonts w:eastAsia="Arial" w:cs="Arial"/>
          <w:sz w:val="20"/>
          <w:szCs w:val="20"/>
        </w:rPr>
      </w:pPr>
      <w:r>
        <w:rPr>
          <w:rFonts w:eastAsia="Arial" w:cs="Arial"/>
          <w:sz w:val="20"/>
          <w:szCs w:val="20"/>
        </w:rPr>
        <w:t xml:space="preserve">a financial condition of KCD occurs or will occur that is likely to impair its ability to meet contractual commitments to any clients who have given KCD discretionary authority over their accounts or entrusted custody of their assets; or </w:t>
      </w:r>
    </w:p>
    <w:p>
      <w:pPr>
        <w:numPr>
          <w:ilvl w:val="0"/>
          <w:numId w:val="738"/>
        </w:numPr>
        <w:spacing w:after="200"/>
        <w:ind w:left="720" w:hanging="192"/>
        <w:jc w:val="left"/>
        <w:rPr>
          <w:rFonts w:eastAsia="Arial" w:cs="Arial"/>
          <w:sz w:val="20"/>
          <w:szCs w:val="20"/>
        </w:rPr>
      </w:pPr>
      <w:r>
        <w:rPr>
          <w:rFonts w:eastAsia="Arial" w:cs="Arial"/>
          <w:sz w:val="20"/>
          <w:szCs w:val="20"/>
        </w:rPr>
        <w:t>a disciplinary action against KCD or one of its employees that is covered by the disciplinary disclosure provisions of Rule 206(4)-4(a)(2) under the Investment Advisers Act of 1940.</w:t>
      </w:r>
    </w:p>
    <w:p>
      <w:pPr>
        <w:pStyle w:val="normal0"/>
        <w:spacing w:before="200" w:after="200"/>
        <w:rPr>
          <w:rFonts w:eastAsia="Arial" w:cs="Arial"/>
          <w:sz w:val="20"/>
          <w:szCs w:val="20"/>
        </w:rPr>
      </w:pPr>
      <w:r>
        <w:rPr>
          <w:rFonts w:eastAsia="Arial" w:cs="Arial"/>
          <w:sz w:val="20"/>
          <w:szCs w:val="20"/>
        </w:rPr>
        <w:t>Any person who is a director, officer or owner of KCD must notify KCD of any change in information that would require an amendment to the Schedules of KCD's Form ADV.</w:t>
      </w:r>
    </w:p>
    <w:p>
      <w:bookmarkEnd w:id="852"/>
      <w:bookmarkStart w:id="853" w:name="Sec_Chp_061016102257046_061016102257812"/>
    </w:p>
    <w:p>
      <w:pPr>
        <w:pStyle w:val="Heading4"/>
      </w:pPr>
      <w:r>
        <w:t>11.3.5.3 Definitions of Disciplinary and Financial Events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make prompt disclosure to clients and prospective clients of certain disciplinary and financial events involving KCD or any person with a direct or indirect controlling influence over the management or policies of KCD or the power to determine the general advice given to clients ("Management Personnel") in accordance with the following procedures.</w:t>
      </w:r>
    </w:p>
    <w:p>
      <w:bookmarkEnd w:id="853"/>
      <w:bookmarkStart w:id="854" w:name="Sec_Chp_061016102257046_061016102257828"/>
    </w:p>
    <w:p>
      <w:pPr>
        <w:pStyle w:val="Heading5"/>
      </w:pPr>
      <w:r>
        <w:t>11.3.5.3.1 Disciplinary Event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following shall constitute a "Disciplinary Event:"</w:t>
      </w:r>
    </w:p>
    <w:p>
      <w:pPr>
        <w:pStyle w:val="normal0"/>
        <w:spacing w:before="200" w:after="200"/>
        <w:rPr>
          <w:rFonts w:eastAsia="Arial" w:cs="Arial"/>
          <w:sz w:val="20"/>
          <w:szCs w:val="20"/>
        </w:rPr>
      </w:pPr>
      <w:r>
        <w:rPr>
          <w:rFonts w:eastAsia="Arial" w:cs="Arial"/>
          <w:sz w:val="20"/>
          <w:szCs w:val="20"/>
        </w:rPr>
        <w:t>With respect to KCD or a person at KCD with power to exercise, directly or indirectly, a controlling influence over the management or policies of KCD or to determine the general investment advice given to clients (each a "person").</w:t>
      </w:r>
    </w:p>
    <w:p>
      <w:pPr>
        <w:numPr>
          <w:ilvl w:val="0"/>
          <w:numId w:val="739"/>
        </w:numPr>
        <w:spacing w:before="200"/>
        <w:ind w:left="720" w:hanging="192"/>
        <w:jc w:val="left"/>
        <w:rPr>
          <w:rFonts w:eastAsia="Arial" w:cs="Arial"/>
          <w:sz w:val="20"/>
          <w:szCs w:val="20"/>
        </w:rPr>
      </w:pPr>
      <w:r>
        <w:rPr>
          <w:rFonts w:eastAsia="Arial" w:cs="Arial"/>
          <w:sz w:val="20"/>
          <w:szCs w:val="20"/>
        </w:rPr>
        <w:t xml:space="preserve">A criminal or civil action in a court of competent jurisdiction in which the person: </w:t>
      </w:r>
    </w:p>
    <w:p>
      <w:pPr>
        <w:numPr>
          <w:ilvl w:val="1"/>
          <w:numId w:val="739"/>
        </w:numPr>
        <w:ind w:left="1440" w:hanging="220"/>
        <w:jc w:val="left"/>
        <w:rPr>
          <w:rFonts w:eastAsia="Arial" w:cs="Arial"/>
          <w:sz w:val="20"/>
          <w:szCs w:val="20"/>
        </w:rPr>
      </w:pPr>
      <w:r>
        <w:rPr>
          <w:rFonts w:eastAsia="Arial" w:cs="Arial"/>
          <w:sz w:val="20"/>
          <w:szCs w:val="20"/>
        </w:rPr>
        <w:t xml:space="preserve">was convicted, pleaded guilty or nolo contendere ("no contest") to a felony or misdemeanor, or is the named subject of a pending criminal proceeding (any of the foregoing referred to hereafter as "action"), and such action involved: an investment-related business; fraud, false statements, or omissions; wrongful taking of property; or bribery, forgery, counterfeiting, or extortion; </w:t>
      </w:r>
    </w:p>
    <w:p>
      <w:pPr>
        <w:numPr>
          <w:ilvl w:val="1"/>
          <w:numId w:val="739"/>
        </w:numPr>
        <w:ind w:left="1440" w:hanging="220"/>
        <w:jc w:val="left"/>
        <w:rPr>
          <w:rFonts w:eastAsia="Arial" w:cs="Arial"/>
          <w:sz w:val="20"/>
          <w:szCs w:val="20"/>
        </w:rPr>
      </w:pPr>
      <w:r>
        <w:rPr>
          <w:rFonts w:eastAsia="Arial" w:cs="Arial"/>
          <w:sz w:val="20"/>
          <w:szCs w:val="20"/>
        </w:rPr>
        <w:t xml:space="preserve">was found to have been involved in a violation of an investment-related statute or regulation; or </w:t>
      </w:r>
    </w:p>
    <w:p>
      <w:pPr>
        <w:numPr>
          <w:ilvl w:val="1"/>
          <w:numId w:val="739"/>
        </w:numPr>
        <w:ind w:left="1440" w:hanging="220"/>
        <w:jc w:val="left"/>
        <w:rPr>
          <w:rFonts w:eastAsia="Arial" w:cs="Arial"/>
          <w:sz w:val="20"/>
          <w:szCs w:val="20"/>
        </w:rPr>
      </w:pPr>
      <w:r>
        <w:rPr>
          <w:rFonts w:eastAsia="Arial" w:cs="Arial"/>
          <w:sz w:val="20"/>
          <w:szCs w:val="20"/>
        </w:rPr>
        <w:t>was the subject of any order, judgment, or decree permanently or temporarily enjoining the person from, or otherwise limiting the person from, engaging in any investment-related activity.</w:t>
      </w:r>
    </w:p>
    <w:p>
      <w:pPr>
        <w:numPr>
          <w:ilvl w:val="0"/>
          <w:numId w:val="739"/>
        </w:numPr>
        <w:ind w:left="720" w:hanging="192"/>
        <w:jc w:val="left"/>
        <w:rPr>
          <w:rFonts w:eastAsia="Arial" w:cs="Arial"/>
          <w:sz w:val="20"/>
          <w:szCs w:val="20"/>
        </w:rPr>
      </w:pPr>
      <w:r>
        <w:rPr>
          <w:rFonts w:eastAsia="Arial" w:cs="Arial"/>
          <w:sz w:val="20"/>
          <w:szCs w:val="20"/>
        </w:rPr>
        <w:t xml:space="preserve">Administrative proceedings before the Securities and Exchange Commission, and other federal regulatory agency or any state agency (any of the foregoing being referred to hereafter as "agency") in which the person: </w:t>
      </w:r>
    </w:p>
    <w:p>
      <w:pPr>
        <w:numPr>
          <w:ilvl w:val="1"/>
          <w:numId w:val="739"/>
        </w:numPr>
        <w:ind w:left="1440" w:hanging="220"/>
        <w:jc w:val="left"/>
        <w:rPr>
          <w:rFonts w:eastAsia="Arial" w:cs="Arial"/>
          <w:sz w:val="20"/>
          <w:szCs w:val="20"/>
        </w:rPr>
      </w:pPr>
      <w:r>
        <w:rPr>
          <w:rFonts w:eastAsia="Arial" w:cs="Arial"/>
          <w:sz w:val="20"/>
          <w:szCs w:val="20"/>
        </w:rPr>
        <w:t xml:space="preserve">was found to have caused an investment-related business to lose its authorization to do business; or </w:t>
      </w:r>
    </w:p>
    <w:p>
      <w:pPr>
        <w:numPr>
          <w:ilvl w:val="1"/>
          <w:numId w:val="739"/>
        </w:numPr>
        <w:ind w:left="1440" w:hanging="220"/>
        <w:jc w:val="left"/>
        <w:rPr>
          <w:rFonts w:eastAsia="Arial" w:cs="Arial"/>
          <w:sz w:val="20"/>
          <w:szCs w:val="20"/>
        </w:rPr>
      </w:pPr>
      <w:r>
        <w:rPr>
          <w:rFonts w:eastAsia="Arial" w:cs="Arial"/>
          <w:sz w:val="20"/>
          <w:szCs w:val="20"/>
        </w:rPr>
        <w:t>was found to have been involved in a violation of an investment-related statute or regulation and was the subject of an order by the agency denying, suspending, or revoking the authorization of the person to act in, or barring or suspending the person's association with, an investment-related business; or otherwise significantly limiting the person's investment-related activities.</w:t>
      </w:r>
    </w:p>
    <w:p>
      <w:pPr>
        <w:numPr>
          <w:ilvl w:val="0"/>
          <w:numId w:val="739"/>
        </w:numPr>
        <w:ind w:left="720" w:hanging="192"/>
        <w:jc w:val="left"/>
        <w:rPr>
          <w:rFonts w:eastAsia="Arial" w:cs="Arial"/>
          <w:sz w:val="20"/>
          <w:szCs w:val="20"/>
        </w:rPr>
      </w:pPr>
      <w:r>
        <w:rPr>
          <w:rFonts w:eastAsia="Arial" w:cs="Arial"/>
          <w:sz w:val="20"/>
          <w:szCs w:val="20"/>
        </w:rPr>
        <w:t xml:space="preserve">Self-Regulatory Organization (SRO) proceedings in which the person: </w:t>
      </w:r>
    </w:p>
    <w:p>
      <w:pPr>
        <w:numPr>
          <w:ilvl w:val="1"/>
          <w:numId w:val="739"/>
        </w:numPr>
        <w:ind w:left="1440" w:hanging="220"/>
        <w:jc w:val="left"/>
        <w:rPr>
          <w:rFonts w:eastAsia="Arial" w:cs="Arial"/>
          <w:sz w:val="20"/>
          <w:szCs w:val="20"/>
        </w:rPr>
      </w:pPr>
      <w:r>
        <w:rPr>
          <w:rFonts w:eastAsia="Arial" w:cs="Arial"/>
          <w:sz w:val="20"/>
          <w:szCs w:val="20"/>
        </w:rPr>
        <w:t xml:space="preserve">was found to have caused an investment-related business to lose its authorization to do business; or </w:t>
      </w:r>
    </w:p>
    <w:p>
      <w:pPr>
        <w:numPr>
          <w:ilvl w:val="1"/>
          <w:numId w:val="739"/>
        </w:numPr>
        <w:spacing w:after="200"/>
        <w:ind w:left="1440" w:hanging="220"/>
        <w:jc w:val="left"/>
        <w:rPr>
          <w:rFonts w:eastAsia="Arial" w:cs="Arial"/>
          <w:sz w:val="20"/>
          <w:szCs w:val="20"/>
        </w:rPr>
      </w:pPr>
      <w:r>
        <w:rPr>
          <w:rFonts w:eastAsia="Arial" w:cs="Arial"/>
          <w:sz w:val="20"/>
          <w:szCs w:val="20"/>
        </w:rPr>
        <w:t>was found to have been involved in a violation of the SRO's rules and was the subject of an order by the SRO barring or suspending the person from membership or from association with other members, or expelling the person from membership; fining the person more than $ 2,500; or otherwise significantly limiting the person's investment-related activities.</w:t>
      </w:r>
    </w:p>
    <w:p>
      <w:bookmarkEnd w:id="854"/>
      <w:bookmarkStart w:id="855" w:name="Sec_Chp_061016102257046_061016102257843"/>
    </w:p>
    <w:p>
      <w:pPr>
        <w:pStyle w:val="Heading5"/>
      </w:pPr>
      <w:r>
        <w:t>11.3.5.3.2 Financial Event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"Financial Event" is a financial condition of KCD that is reasonably likely to impair the ability of KCD to meet contractual commitments to clients, if KCD has discretionary authority (express or implied) or custody over such client's funds or securities, or requires prepayment of advisory fees of more than $500 from such client, 6 months or more in advance.</w:t>
      </w:r>
    </w:p>
    <w:p>
      <w:bookmarkEnd w:id="855"/>
      <w:bookmarkStart w:id="856" w:name="Sec_Chp_061016102257046_061016102257859"/>
    </w:p>
    <w:p>
      <w:pPr>
        <w:pStyle w:val="Heading5"/>
      </w:pPr>
      <w:r>
        <w:t>11.3.5.3.3 Monitoring Disciplinary and Financial Events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will take the following steps to ensure Disciplinary Events are disclosed: </w:t>
      </w:r>
    </w:p>
    <w:p>
      <w:pPr>
        <w:numPr>
          <w:ilvl w:val="0"/>
          <w:numId w:val="740"/>
        </w:numPr>
        <w:spacing w:before="200"/>
        <w:ind w:left="720" w:hanging="192"/>
        <w:jc w:val="left"/>
        <w:rPr>
          <w:rFonts w:eastAsia="Arial" w:cs="Arial"/>
          <w:sz w:val="20"/>
          <w:szCs w:val="20"/>
        </w:rPr>
      </w:pPr>
      <w:r>
        <w:rPr>
          <w:rFonts w:eastAsia="Arial" w:cs="Arial"/>
          <w:sz w:val="20"/>
          <w:szCs w:val="20"/>
        </w:rPr>
        <w:t xml:space="preserve">The Chief Compliance Officer will maintain a list of employees of KCD who are classified as "management persons;" </w:t>
      </w:r>
    </w:p>
    <w:p>
      <w:pPr>
        <w:numPr>
          <w:ilvl w:val="0"/>
          <w:numId w:val="740"/>
        </w:numPr>
        <w:ind w:left="720" w:hanging="192"/>
        <w:jc w:val="left"/>
        <w:rPr>
          <w:rFonts w:eastAsia="Arial" w:cs="Arial"/>
          <w:sz w:val="20"/>
          <w:szCs w:val="20"/>
        </w:rPr>
      </w:pPr>
      <w:r>
        <w:rPr>
          <w:rFonts w:eastAsia="Arial" w:cs="Arial"/>
          <w:sz w:val="20"/>
          <w:szCs w:val="20"/>
        </w:rPr>
        <w:t xml:space="preserve">Management person shall be an employee with power to: </w:t>
      </w:r>
    </w:p>
    <w:p>
      <w:pPr>
        <w:numPr>
          <w:ilvl w:val="1"/>
          <w:numId w:val="740"/>
        </w:numPr>
        <w:ind w:left="1440" w:hanging="220"/>
        <w:jc w:val="left"/>
        <w:rPr>
          <w:rFonts w:eastAsia="Arial" w:cs="Arial"/>
          <w:sz w:val="20"/>
          <w:szCs w:val="20"/>
        </w:rPr>
      </w:pPr>
      <w:r>
        <w:rPr>
          <w:rFonts w:eastAsia="Arial" w:cs="Arial"/>
          <w:sz w:val="20"/>
          <w:szCs w:val="20"/>
        </w:rPr>
        <w:t xml:space="preserve">exercise control over the management or policies of KCD; or </w:t>
      </w:r>
    </w:p>
    <w:p>
      <w:pPr>
        <w:numPr>
          <w:ilvl w:val="1"/>
          <w:numId w:val="740"/>
        </w:numPr>
        <w:ind w:left="1440" w:hanging="220"/>
        <w:jc w:val="left"/>
        <w:rPr>
          <w:rFonts w:eastAsia="Arial" w:cs="Arial"/>
          <w:sz w:val="20"/>
          <w:szCs w:val="20"/>
        </w:rPr>
      </w:pPr>
      <w:r>
        <w:rPr>
          <w:rFonts w:eastAsia="Arial" w:cs="Arial"/>
          <w:sz w:val="20"/>
          <w:szCs w:val="20"/>
        </w:rPr>
        <w:t>determine the general investment advice given to advisory clients.</w:t>
      </w:r>
    </w:p>
    <w:p>
      <w:pPr>
        <w:numPr>
          <w:ilvl w:val="0"/>
          <w:numId w:val="740"/>
        </w:numPr>
        <w:ind w:left="720" w:hanging="192"/>
        <w:jc w:val="left"/>
        <w:rPr>
          <w:rFonts w:eastAsia="Arial" w:cs="Arial"/>
          <w:sz w:val="20"/>
          <w:szCs w:val="20"/>
        </w:rPr>
      </w:pPr>
      <w:r>
        <w:rPr>
          <w:rFonts w:eastAsia="Arial" w:cs="Arial"/>
          <w:sz w:val="20"/>
          <w:szCs w:val="20"/>
        </w:rPr>
        <w:t xml:space="preserve">The Chief Compliance Officer will maintain a questionnaire (DRP Questionnaire) that requests information regarding any Disciplinary Event; </w:t>
      </w:r>
    </w:p>
    <w:p>
      <w:pPr>
        <w:numPr>
          <w:ilvl w:val="0"/>
          <w:numId w:val="740"/>
        </w:numPr>
        <w:ind w:left="720" w:hanging="192"/>
        <w:jc w:val="left"/>
        <w:rPr>
          <w:rFonts w:eastAsia="Arial" w:cs="Arial"/>
          <w:sz w:val="20"/>
          <w:szCs w:val="20"/>
        </w:rPr>
      </w:pPr>
      <w:r>
        <w:rPr>
          <w:rFonts w:eastAsia="Arial" w:cs="Arial"/>
          <w:sz w:val="20"/>
          <w:szCs w:val="20"/>
        </w:rPr>
        <w:t xml:space="preserve">During the annual amendment/updating process, the Chief Compliance Officer will require each management person to complete the DRP Questionnaire and return the form to the Chief Compliance Officer for review; </w:t>
      </w:r>
    </w:p>
    <w:p>
      <w:pPr>
        <w:numPr>
          <w:ilvl w:val="0"/>
          <w:numId w:val="740"/>
        </w:numPr>
        <w:ind w:left="720" w:hanging="192"/>
        <w:jc w:val="left"/>
        <w:rPr>
          <w:rFonts w:eastAsia="Arial" w:cs="Arial"/>
          <w:sz w:val="20"/>
          <w:szCs w:val="20"/>
        </w:rPr>
      </w:pPr>
      <w:r>
        <w:rPr>
          <w:rFonts w:eastAsia="Arial" w:cs="Arial"/>
          <w:sz w:val="20"/>
          <w:szCs w:val="20"/>
        </w:rPr>
        <w:t>Each new hire designated as a management person shall be required to complete a DRP Questionnaire and return the form to the Chief Compliance Officer for review; and</w:t>
      </w:r>
    </w:p>
    <w:p>
      <w:pPr>
        <w:numPr>
          <w:ilvl w:val="0"/>
          <w:numId w:val="740"/>
        </w:numPr>
        <w:spacing w:after="200"/>
        <w:ind w:left="720" w:hanging="192"/>
        <w:jc w:val="left"/>
        <w:rPr>
          <w:rFonts w:eastAsia="Arial" w:cs="Arial"/>
          <w:sz w:val="20"/>
          <w:szCs w:val="20"/>
        </w:rPr>
      </w:pPr>
      <w:r>
        <w:rPr>
          <w:rFonts w:eastAsia="Arial" w:cs="Arial"/>
          <w:sz w:val="20"/>
          <w:szCs w:val="20"/>
        </w:rPr>
        <w:t xml:space="preserve">The Chief Compliance Officer will report any Disciplinary Event in the Form ADV in the manner described herein. </w:t>
      </w:r>
    </w:p>
    <w:p>
      <w:pPr>
        <w:pStyle w:val="normal0"/>
        <w:spacing w:before="200" w:after="200"/>
        <w:rPr>
          <w:rFonts w:eastAsia="Arial" w:cs="Arial"/>
          <w:sz w:val="20"/>
          <w:szCs w:val="20"/>
        </w:rPr>
      </w:pPr>
      <w:r>
        <w:rPr>
          <w:rFonts w:eastAsia="Arial" w:cs="Arial"/>
          <w:sz w:val="20"/>
          <w:szCs w:val="20"/>
        </w:rPr>
        <w:t>If an employee of KCD becomes aware of any act that might constitute a Disciplinary or Financial Event, he or she shall promptly inform the Chief Compliance Officer of the act and any relevant facts related to the act.</w:t>
      </w:r>
    </w:p>
    <w:p>
      <w:pPr>
        <w:pStyle w:val="normal0"/>
        <w:spacing w:before="200" w:after="200"/>
        <w:rPr>
          <w:rFonts w:eastAsia="Arial" w:cs="Arial"/>
          <w:sz w:val="20"/>
          <w:szCs w:val="20"/>
        </w:rPr>
      </w:pPr>
      <w:r>
        <w:rPr>
          <w:rFonts w:eastAsia="Arial" w:cs="Arial"/>
          <w:sz w:val="20"/>
          <w:szCs w:val="20"/>
        </w:rPr>
        <w:t>The Chief Compliance Officer in consultation with inside or outside legal counsel or others shall determine whether the reported act constitutes a Disciplinary or Financial Event after considering the facts and circumstances surrounding the act.</w:t>
      </w:r>
    </w:p>
    <w:p>
      <w:pPr>
        <w:pStyle w:val="normal0"/>
        <w:spacing w:before="200" w:after="200"/>
        <w:rPr>
          <w:rFonts w:eastAsia="Arial" w:cs="Arial"/>
          <w:sz w:val="20"/>
          <w:szCs w:val="20"/>
        </w:rPr>
      </w:pPr>
      <w:r>
        <w:rPr>
          <w:rFonts w:eastAsia="Arial" w:cs="Arial"/>
          <w:sz w:val="20"/>
          <w:szCs w:val="20"/>
        </w:rPr>
        <w:t>KCD will:</w:t>
      </w:r>
    </w:p>
    <w:p>
      <w:pPr>
        <w:numPr>
          <w:ilvl w:val="0"/>
          <w:numId w:val="741"/>
        </w:numPr>
        <w:spacing w:before="200"/>
        <w:ind w:left="720" w:hanging="192"/>
        <w:jc w:val="left"/>
        <w:rPr>
          <w:rFonts w:eastAsia="Arial" w:cs="Arial"/>
          <w:sz w:val="20"/>
          <w:szCs w:val="20"/>
        </w:rPr>
      </w:pPr>
      <w:r>
        <w:rPr>
          <w:rFonts w:eastAsia="Arial" w:cs="Arial"/>
          <w:sz w:val="20"/>
          <w:szCs w:val="20"/>
        </w:rPr>
        <w:t xml:space="preserve">Disclose a Disciplinary Event to each client and prospective client; and </w:t>
      </w:r>
    </w:p>
    <w:p>
      <w:pPr>
        <w:numPr>
          <w:ilvl w:val="0"/>
          <w:numId w:val="741"/>
        </w:numPr>
        <w:ind w:left="720" w:hanging="192"/>
        <w:jc w:val="left"/>
        <w:rPr>
          <w:rFonts w:eastAsia="Arial" w:cs="Arial"/>
          <w:sz w:val="20"/>
          <w:szCs w:val="20"/>
        </w:rPr>
      </w:pPr>
      <w:r>
        <w:rPr>
          <w:rFonts w:eastAsia="Arial" w:cs="Arial"/>
          <w:sz w:val="20"/>
          <w:szCs w:val="20"/>
        </w:rPr>
        <w:t xml:space="preserve">Disclose a Financial Event to each client and prospective client if: </w:t>
      </w:r>
    </w:p>
    <w:p>
      <w:pPr>
        <w:numPr>
          <w:ilvl w:val="1"/>
          <w:numId w:val="741"/>
        </w:numPr>
        <w:ind w:left="1440" w:hanging="220"/>
        <w:jc w:val="left"/>
        <w:rPr>
          <w:rFonts w:eastAsia="Arial" w:cs="Arial"/>
          <w:sz w:val="20"/>
          <w:szCs w:val="20"/>
        </w:rPr>
      </w:pPr>
      <w:r>
        <w:rPr>
          <w:rFonts w:eastAsia="Arial" w:cs="Arial"/>
          <w:sz w:val="20"/>
          <w:szCs w:val="20"/>
        </w:rPr>
        <w:t xml:space="preserve">KCD has discretionary authority over or custody of clients; or </w:t>
      </w:r>
    </w:p>
    <w:p>
      <w:pPr>
        <w:numPr>
          <w:ilvl w:val="1"/>
          <w:numId w:val="741"/>
        </w:numPr>
        <w:spacing w:after="200"/>
        <w:ind w:left="1440" w:hanging="220"/>
        <w:jc w:val="left"/>
        <w:rPr>
          <w:rFonts w:eastAsia="Arial" w:cs="Arial"/>
          <w:sz w:val="20"/>
          <w:szCs w:val="20"/>
        </w:rPr>
      </w:pPr>
      <w:r>
        <w:rPr>
          <w:rFonts w:eastAsia="Arial" w:cs="Arial"/>
          <w:sz w:val="20"/>
          <w:szCs w:val="20"/>
        </w:rPr>
        <w:t>Requires prepayment of advisory fees of more than $500 from such clients, six months or more in advance.</w:t>
      </w:r>
    </w:p>
    <w:p>
      <w:pPr>
        <w:pStyle w:val="normal0"/>
        <w:spacing w:before="200" w:after="200"/>
        <w:rPr>
          <w:rFonts w:eastAsia="Arial" w:cs="Arial"/>
          <w:sz w:val="20"/>
          <w:szCs w:val="20"/>
        </w:rPr>
      </w:pPr>
      <w:r>
        <w:rPr>
          <w:rFonts w:eastAsia="Arial" w:cs="Arial"/>
          <w:sz w:val="20"/>
          <w:szCs w:val="20"/>
        </w:rPr>
        <w:t>KCD will disclose the Disciplinary Event or Financial Event in writing in Parts 2A (Firm Brochure) and 2B (Brochure Supplement), when appropriate of its Form ADV or separate document:</w:t>
      </w:r>
    </w:p>
    <w:p>
      <w:pPr>
        <w:numPr>
          <w:ilvl w:val="0"/>
          <w:numId w:val="742"/>
        </w:numPr>
        <w:spacing w:before="200"/>
        <w:ind w:left="720" w:hanging="192"/>
        <w:jc w:val="left"/>
        <w:rPr>
          <w:rFonts w:eastAsia="Arial" w:cs="Arial"/>
          <w:sz w:val="20"/>
          <w:szCs w:val="20"/>
        </w:rPr>
      </w:pPr>
      <w:r>
        <w:rPr>
          <w:rFonts w:eastAsia="Arial" w:cs="Arial"/>
          <w:sz w:val="20"/>
          <w:szCs w:val="20"/>
        </w:rPr>
        <w:t xml:space="preserve">Promptly to existing clients; and </w:t>
      </w:r>
    </w:p>
    <w:p>
      <w:pPr>
        <w:numPr>
          <w:ilvl w:val="0"/>
          <w:numId w:val="742"/>
        </w:numPr>
        <w:spacing w:after="200"/>
        <w:ind w:left="720" w:hanging="192"/>
        <w:jc w:val="left"/>
        <w:rPr>
          <w:rFonts w:eastAsia="Arial" w:cs="Arial"/>
          <w:sz w:val="20"/>
          <w:szCs w:val="20"/>
        </w:rPr>
      </w:pPr>
      <w:r>
        <w:rPr>
          <w:rFonts w:eastAsia="Arial" w:cs="Arial"/>
          <w:sz w:val="20"/>
          <w:szCs w:val="20"/>
        </w:rPr>
        <w:t>To prospective clients when it delivers Parts 2A and 2B (when appropriate) of its Form ADV.</w:t>
      </w:r>
    </w:p>
    <w:p>
      <w:pPr>
        <w:pStyle w:val="normal0"/>
        <w:spacing w:before="200" w:after="200"/>
        <w:rPr>
          <w:rFonts w:eastAsia="Arial" w:cs="Arial"/>
          <w:sz w:val="20"/>
          <w:szCs w:val="20"/>
        </w:rPr>
      </w:pPr>
      <w:r>
        <w:rPr>
          <w:rFonts w:eastAsia="Arial" w:cs="Arial"/>
          <w:sz w:val="20"/>
          <w:szCs w:val="20"/>
        </w:rPr>
        <w:t>The Chief Compliance Officer in consultation with inside or outside legal counsel or others shall determine when the Disciplinary Event or Financial Event ceases to exist in accordance with any applicable laws or rules, and take appropriate action, including amending Part 2A or 2B (when appropriate) of KCD's Form ADV.</w:t>
      </w:r>
    </w:p>
    <w:p>
      <w:bookmarkEnd w:id="856"/>
      <w:bookmarkStart w:id="857" w:name="Sec_Chp_061016102257046_061016102257875"/>
    </w:p>
    <w:p>
      <w:pPr>
        <w:pStyle w:val="Heading4"/>
      </w:pPr>
      <w:r>
        <w:t>11.3.5.4 Amendment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be responsible for coordinating, filing and updating KCD's Form ADV.</w:t>
      </w:r>
    </w:p>
    <w:p>
      <w:bookmarkEnd w:id="857"/>
      <w:bookmarkStart w:id="858" w:name="Sec_Chp_061016102257046_061016102257890"/>
    </w:p>
    <w:p>
      <w:pPr>
        <w:pStyle w:val="Heading5"/>
      </w:pPr>
      <w:r>
        <w:t>11.3.5.4.1 Amendment of Part 1A</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To amend Part 1A of Form ADV, the Chief Compliance Officer will take the following steps: </w:t>
      </w:r>
    </w:p>
    <w:p>
      <w:pPr>
        <w:numPr>
          <w:ilvl w:val="0"/>
          <w:numId w:val="743"/>
        </w:numPr>
        <w:spacing w:before="200"/>
        <w:ind w:left="720" w:hanging="192"/>
        <w:jc w:val="left"/>
        <w:rPr>
          <w:rFonts w:eastAsia="Arial" w:cs="Arial"/>
          <w:sz w:val="20"/>
          <w:szCs w:val="20"/>
        </w:rPr>
      </w:pPr>
      <w:r>
        <w:rPr>
          <w:rFonts w:eastAsia="Arial" w:cs="Arial"/>
          <w:sz w:val="20"/>
          <w:szCs w:val="20"/>
        </w:rPr>
        <w:t xml:space="preserve">Logon to the IARD. </w:t>
      </w:r>
    </w:p>
    <w:p>
      <w:pPr>
        <w:numPr>
          <w:ilvl w:val="0"/>
          <w:numId w:val="743"/>
        </w:numPr>
        <w:ind w:left="720" w:hanging="192"/>
        <w:jc w:val="left"/>
        <w:rPr>
          <w:rFonts w:eastAsia="Arial" w:cs="Arial"/>
          <w:sz w:val="20"/>
          <w:szCs w:val="20"/>
        </w:rPr>
      </w:pPr>
      <w:r>
        <w:rPr>
          <w:rFonts w:eastAsia="Arial" w:cs="Arial"/>
          <w:sz w:val="20"/>
          <w:szCs w:val="20"/>
        </w:rPr>
        <w:t xml:space="preserve">In the Forms section/tab, choose "ADV New Filing." </w:t>
      </w:r>
    </w:p>
    <w:p>
      <w:pPr>
        <w:numPr>
          <w:ilvl w:val="0"/>
          <w:numId w:val="743"/>
        </w:numPr>
        <w:ind w:left="720" w:hanging="192"/>
        <w:jc w:val="left"/>
        <w:rPr>
          <w:rFonts w:eastAsia="Arial" w:cs="Arial"/>
          <w:sz w:val="20"/>
          <w:szCs w:val="20"/>
        </w:rPr>
      </w:pPr>
      <w:r>
        <w:rPr>
          <w:rFonts w:eastAsia="Arial" w:cs="Arial"/>
          <w:sz w:val="20"/>
          <w:szCs w:val="20"/>
        </w:rPr>
        <w:t xml:space="preserve">Select the filing type: "Submit Annual Amendment" or "Submit an Other-than-Annual Amendment" to KCD's registration. </w:t>
      </w:r>
    </w:p>
    <w:p>
      <w:pPr>
        <w:numPr>
          <w:ilvl w:val="0"/>
          <w:numId w:val="743"/>
        </w:numPr>
        <w:ind w:left="720" w:hanging="192"/>
        <w:jc w:val="left"/>
        <w:rPr>
          <w:rFonts w:eastAsia="Arial" w:cs="Arial"/>
          <w:sz w:val="20"/>
          <w:szCs w:val="20"/>
        </w:rPr>
      </w:pPr>
      <w:r>
        <w:rPr>
          <w:rFonts w:eastAsia="Arial" w:cs="Arial"/>
          <w:sz w:val="20"/>
          <w:szCs w:val="20"/>
        </w:rPr>
        <w:t xml:space="preserve">Enter the appropriate information on the form. </w:t>
      </w:r>
    </w:p>
    <w:p>
      <w:pPr>
        <w:numPr>
          <w:ilvl w:val="0"/>
          <w:numId w:val="743"/>
        </w:numPr>
        <w:ind w:left="720" w:hanging="192"/>
        <w:jc w:val="left"/>
        <w:rPr>
          <w:rFonts w:eastAsia="Arial" w:cs="Arial"/>
          <w:sz w:val="20"/>
          <w:szCs w:val="20"/>
        </w:rPr>
      </w:pPr>
      <w:r>
        <w:rPr>
          <w:rFonts w:eastAsia="Arial" w:cs="Arial"/>
          <w:sz w:val="20"/>
          <w:szCs w:val="20"/>
        </w:rPr>
        <w:t xml:space="preserve">When the Chief Compliance Officer has finished amending KCD's Form ADV, he or she will: </w:t>
      </w:r>
    </w:p>
    <w:p>
      <w:pPr>
        <w:numPr>
          <w:ilvl w:val="1"/>
          <w:numId w:val="743"/>
        </w:numPr>
        <w:ind w:left="1440" w:hanging="220"/>
        <w:jc w:val="left"/>
        <w:rPr>
          <w:rFonts w:eastAsia="Arial" w:cs="Arial"/>
          <w:sz w:val="20"/>
          <w:szCs w:val="20"/>
        </w:rPr>
      </w:pPr>
      <w:r>
        <w:rPr>
          <w:rFonts w:eastAsia="Arial" w:cs="Arial"/>
          <w:sz w:val="20"/>
          <w:szCs w:val="20"/>
        </w:rPr>
        <w:t xml:space="preserve">complete the appropriate Execution Page, </w:t>
      </w:r>
    </w:p>
    <w:p>
      <w:pPr>
        <w:numPr>
          <w:ilvl w:val="1"/>
          <w:numId w:val="743"/>
        </w:numPr>
        <w:ind w:left="1440" w:hanging="220"/>
        <w:jc w:val="left"/>
        <w:rPr>
          <w:rFonts w:eastAsia="Arial" w:cs="Arial"/>
          <w:sz w:val="20"/>
          <w:szCs w:val="20"/>
        </w:rPr>
      </w:pPr>
      <w:r>
        <w:rPr>
          <w:rFonts w:eastAsia="Arial" w:cs="Arial"/>
          <w:sz w:val="20"/>
          <w:szCs w:val="20"/>
        </w:rPr>
        <w:t xml:space="preserve">run the completeness check, </w:t>
      </w:r>
    </w:p>
    <w:p>
      <w:pPr>
        <w:numPr>
          <w:ilvl w:val="1"/>
          <w:numId w:val="743"/>
        </w:numPr>
        <w:ind w:left="1440" w:hanging="220"/>
        <w:jc w:val="left"/>
        <w:rPr>
          <w:rFonts w:eastAsia="Arial" w:cs="Arial"/>
          <w:sz w:val="20"/>
          <w:szCs w:val="20"/>
        </w:rPr>
      </w:pPr>
      <w:r>
        <w:rPr>
          <w:rFonts w:eastAsia="Arial" w:cs="Arial"/>
          <w:sz w:val="20"/>
          <w:szCs w:val="20"/>
        </w:rPr>
        <w:t xml:space="preserve">correct any completeness errors, and </w:t>
      </w:r>
    </w:p>
    <w:p>
      <w:pPr>
        <w:numPr>
          <w:ilvl w:val="1"/>
          <w:numId w:val="743"/>
        </w:numPr>
        <w:spacing w:after="200"/>
        <w:ind w:left="1440" w:hanging="220"/>
        <w:jc w:val="left"/>
        <w:rPr>
          <w:rFonts w:eastAsia="Arial" w:cs="Arial"/>
          <w:sz w:val="20"/>
          <w:szCs w:val="20"/>
        </w:rPr>
      </w:pPr>
      <w:r>
        <w:rPr>
          <w:rFonts w:eastAsia="Arial" w:cs="Arial"/>
          <w:sz w:val="20"/>
          <w:szCs w:val="20"/>
        </w:rPr>
        <w:t xml:space="preserve">submit the filing. </w:t>
      </w:r>
    </w:p>
    <w:p>
      <w:bookmarkEnd w:id="858"/>
      <w:bookmarkStart w:id="859" w:name="Sec_Chp_061016102257046_061016102257906"/>
    </w:p>
    <w:p>
      <w:pPr>
        <w:pStyle w:val="Heading5"/>
      </w:pPr>
      <w:r>
        <w:t>11.3.5.4.2 Amendments of Part 2A and Part 2B</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amend its Part 2A (Firm Brochure) with any updates at least annually, within 90 days after KCD's fiscal year end, and in between annual updating amendments when any information in the Part 2A becomes materially inaccurate. All annual and interim updating amendments will be filed with the SEC.</w:t>
      </w:r>
    </w:p>
    <w:p>
      <w:pPr>
        <w:pStyle w:val="normal0"/>
        <w:spacing w:before="200" w:after="200"/>
        <w:rPr>
          <w:rFonts w:eastAsia="Arial" w:cs="Arial"/>
          <w:sz w:val="20"/>
          <w:szCs w:val="20"/>
        </w:rPr>
      </w:pPr>
      <w:r>
        <w:rPr>
          <w:rFonts w:eastAsia="Arial" w:cs="Arial"/>
          <w:sz w:val="20"/>
          <w:szCs w:val="20"/>
        </w:rPr>
        <w:t xml:space="preserve">KCD will amend any Part 2B (Brochure Supplement) promptly if it becomes materially inaccurate. KCD is not required to update its Part 2Bs on an annual basis. </w:t>
      </w:r>
    </w:p>
    <w:p>
      <w:pPr>
        <w:pStyle w:val="normal0"/>
        <w:spacing w:before="200" w:after="200"/>
        <w:rPr>
          <w:rFonts w:eastAsia="Arial" w:cs="Arial"/>
          <w:sz w:val="20"/>
          <w:szCs w:val="20"/>
        </w:rPr>
      </w:pPr>
      <w:r>
        <w:rPr>
          <w:rFonts w:eastAsia="Arial" w:cs="Arial"/>
          <w:sz w:val="20"/>
          <w:szCs w:val="20"/>
        </w:rPr>
        <w:t>Neither the Part 2Bs nor any amendments to the Part 2Bs are required to be filed with the SEC. KCD will maintain in its files copies of all Part 2Bs and any amendments thereto.</w:t>
      </w:r>
    </w:p>
    <w:p>
      <w:bookmarkEnd w:id="859"/>
      <w:bookmarkStart w:id="860" w:name="Sec_Chp_061016102257046_06101610113543"/>
    </w:p>
    <w:p>
      <w:pPr>
        <w:pStyle w:val="Heading5"/>
      </w:pPr>
      <w:r>
        <w:t>11.3.5.4.3 Circulation and Approval of Amended Disclosure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updating and amending disclosure in KCD's Form ADV, the following steps shall be followed:</w:t>
      </w:r>
    </w:p>
    <w:p>
      <w:pPr>
        <w:numPr>
          <w:ilvl w:val="0"/>
          <w:numId w:val="744"/>
        </w:numPr>
        <w:spacing w:before="200"/>
        <w:ind w:left="720" w:hanging="192"/>
        <w:jc w:val="left"/>
        <w:rPr>
          <w:rFonts w:eastAsia="Arial" w:cs="Arial"/>
          <w:sz w:val="20"/>
          <w:szCs w:val="20"/>
        </w:rPr>
      </w:pPr>
      <w:r>
        <w:rPr>
          <w:rFonts w:eastAsia="Arial" w:cs="Arial"/>
          <w:sz w:val="20"/>
          <w:szCs w:val="20"/>
        </w:rPr>
        <w:t>An up-to-date list of employees who must sign off of the entire final amendment or selected sections of the Form ADV shall be maintained, which shall include at a minimum:</w:t>
      </w:r>
    </w:p>
    <w:p>
      <w:pPr>
        <w:numPr>
          <w:ilvl w:val="1"/>
          <w:numId w:val="744"/>
        </w:numPr>
        <w:ind w:left="1440" w:hanging="220"/>
        <w:jc w:val="left"/>
        <w:rPr>
          <w:rFonts w:eastAsia="Arial" w:cs="Arial"/>
          <w:sz w:val="20"/>
          <w:szCs w:val="20"/>
        </w:rPr>
      </w:pPr>
      <w:r>
        <w:rPr>
          <w:rFonts w:eastAsia="Arial" w:cs="Arial"/>
          <w:sz w:val="20"/>
          <w:szCs w:val="20"/>
        </w:rPr>
        <w:t>each officer of KCD listed in Schedule A of Form ADV, including the Chief Compliance Officer; and</w:t>
      </w:r>
    </w:p>
    <w:p>
      <w:pPr>
        <w:numPr>
          <w:ilvl w:val="1"/>
          <w:numId w:val="744"/>
        </w:numPr>
        <w:ind w:left="1440" w:hanging="220"/>
        <w:jc w:val="left"/>
        <w:rPr>
          <w:rFonts w:eastAsia="Arial" w:cs="Arial"/>
          <w:sz w:val="20"/>
          <w:szCs w:val="20"/>
        </w:rPr>
      </w:pPr>
      <w:r>
        <w:rPr>
          <w:rFonts w:eastAsia="Arial" w:cs="Arial"/>
          <w:sz w:val="20"/>
          <w:szCs w:val="20"/>
        </w:rPr>
        <w:t>each person named in any section of Form ADV.</w:t>
      </w:r>
    </w:p>
    <w:p>
      <w:pPr>
        <w:numPr>
          <w:ilvl w:val="0"/>
          <w:numId w:val="744"/>
        </w:numPr>
        <w:ind w:left="720" w:hanging="192"/>
        <w:jc w:val="left"/>
        <w:rPr>
          <w:rFonts w:eastAsia="Arial" w:cs="Arial"/>
          <w:sz w:val="20"/>
          <w:szCs w:val="20"/>
        </w:rPr>
      </w:pPr>
      <w:r>
        <w:rPr>
          <w:rFonts w:eastAsia="Arial" w:cs="Arial"/>
          <w:sz w:val="20"/>
          <w:szCs w:val="20"/>
        </w:rPr>
        <w:t>The Chief Compliance Officer or other designated employee shall draft the amended language;</w:t>
      </w:r>
    </w:p>
    <w:p>
      <w:pPr>
        <w:numPr>
          <w:ilvl w:val="0"/>
          <w:numId w:val="744"/>
        </w:numPr>
        <w:ind w:left="720" w:hanging="192"/>
        <w:jc w:val="left"/>
        <w:rPr>
          <w:rFonts w:eastAsia="Arial" w:cs="Arial"/>
          <w:sz w:val="20"/>
          <w:szCs w:val="20"/>
        </w:rPr>
      </w:pPr>
      <w:r>
        <w:rPr>
          <w:rFonts w:eastAsia="Arial" w:cs="Arial"/>
          <w:sz w:val="20"/>
          <w:szCs w:val="20"/>
        </w:rPr>
        <w:t>A cover sheet naming the employees above, followed by a signature line and date, shall be attached to the completed amended language;</w:t>
      </w:r>
    </w:p>
    <w:p>
      <w:pPr>
        <w:numPr>
          <w:ilvl w:val="0"/>
          <w:numId w:val="744"/>
        </w:numPr>
        <w:ind w:left="720" w:hanging="192"/>
        <w:jc w:val="left"/>
        <w:rPr>
          <w:rFonts w:eastAsia="Arial" w:cs="Arial"/>
          <w:sz w:val="20"/>
          <w:szCs w:val="20"/>
        </w:rPr>
      </w:pPr>
      <w:r>
        <w:rPr>
          <w:rFonts w:eastAsia="Arial" w:cs="Arial"/>
          <w:sz w:val="20"/>
          <w:szCs w:val="20"/>
        </w:rPr>
        <w:t>Each applicable employee shall receive the amended language with the cover sheet, which shall indicate: (i) whether such employee shall review the entire document, and if not, the section(s) that he or she must review; (ii) a request that such person review and edit the document; and (iii) the deadline for returning the edited document and signed cover sheet;</w:t>
      </w:r>
    </w:p>
    <w:p>
      <w:pPr>
        <w:numPr>
          <w:ilvl w:val="0"/>
          <w:numId w:val="744"/>
        </w:numPr>
        <w:ind w:left="720" w:hanging="192"/>
        <w:jc w:val="left"/>
        <w:rPr>
          <w:rFonts w:eastAsia="Arial" w:cs="Arial"/>
          <w:sz w:val="20"/>
          <w:szCs w:val="20"/>
        </w:rPr>
      </w:pPr>
      <w:r>
        <w:rPr>
          <w:rFonts w:eastAsia="Arial" w:cs="Arial"/>
          <w:sz w:val="20"/>
          <w:szCs w:val="20"/>
        </w:rPr>
        <w:t>Edited pages shall be collected and the edits, when appropriate, shall be made to the master amendment;</w:t>
      </w:r>
    </w:p>
    <w:p>
      <w:pPr>
        <w:numPr>
          <w:ilvl w:val="0"/>
          <w:numId w:val="744"/>
        </w:numPr>
        <w:ind w:left="720" w:hanging="192"/>
        <w:jc w:val="left"/>
        <w:rPr>
          <w:rFonts w:eastAsia="Arial" w:cs="Arial"/>
          <w:sz w:val="20"/>
          <w:szCs w:val="20"/>
        </w:rPr>
      </w:pPr>
      <w:r>
        <w:rPr>
          <w:rFonts w:eastAsia="Arial" w:cs="Arial"/>
          <w:sz w:val="20"/>
          <w:szCs w:val="20"/>
        </w:rPr>
        <w:t xml:space="preserve">If necessary, the master amendment shall be submitted to outside counsel, sub-advisers, auditors or vendors for review and edits; </w:t>
      </w:r>
    </w:p>
    <w:p>
      <w:pPr>
        <w:numPr>
          <w:ilvl w:val="0"/>
          <w:numId w:val="744"/>
        </w:numPr>
        <w:ind w:left="720" w:hanging="192"/>
        <w:jc w:val="left"/>
        <w:rPr>
          <w:rFonts w:eastAsia="Arial" w:cs="Arial"/>
          <w:sz w:val="20"/>
          <w:szCs w:val="20"/>
        </w:rPr>
      </w:pPr>
      <w:r>
        <w:rPr>
          <w:rFonts w:eastAsia="Arial" w:cs="Arial"/>
          <w:sz w:val="20"/>
          <w:szCs w:val="20"/>
        </w:rPr>
        <w:t xml:space="preserve">When near final completion, the master amendment shall be circulated to all employees who have submitted edits, the Chief Executive Officer, the Chief Compliance Officer and the employee who signs the Form ADV and such persons shall be requested to provide any final edits; </w:t>
      </w:r>
    </w:p>
    <w:p>
      <w:pPr>
        <w:numPr>
          <w:ilvl w:val="0"/>
          <w:numId w:val="744"/>
        </w:numPr>
        <w:ind w:left="720" w:hanging="192"/>
        <w:jc w:val="left"/>
        <w:rPr>
          <w:rFonts w:eastAsia="Arial" w:cs="Arial"/>
          <w:sz w:val="20"/>
          <w:szCs w:val="20"/>
        </w:rPr>
      </w:pPr>
      <w:r>
        <w:rPr>
          <w:rFonts w:eastAsia="Arial" w:cs="Arial"/>
          <w:sz w:val="20"/>
          <w:szCs w:val="20"/>
        </w:rPr>
        <w:t>The filing containing the amended language shall be filed via the IARD by the applicable deadline; and</w:t>
      </w:r>
    </w:p>
    <w:p>
      <w:pPr>
        <w:numPr>
          <w:ilvl w:val="0"/>
          <w:numId w:val="744"/>
        </w:numPr>
        <w:spacing w:after="200"/>
        <w:ind w:left="720" w:hanging="192"/>
        <w:jc w:val="left"/>
        <w:rPr>
          <w:rFonts w:eastAsia="Arial" w:cs="Arial"/>
          <w:sz w:val="20"/>
          <w:szCs w:val="20"/>
        </w:rPr>
      </w:pPr>
      <w:r>
        <w:rPr>
          <w:rFonts w:eastAsia="Arial" w:cs="Arial"/>
          <w:sz w:val="20"/>
          <w:szCs w:val="20"/>
        </w:rPr>
        <w:t>The amended filing and cover sheets (but not prior drafts, marked pages or other preparatory material) shall be maintained in KCD's books and records.</w:t>
      </w:r>
    </w:p>
    <w:p>
      <w:bookmarkEnd w:id="860"/>
    </w:p>
    <w:p>
      <w:pPr>
        <w:pStyle w:val="Heading3"/>
      </w:pPr>
      <w:bookmarkStart w:id="861" w:name="_Toc256000220"/>
      <w:r>
        <w:t>11.3.6 Relationship Summary</w:t>
      </w:r>
      <w:bookmarkEnd w:id="861"/>
    </w:p>
    <w:p/>
    <w:p>
      <w:pPr>
        <w:rPr>
          <w:rFonts w:eastAsia="Arial" w:cs="Arial"/>
          <w:sz w:val="16"/>
          <w:szCs w:val="16"/>
        </w:rPr>
      </w:pPr>
      <w:r>
        <w:rPr>
          <w:rFonts w:eastAsia="Arial" w:cs="Arial"/>
          <w:sz w:val="16"/>
          <w:szCs w:val="16"/>
        </w:rPr>
        <w:t>[Form CRS Relationship Summary, Amendments to Form ADV, Investment Advisers Act Rel. No. 5247 (June 5, 2019)]</w:t>
      </w:r>
    </w:p>
    <w:p/>
    <w:p>
      <w:pPr>
        <w:pStyle w:val="normal0"/>
        <w:spacing w:after="200"/>
        <w:rPr>
          <w:rFonts w:eastAsia="Arial" w:cs="Arial"/>
          <w:sz w:val="20"/>
          <w:szCs w:val="20"/>
        </w:rPr>
      </w:pPr>
      <w:r>
        <w:rPr>
          <w:rFonts w:eastAsia="Arial" w:cs="Arial"/>
          <w:sz w:val="20"/>
          <w:szCs w:val="20"/>
        </w:rPr>
        <w:t>The SEC designed the Relationship Summary, which is set forth on Form CRS, to provide advisory clients with succinct information about the relationships and services the adviser offers, fees and costs that clients will pay, specified conflicts of interest and standards of conduct, and disciplinary history, among other things.</w:t>
      </w:r>
    </w:p>
    <w:p>
      <w:pPr>
        <w:pStyle w:val="normal0"/>
        <w:spacing w:before="200" w:after="200"/>
        <w:rPr>
          <w:rFonts w:eastAsia="Arial" w:cs="Arial"/>
          <w:sz w:val="20"/>
          <w:szCs w:val="20"/>
        </w:rPr>
      </w:pPr>
      <w:r>
        <w:rPr>
          <w:rFonts w:eastAsia="Arial" w:cs="Arial"/>
          <w:sz w:val="20"/>
          <w:szCs w:val="20"/>
        </w:rPr>
        <w:t xml:space="preserve">An SEC-registered investment adviser is required to deliver its Relationship Summary to new, prospective, and existing retail clients and post its current Relationship Summary prominently on its website, if it has one. In addition, an SEC-registered investment adviser is required to annually and in some cases promptly update and file its Relationship Summary. </w:t>
      </w:r>
    </w:p>
    <w:p/>
    <w:p>
      <w:pPr>
        <w:pStyle w:val="Heading4"/>
      </w:pPr>
      <w:r>
        <w:t>11.3.6.1 Relationship Summary Contents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Relationship Summary is a disclosure document designed by the SEC to clarify the relationship between KCD and its retail (but not non-retail) clients. An investment adviser without retail customers is not required to provide a Relationship Summary to its clients or submit such document to regulators. SEC Form CRS sets forth the required contents of a Relationship Summary. Form CRS must be filed with the SEC and delivered to retail clients. The Compliance Manual shall contain KCD's Form of Relationship Summary.</w:t>
      </w:r>
    </w:p>
    <w:p>
      <w:pPr>
        <w:pStyle w:val="normal0"/>
        <w:spacing w:before="200" w:after="200"/>
        <w:rPr>
          <w:rFonts w:eastAsia="Arial" w:cs="Arial"/>
          <w:sz w:val="20"/>
          <w:szCs w:val="20"/>
        </w:rPr>
      </w:pPr>
      <w:r>
        <w:rPr>
          <w:rFonts w:eastAsia="Arial" w:cs="Arial"/>
          <w:sz w:val="20"/>
          <w:szCs w:val="20"/>
        </w:rPr>
        <w:t>KCD's Relationship Summary shall consist of the following sections completed in accordance with the Item Instructions of Form CSR and be presented in the order given below:</w:t>
      </w:r>
    </w:p>
    <w:p>
      <w:pPr>
        <w:pStyle w:val="normal0"/>
        <w:spacing w:before="200" w:after="200"/>
        <w:rPr>
          <w:rFonts w:eastAsia="Arial" w:cs="Arial"/>
          <w:sz w:val="20"/>
          <w:szCs w:val="20"/>
        </w:rPr>
      </w:pPr>
      <w:r>
        <w:rPr>
          <w:rFonts w:eastAsia="Arial" w:cs="Arial"/>
          <w:sz w:val="20"/>
          <w:szCs w:val="20"/>
        </w:rPr>
        <w:t xml:space="preserve">1. </w:t>
      </w:r>
      <w:r>
        <w:rPr>
          <w:rFonts w:eastAsia="Arial" w:cs="Arial"/>
          <w:b/>
          <w:bCs/>
          <w:sz w:val="20"/>
          <w:szCs w:val="20"/>
        </w:rPr>
        <w:t>Introduction and Date (Item 1 of Form CSR)</w:t>
      </w:r>
    </w:p>
    <w:p>
      <w:pPr>
        <w:pStyle w:val="normal0"/>
        <w:spacing w:before="200" w:after="200"/>
        <w:rPr>
          <w:rFonts w:eastAsia="Arial" w:cs="Arial"/>
          <w:sz w:val="20"/>
          <w:szCs w:val="20"/>
        </w:rPr>
      </w:pPr>
      <w:r>
        <w:rPr>
          <w:rFonts w:eastAsia="Arial" w:cs="Arial"/>
          <w:sz w:val="20"/>
          <w:szCs w:val="20"/>
        </w:rPr>
        <w:t>The date of the Relationship Summary must appear prominently at the beginning of the Relationship Summary (</w:t>
      </w:r>
      <w:r>
        <w:rPr>
          <w:rFonts w:eastAsia="Arial" w:cs="Arial"/>
          <w:i/>
          <w:iCs/>
          <w:sz w:val="20"/>
          <w:szCs w:val="20"/>
        </w:rPr>
        <w:t>e.g.</w:t>
      </w:r>
      <w:r>
        <w:rPr>
          <w:rFonts w:eastAsia="Arial" w:cs="Arial"/>
          <w:sz w:val="20"/>
          <w:szCs w:val="20"/>
        </w:rPr>
        <w:t>, in the header or footer of the first page or in a similar location for a Relationship Summary provided electronically) and make the other requirements of Item 1 of Form CRS.</w:t>
      </w:r>
    </w:p>
    <w:p>
      <w:pPr>
        <w:pStyle w:val="normal0"/>
        <w:spacing w:before="200" w:after="200"/>
        <w:rPr>
          <w:rFonts w:eastAsia="Arial" w:cs="Arial"/>
          <w:sz w:val="20"/>
          <w:szCs w:val="20"/>
        </w:rPr>
      </w:pPr>
      <w:r>
        <w:rPr>
          <w:rFonts w:eastAsia="Arial" w:cs="Arial"/>
          <w:sz w:val="20"/>
          <w:szCs w:val="20"/>
        </w:rPr>
        <w:t xml:space="preserve">2. </w:t>
      </w:r>
      <w:r>
        <w:rPr>
          <w:rFonts w:eastAsia="Arial" w:cs="Arial"/>
          <w:b/>
          <w:bCs/>
          <w:sz w:val="20"/>
          <w:szCs w:val="20"/>
        </w:rPr>
        <w:t>Relationships and Services (Item 2 of Form CSR)</w:t>
      </w:r>
    </w:p>
    <w:p>
      <w:pPr>
        <w:pStyle w:val="normal0"/>
        <w:spacing w:before="200" w:after="200"/>
        <w:rPr>
          <w:rFonts w:eastAsia="Arial" w:cs="Arial"/>
          <w:sz w:val="20"/>
          <w:szCs w:val="20"/>
        </w:rPr>
      </w:pPr>
      <w:r>
        <w:rPr>
          <w:rFonts w:eastAsia="Arial" w:cs="Arial"/>
          <w:sz w:val="20"/>
          <w:szCs w:val="20"/>
        </w:rPr>
        <w:t>KCD's investment advisory services offered to retail clients shall be disclosed in the Relationship Summary including summaries of the principal services, accounts, or investments it makes available to retail clients, and any material limitations on such services. Additionally, this section must include the five "conversational services" listed in Item 2 of Form CSR.</w:t>
      </w:r>
    </w:p>
    <w:p>
      <w:pPr>
        <w:pStyle w:val="normal0"/>
        <w:spacing w:before="200" w:after="200"/>
        <w:rPr>
          <w:rFonts w:eastAsia="Arial" w:cs="Arial"/>
          <w:sz w:val="20"/>
          <w:szCs w:val="20"/>
        </w:rPr>
      </w:pPr>
      <w:r>
        <w:rPr>
          <w:rFonts w:eastAsia="Arial" w:cs="Arial"/>
          <w:sz w:val="20"/>
          <w:szCs w:val="20"/>
        </w:rPr>
        <w:t xml:space="preserve">3. </w:t>
      </w:r>
      <w:r>
        <w:rPr>
          <w:rFonts w:eastAsia="Arial" w:cs="Arial"/>
          <w:b/>
          <w:bCs/>
          <w:sz w:val="20"/>
          <w:szCs w:val="20"/>
        </w:rPr>
        <w:t>Fees, Costs, Conflicts and Standards of Conduct (Item 3 of Form CSR)</w:t>
      </w:r>
    </w:p>
    <w:p>
      <w:pPr>
        <w:pStyle w:val="normal0"/>
        <w:spacing w:before="200" w:after="200"/>
        <w:rPr>
          <w:rFonts w:eastAsia="Arial" w:cs="Arial"/>
          <w:sz w:val="20"/>
          <w:szCs w:val="20"/>
        </w:rPr>
      </w:pPr>
      <w:r>
        <w:rPr>
          <w:rFonts w:eastAsia="Arial" w:cs="Arial"/>
          <w:sz w:val="20"/>
          <w:szCs w:val="20"/>
        </w:rPr>
        <w:t>KCD's ongoing asset-based fees, fixed fees, wrap fee program fees, or other direct fee arrangements, as well as other fees and costs related to its advisory services shall be disclosed in its Relationship Summary. In addition, KCD will include all required legends and cross-references to its Form ADV.</w:t>
      </w:r>
    </w:p>
    <w:p>
      <w:pPr>
        <w:pStyle w:val="normal0"/>
        <w:spacing w:before="200" w:after="200"/>
        <w:rPr>
          <w:rFonts w:eastAsia="Arial" w:cs="Arial"/>
          <w:sz w:val="20"/>
          <w:szCs w:val="20"/>
        </w:rPr>
      </w:pPr>
      <w:r>
        <w:rPr>
          <w:rFonts w:eastAsia="Arial" w:cs="Arial"/>
          <w:sz w:val="20"/>
          <w:szCs w:val="20"/>
        </w:rPr>
        <w:t xml:space="preserve">4. </w:t>
      </w:r>
      <w:r>
        <w:rPr>
          <w:rFonts w:eastAsia="Arial" w:cs="Arial"/>
          <w:b/>
          <w:bCs/>
          <w:sz w:val="20"/>
          <w:szCs w:val="20"/>
        </w:rPr>
        <w:t>Disciplinary History (Item 4 of Form CSR)</w:t>
      </w:r>
    </w:p>
    <w:p>
      <w:pPr>
        <w:pStyle w:val="normal0"/>
        <w:spacing w:before="200" w:after="200"/>
        <w:rPr>
          <w:rFonts w:eastAsia="Arial" w:cs="Arial"/>
          <w:sz w:val="20"/>
          <w:szCs w:val="20"/>
        </w:rPr>
      </w:pPr>
      <w:r>
        <w:rPr>
          <w:rFonts w:eastAsia="Arial" w:cs="Arial"/>
          <w:sz w:val="20"/>
          <w:szCs w:val="20"/>
        </w:rPr>
        <w:t>KCD's disciplinary history shall be disclosed in its Relationship Summary as well as the required "Conversational Starters."</w:t>
      </w:r>
    </w:p>
    <w:p>
      <w:pPr>
        <w:pStyle w:val="normal0"/>
        <w:spacing w:before="200" w:after="200"/>
        <w:rPr>
          <w:rFonts w:eastAsia="Arial" w:cs="Arial"/>
          <w:sz w:val="20"/>
          <w:szCs w:val="20"/>
        </w:rPr>
      </w:pPr>
      <w:r>
        <w:rPr>
          <w:rFonts w:eastAsia="Arial" w:cs="Arial"/>
          <w:sz w:val="20"/>
          <w:szCs w:val="20"/>
        </w:rPr>
        <w:t xml:space="preserve">5. </w:t>
      </w:r>
      <w:r>
        <w:rPr>
          <w:rFonts w:eastAsia="Arial" w:cs="Arial"/>
          <w:b/>
          <w:bCs/>
          <w:sz w:val="20"/>
          <w:szCs w:val="20"/>
        </w:rPr>
        <w:t>Additional Information (Item 5 of Form CSR)</w:t>
      </w:r>
    </w:p>
    <w:p>
      <w:pPr>
        <w:pStyle w:val="normal0"/>
        <w:spacing w:before="200" w:after="200"/>
        <w:rPr>
          <w:rFonts w:eastAsia="Arial" w:cs="Arial"/>
          <w:sz w:val="20"/>
          <w:szCs w:val="20"/>
        </w:rPr>
      </w:pPr>
      <w:r>
        <w:rPr>
          <w:rFonts w:eastAsia="Arial" w:cs="Arial"/>
          <w:sz w:val="20"/>
          <w:szCs w:val="20"/>
        </w:rPr>
        <w:t>The Relationship Summary will set forth where the retail client can find additional information about its investment advisory services and request a copy of the Relationship Summary as well as a telephone number where retail investors can request up-to-date information and request a copy of the Relationship Summary. The required "Conversational Starters" must be included.</w:t>
      </w:r>
    </w:p>
    <w:p>
      <w:pPr>
        <w:pStyle w:val="normal0"/>
        <w:spacing w:before="200" w:after="200"/>
        <w:rPr>
          <w:rFonts w:eastAsia="Arial" w:cs="Arial"/>
          <w:sz w:val="20"/>
          <w:szCs w:val="20"/>
        </w:rPr>
      </w:pPr>
      <w:r>
        <w:rPr>
          <w:rFonts w:eastAsia="Arial" w:cs="Arial"/>
          <w:sz w:val="20"/>
          <w:szCs w:val="20"/>
        </w:rPr>
        <w:t xml:space="preserve">6. </w:t>
      </w:r>
      <w:r>
        <w:rPr>
          <w:rFonts w:eastAsia="Arial" w:cs="Arial"/>
          <w:b/>
          <w:bCs/>
          <w:sz w:val="20"/>
          <w:szCs w:val="20"/>
        </w:rPr>
        <w:t>Monitoring Accounts</w:t>
      </w: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KCD is required, through Form CRS, to disclose whether it provides monitoring services for accounts. This is an agreement for "continuous monitoring" as opposed to review of an account to make a recommendation, even if that review may be periodic. Continuous monitoring requires investment adviser registration and is evidenced through a formal agreement with the client.</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With respect to each client account, KCD shall determine whether or not it provides monitoring over such account. When making this determination, the following shall be considered:</w:t>
      </w:r>
    </w:p>
    <w:p>
      <w:pPr>
        <w:numPr>
          <w:ilvl w:val="0"/>
          <w:numId w:val="745"/>
        </w:numPr>
        <w:spacing w:before="200"/>
        <w:ind w:left="720" w:hanging="192"/>
        <w:jc w:val="left"/>
        <w:rPr>
          <w:rFonts w:eastAsia="Arial" w:cs="Arial"/>
          <w:sz w:val="20"/>
          <w:szCs w:val="20"/>
        </w:rPr>
      </w:pPr>
      <w:r>
        <w:rPr>
          <w:rFonts w:eastAsia="Arial" w:cs="Arial"/>
          <w:sz w:val="20"/>
          <w:szCs w:val="20"/>
        </w:rPr>
        <w:t xml:space="preserve">When KCD voluntarily and without any agreement with the client reviews the holdings in the client's account for purposes of deciding whether to make an investment recommendation, such monitoring is "solely incidental" and is not considered to be "account monitoring;" </w:t>
      </w:r>
    </w:p>
    <w:p>
      <w:pPr>
        <w:numPr>
          <w:ilvl w:val="0"/>
          <w:numId w:val="745"/>
        </w:numPr>
        <w:ind w:left="720" w:hanging="192"/>
        <w:jc w:val="left"/>
        <w:rPr>
          <w:rFonts w:eastAsia="Arial" w:cs="Arial"/>
          <w:sz w:val="20"/>
          <w:szCs w:val="20"/>
        </w:rPr>
      </w:pPr>
      <w:r>
        <w:rPr>
          <w:rFonts w:eastAsia="Arial" w:cs="Arial"/>
          <w:sz w:val="20"/>
          <w:szCs w:val="20"/>
        </w:rPr>
        <w:t>If KCD agrees to monitor a client's account on a periodic basis or at specific time frames (</w:t>
      </w:r>
      <w:r>
        <w:rPr>
          <w:rFonts w:eastAsia="Arial" w:cs="Arial"/>
          <w:i/>
          <w:iCs/>
          <w:sz w:val="20"/>
          <w:szCs w:val="20"/>
        </w:rPr>
        <w:t>e.g.</w:t>
      </w:r>
      <w:r>
        <w:rPr>
          <w:rFonts w:eastAsia="Arial" w:cs="Arial"/>
          <w:sz w:val="20"/>
          <w:szCs w:val="20"/>
        </w:rPr>
        <w:t>, quarterly), for example, for purposes of providing investment recommendations, such monitoring is also deemed to be "solely incidental;" and</w:t>
      </w:r>
    </w:p>
    <w:p>
      <w:pPr>
        <w:numPr>
          <w:ilvl w:val="0"/>
          <w:numId w:val="745"/>
        </w:numPr>
        <w:spacing w:after="200"/>
        <w:ind w:left="720" w:hanging="192"/>
        <w:jc w:val="left"/>
        <w:rPr>
          <w:rFonts w:eastAsia="Arial" w:cs="Arial"/>
          <w:sz w:val="20"/>
          <w:szCs w:val="20"/>
        </w:rPr>
      </w:pPr>
      <w:r>
        <w:rPr>
          <w:rFonts w:eastAsia="Arial" w:cs="Arial"/>
          <w:sz w:val="20"/>
          <w:szCs w:val="20"/>
        </w:rPr>
        <w:t>Agreed-upon continuous and ongoing monitoring would not be considered "solely incidental."</w:t>
      </w:r>
    </w:p>
    <w:p>
      <w:pPr>
        <w:pStyle w:val="normal0"/>
        <w:spacing w:before="200" w:after="200"/>
        <w:rPr>
          <w:rFonts w:eastAsia="Arial" w:cs="Arial"/>
          <w:sz w:val="20"/>
          <w:szCs w:val="20"/>
        </w:rPr>
      </w:pPr>
      <w:r>
        <w:rPr>
          <w:rFonts w:eastAsia="Arial" w:cs="Arial"/>
          <w:sz w:val="20"/>
          <w:szCs w:val="20"/>
        </w:rPr>
        <w:t xml:space="preserve">7. </w:t>
      </w:r>
      <w:r>
        <w:rPr>
          <w:rFonts w:eastAsia="Arial" w:cs="Arial"/>
          <w:b/>
          <w:bCs/>
          <w:sz w:val="20"/>
          <w:szCs w:val="20"/>
        </w:rPr>
        <w:t>Plain English</w:t>
      </w:r>
    </w:p>
    <w:p>
      <w:pPr>
        <w:pStyle w:val="normal0"/>
        <w:spacing w:before="200" w:after="200"/>
        <w:rPr>
          <w:rFonts w:eastAsia="Arial" w:cs="Arial"/>
          <w:sz w:val="20"/>
          <w:szCs w:val="20"/>
        </w:rPr>
      </w:pPr>
      <w:r>
        <w:rPr>
          <w:rFonts w:eastAsia="Arial" w:cs="Arial"/>
          <w:sz w:val="20"/>
          <w:szCs w:val="20"/>
        </w:rPr>
        <w:t>KCD's Relationship Summary must:</w:t>
      </w:r>
    </w:p>
    <w:p>
      <w:pPr>
        <w:numPr>
          <w:ilvl w:val="0"/>
          <w:numId w:val="746"/>
        </w:numPr>
        <w:spacing w:before="200"/>
        <w:ind w:left="720" w:hanging="192"/>
        <w:jc w:val="left"/>
        <w:rPr>
          <w:rFonts w:eastAsia="Arial" w:cs="Arial"/>
          <w:sz w:val="20"/>
          <w:szCs w:val="20"/>
        </w:rPr>
      </w:pPr>
      <w:r>
        <w:rPr>
          <w:rFonts w:eastAsia="Arial" w:cs="Arial"/>
          <w:sz w:val="20"/>
          <w:szCs w:val="20"/>
        </w:rPr>
        <w:t>be written in Plain English;</w:t>
      </w:r>
    </w:p>
    <w:p>
      <w:pPr>
        <w:numPr>
          <w:ilvl w:val="0"/>
          <w:numId w:val="746"/>
        </w:numPr>
        <w:ind w:left="720" w:hanging="192"/>
        <w:jc w:val="left"/>
        <w:rPr>
          <w:rFonts w:eastAsia="Arial" w:cs="Arial"/>
          <w:sz w:val="20"/>
          <w:szCs w:val="20"/>
        </w:rPr>
      </w:pPr>
      <w:r>
        <w:rPr>
          <w:rFonts w:eastAsia="Arial" w:cs="Arial"/>
          <w:sz w:val="20"/>
          <w:szCs w:val="20"/>
        </w:rPr>
        <w:t>be written with short sentences and paragraphs;</w:t>
      </w:r>
    </w:p>
    <w:p>
      <w:pPr>
        <w:numPr>
          <w:ilvl w:val="0"/>
          <w:numId w:val="746"/>
        </w:numPr>
        <w:ind w:left="720" w:hanging="192"/>
        <w:jc w:val="left"/>
        <w:rPr>
          <w:rFonts w:eastAsia="Arial" w:cs="Arial"/>
          <w:sz w:val="20"/>
          <w:szCs w:val="20"/>
        </w:rPr>
      </w:pPr>
      <w:r>
        <w:rPr>
          <w:rFonts w:eastAsia="Arial" w:cs="Arial"/>
          <w:sz w:val="20"/>
          <w:szCs w:val="20"/>
        </w:rPr>
        <w:t>consist of everyday words;</w:t>
      </w:r>
    </w:p>
    <w:p>
      <w:pPr>
        <w:numPr>
          <w:ilvl w:val="0"/>
          <w:numId w:val="746"/>
        </w:numPr>
        <w:ind w:left="720" w:hanging="192"/>
        <w:jc w:val="left"/>
        <w:rPr>
          <w:rFonts w:eastAsia="Arial" w:cs="Arial"/>
          <w:sz w:val="20"/>
          <w:szCs w:val="20"/>
        </w:rPr>
      </w:pPr>
      <w:r>
        <w:rPr>
          <w:rFonts w:eastAsia="Arial" w:cs="Arial"/>
          <w:sz w:val="20"/>
          <w:szCs w:val="20"/>
        </w:rPr>
        <w:t>use active voice; and</w:t>
      </w:r>
    </w:p>
    <w:p>
      <w:pPr>
        <w:numPr>
          <w:ilvl w:val="0"/>
          <w:numId w:val="746"/>
        </w:numPr>
        <w:spacing w:after="200"/>
        <w:ind w:left="720" w:hanging="192"/>
        <w:jc w:val="left"/>
        <w:rPr>
          <w:rFonts w:eastAsia="Arial" w:cs="Arial"/>
          <w:sz w:val="20"/>
          <w:szCs w:val="20"/>
        </w:rPr>
      </w:pPr>
      <w:r>
        <w:rPr>
          <w:rFonts w:eastAsia="Arial" w:cs="Arial"/>
          <w:sz w:val="20"/>
          <w:szCs w:val="20"/>
        </w:rPr>
        <w:t>avoid double negatives.</w:t>
      </w:r>
    </w:p>
    <w:p>
      <w:pPr>
        <w:pStyle w:val="normal0"/>
        <w:spacing w:before="200" w:after="200"/>
        <w:rPr>
          <w:rFonts w:eastAsia="Arial" w:cs="Arial"/>
          <w:sz w:val="20"/>
          <w:szCs w:val="20"/>
        </w:rPr>
      </w:pPr>
      <w:r>
        <w:rPr>
          <w:rFonts w:eastAsia="Arial" w:cs="Arial"/>
          <w:sz w:val="20"/>
          <w:szCs w:val="20"/>
        </w:rPr>
        <w:t xml:space="preserve">8. </w:t>
      </w:r>
      <w:r>
        <w:rPr>
          <w:rFonts w:eastAsia="Arial" w:cs="Arial"/>
          <w:b/>
          <w:bCs/>
          <w:sz w:val="20"/>
          <w:szCs w:val="20"/>
        </w:rPr>
        <w:t>Accurate and Balanced</w:t>
      </w:r>
    </w:p>
    <w:p>
      <w:pPr>
        <w:pStyle w:val="normal0"/>
        <w:spacing w:before="200" w:after="200"/>
        <w:rPr>
          <w:rFonts w:eastAsia="Arial" w:cs="Arial"/>
          <w:sz w:val="20"/>
          <w:szCs w:val="20"/>
        </w:rPr>
      </w:pPr>
      <w:r>
        <w:rPr>
          <w:rFonts w:eastAsia="Arial" w:cs="Arial"/>
          <w:sz w:val="20"/>
          <w:szCs w:val="20"/>
        </w:rPr>
        <w:t>KCD's Relationship Summary will be accurate and not omit any material facts necessary in order to make the disclosures required by Form CSR not misleading. Such disclosure shall also be balanced including the description of KCD's services.</w:t>
      </w:r>
    </w:p>
    <w:p>
      <w:pPr>
        <w:pStyle w:val="normal0"/>
        <w:spacing w:before="200" w:after="200"/>
        <w:rPr>
          <w:rFonts w:eastAsia="Arial" w:cs="Arial"/>
          <w:sz w:val="20"/>
          <w:szCs w:val="20"/>
        </w:rPr>
      </w:pPr>
      <w:r>
        <w:rPr>
          <w:rFonts w:eastAsia="Arial" w:cs="Arial"/>
          <w:sz w:val="20"/>
          <w:szCs w:val="20"/>
        </w:rPr>
        <w:t xml:space="preserve">9. </w:t>
      </w:r>
      <w:r>
        <w:rPr>
          <w:rFonts w:eastAsia="Arial" w:cs="Arial"/>
          <w:b/>
          <w:bCs/>
          <w:sz w:val="20"/>
          <w:szCs w:val="20"/>
        </w:rPr>
        <w:t>Charts, Graphs and Tables</w:t>
      </w:r>
    </w:p>
    <w:p>
      <w:pPr>
        <w:pStyle w:val="normal0"/>
        <w:spacing w:before="200" w:after="200"/>
        <w:rPr>
          <w:rFonts w:eastAsia="Arial" w:cs="Arial"/>
          <w:sz w:val="20"/>
          <w:szCs w:val="20"/>
        </w:rPr>
      </w:pPr>
      <w:r>
        <w:rPr>
          <w:rFonts w:eastAsia="Arial" w:cs="Arial"/>
          <w:sz w:val="20"/>
          <w:szCs w:val="20"/>
        </w:rPr>
        <w:t>Where possible, KCD's Relationship Summary will contain charts, graphs, tables and other graphics when responding to disclosure required by From CSR.</w:t>
      </w:r>
    </w:p>
    <w:p>
      <w:pPr>
        <w:pStyle w:val="normal0"/>
        <w:spacing w:before="200" w:after="200"/>
        <w:rPr>
          <w:rFonts w:eastAsia="Arial" w:cs="Arial"/>
          <w:sz w:val="20"/>
          <w:szCs w:val="20"/>
        </w:rPr>
      </w:pPr>
      <w:r>
        <w:rPr>
          <w:rFonts w:eastAsia="Arial" w:cs="Arial"/>
          <w:sz w:val="20"/>
          <w:szCs w:val="20"/>
        </w:rPr>
        <w:t xml:space="preserve">10. </w:t>
      </w:r>
      <w:r>
        <w:rPr>
          <w:rFonts w:eastAsia="Arial" w:cs="Arial"/>
          <w:b/>
          <w:bCs/>
          <w:sz w:val="20"/>
          <w:szCs w:val="20"/>
        </w:rPr>
        <w:t>Noticeable and Prominent Text</w:t>
      </w:r>
    </w:p>
    <w:p>
      <w:pPr>
        <w:pStyle w:val="normal0"/>
        <w:spacing w:before="200" w:after="200"/>
        <w:rPr>
          <w:rFonts w:eastAsia="Arial" w:cs="Arial"/>
          <w:sz w:val="20"/>
          <w:szCs w:val="20"/>
        </w:rPr>
      </w:pPr>
      <w:r>
        <w:rPr>
          <w:rFonts w:eastAsia="Arial" w:cs="Arial"/>
          <w:sz w:val="20"/>
          <w:szCs w:val="20"/>
        </w:rPr>
        <w:t>KCD's Relationship Summary will use text features that make the following more noticeable and prominent in relation to other discussion text:</w:t>
      </w:r>
    </w:p>
    <w:p>
      <w:pPr>
        <w:numPr>
          <w:ilvl w:val="0"/>
          <w:numId w:val="747"/>
        </w:numPr>
        <w:spacing w:before="200"/>
        <w:ind w:left="720" w:hanging="192"/>
        <w:jc w:val="left"/>
        <w:rPr>
          <w:rFonts w:eastAsia="Arial" w:cs="Arial"/>
          <w:sz w:val="20"/>
          <w:szCs w:val="20"/>
        </w:rPr>
      </w:pPr>
      <w:r>
        <w:rPr>
          <w:rFonts w:eastAsia="Arial" w:cs="Arial"/>
          <w:sz w:val="20"/>
          <w:szCs w:val="20"/>
        </w:rPr>
        <w:t>"Conversational Starters;"</w:t>
      </w:r>
    </w:p>
    <w:p>
      <w:pPr>
        <w:numPr>
          <w:ilvl w:val="0"/>
          <w:numId w:val="747"/>
        </w:numPr>
        <w:ind w:left="720" w:hanging="192"/>
        <w:jc w:val="left"/>
        <w:rPr>
          <w:rFonts w:eastAsia="Arial" w:cs="Arial"/>
          <w:sz w:val="20"/>
          <w:szCs w:val="20"/>
        </w:rPr>
      </w:pPr>
      <w:r>
        <w:rPr>
          <w:rFonts w:eastAsia="Arial" w:cs="Arial"/>
          <w:sz w:val="20"/>
          <w:szCs w:val="20"/>
        </w:rPr>
        <w:t>description of its services;</w:t>
      </w:r>
    </w:p>
    <w:p>
      <w:pPr>
        <w:numPr>
          <w:ilvl w:val="0"/>
          <w:numId w:val="747"/>
        </w:numPr>
        <w:ind w:left="720" w:hanging="192"/>
        <w:jc w:val="left"/>
        <w:rPr>
          <w:rFonts w:eastAsia="Arial" w:cs="Arial"/>
          <w:sz w:val="20"/>
          <w:szCs w:val="20"/>
        </w:rPr>
      </w:pPr>
      <w:r>
        <w:rPr>
          <w:rFonts w:eastAsia="Arial" w:cs="Arial"/>
          <w:sz w:val="20"/>
          <w:szCs w:val="20"/>
        </w:rPr>
        <w:t>fees; and</w:t>
      </w:r>
    </w:p>
    <w:p>
      <w:pPr>
        <w:numPr>
          <w:ilvl w:val="0"/>
          <w:numId w:val="747"/>
        </w:numPr>
        <w:spacing w:after="200"/>
        <w:ind w:left="720" w:hanging="192"/>
        <w:jc w:val="left"/>
        <w:rPr>
          <w:rFonts w:eastAsia="Arial" w:cs="Arial"/>
          <w:sz w:val="20"/>
          <w:szCs w:val="20"/>
        </w:rPr>
      </w:pPr>
      <w:r>
        <w:rPr>
          <w:rFonts w:eastAsia="Arial" w:cs="Arial"/>
          <w:sz w:val="20"/>
          <w:szCs w:val="20"/>
        </w:rPr>
        <w:t>conflicts of interest.</w:t>
      </w:r>
    </w:p>
    <w:p/>
    <w:p>
      <w:pPr>
        <w:pStyle w:val="Heading4"/>
      </w:pPr>
      <w:r>
        <w:t>11.3.6.2 Relationship Summary Delivery and Posting</w:t>
      </w:r>
    </w:p>
    <w:p/>
    <w:p>
      <w:pPr>
        <w:rPr>
          <w:rFonts w:eastAsia="Arial" w:cs="Arial"/>
          <w:sz w:val="16"/>
          <w:szCs w:val="16"/>
        </w:rPr>
      </w:pPr>
    </w:p>
    <w:p>
      <w:pPr>
        <w:spacing w:after="200"/>
        <w:rPr>
          <w:rFonts w:eastAsia="Arial" w:cs="Arial"/>
          <w:sz w:val="20"/>
          <w:szCs w:val="20"/>
        </w:rPr>
      </w:pPr>
      <w:r>
        <w:rPr>
          <w:rFonts w:eastAsia="Arial" w:cs="Arial"/>
          <w:sz w:val="20"/>
          <w:szCs w:val="20"/>
        </w:rPr>
        <w:t>The Firm shall follow these procedures when delivering its Relationship Summaries to clients and posting the Relationship Summary on its website:</w:t>
      </w:r>
    </w:p>
    <w:p>
      <w:pPr>
        <w:numPr>
          <w:ilvl w:val="0"/>
          <w:numId w:val="748"/>
        </w:numPr>
        <w:spacing w:before="200"/>
        <w:ind w:left="720" w:hanging="267"/>
        <w:jc w:val="left"/>
        <w:rPr>
          <w:rFonts w:eastAsia="Arial" w:cs="Arial"/>
          <w:sz w:val="20"/>
          <w:szCs w:val="20"/>
        </w:rPr>
      </w:pPr>
      <w:r>
        <w:rPr>
          <w:rFonts w:eastAsia="Arial" w:cs="Arial"/>
          <w:sz w:val="20"/>
          <w:szCs w:val="20"/>
          <w:u w:val="single"/>
        </w:rPr>
        <w:t>General Delivery</w:t>
      </w:r>
      <w:r>
        <w:rPr>
          <w:rFonts w:eastAsia="Arial" w:cs="Arial"/>
          <w:sz w:val="20"/>
          <w:szCs w:val="20"/>
        </w:rPr>
        <w:t>. KCD shall provide a Relationship Summary to each client:</w:t>
      </w:r>
    </w:p>
    <w:p>
      <w:pPr>
        <w:numPr>
          <w:ilvl w:val="1"/>
          <w:numId w:val="748"/>
        </w:numPr>
        <w:ind w:left="1440" w:hanging="220"/>
        <w:jc w:val="left"/>
        <w:rPr>
          <w:rFonts w:eastAsia="Arial" w:cs="Arial"/>
          <w:sz w:val="20"/>
          <w:szCs w:val="20"/>
        </w:rPr>
      </w:pPr>
      <w:r>
        <w:rPr>
          <w:rFonts w:eastAsia="Arial" w:cs="Arial"/>
          <w:sz w:val="20"/>
          <w:szCs w:val="20"/>
        </w:rPr>
        <w:t>within 30 days after KCD is first required to file Form CRS with the SEC (all existing retail clients must receive the Relationship Summary within 30 days of that filing date);</w:t>
      </w:r>
    </w:p>
    <w:p>
      <w:pPr>
        <w:numPr>
          <w:ilvl w:val="1"/>
          <w:numId w:val="748"/>
        </w:numPr>
        <w:ind w:left="1440" w:hanging="220"/>
        <w:jc w:val="left"/>
        <w:rPr>
          <w:rFonts w:eastAsia="Arial" w:cs="Arial"/>
          <w:sz w:val="20"/>
          <w:szCs w:val="20"/>
        </w:rPr>
      </w:pPr>
      <w:r>
        <w:rPr>
          <w:rFonts w:eastAsia="Arial" w:cs="Arial"/>
          <w:sz w:val="20"/>
          <w:szCs w:val="20"/>
        </w:rPr>
        <w:t>when KCD files its Form ADV (if it is a new adviser);</w:t>
      </w:r>
    </w:p>
    <w:p>
      <w:pPr>
        <w:numPr>
          <w:ilvl w:val="1"/>
          <w:numId w:val="748"/>
        </w:numPr>
        <w:ind w:left="1440" w:hanging="220"/>
        <w:jc w:val="left"/>
        <w:rPr>
          <w:rFonts w:eastAsia="Arial" w:cs="Arial"/>
          <w:sz w:val="20"/>
          <w:szCs w:val="20"/>
        </w:rPr>
      </w:pPr>
      <w:r>
        <w:rPr>
          <w:rFonts w:eastAsia="Arial" w:cs="Arial"/>
          <w:sz w:val="20"/>
          <w:szCs w:val="20"/>
        </w:rPr>
        <w:t>when a new account is opened for a new client;</w:t>
      </w:r>
    </w:p>
    <w:p>
      <w:pPr>
        <w:numPr>
          <w:ilvl w:val="1"/>
          <w:numId w:val="748"/>
        </w:numPr>
        <w:ind w:left="1440" w:hanging="220"/>
        <w:jc w:val="left"/>
        <w:rPr>
          <w:rFonts w:eastAsia="Arial" w:cs="Arial"/>
          <w:sz w:val="20"/>
          <w:szCs w:val="20"/>
        </w:rPr>
      </w:pPr>
      <w:r>
        <w:rPr>
          <w:rFonts w:eastAsia="Arial" w:cs="Arial"/>
          <w:sz w:val="20"/>
          <w:szCs w:val="20"/>
        </w:rPr>
        <w:t>when a new account is opened for an existing client;</w:t>
      </w:r>
    </w:p>
    <w:p>
      <w:pPr>
        <w:numPr>
          <w:ilvl w:val="1"/>
          <w:numId w:val="748"/>
        </w:numPr>
        <w:ind w:left="1440" w:hanging="220"/>
        <w:jc w:val="left"/>
        <w:rPr>
          <w:rFonts w:eastAsia="Arial" w:cs="Arial"/>
          <w:sz w:val="20"/>
          <w:szCs w:val="20"/>
        </w:rPr>
      </w:pPr>
      <w:r>
        <w:rPr>
          <w:rFonts w:eastAsia="Arial" w:cs="Arial"/>
          <w:sz w:val="20"/>
          <w:szCs w:val="20"/>
        </w:rPr>
        <w:t>when a rollover is recommended by KCD to a client from the client's retirement account into a new or existing account or investment;</w:t>
      </w:r>
    </w:p>
    <w:p>
      <w:pPr>
        <w:numPr>
          <w:ilvl w:val="1"/>
          <w:numId w:val="748"/>
        </w:numPr>
        <w:ind w:left="1440" w:hanging="220"/>
        <w:jc w:val="left"/>
        <w:rPr>
          <w:rFonts w:eastAsia="Arial" w:cs="Arial"/>
          <w:sz w:val="20"/>
          <w:szCs w:val="20"/>
        </w:rPr>
      </w:pPr>
      <w:r>
        <w:rPr>
          <w:rFonts w:eastAsia="Arial" w:cs="Arial"/>
          <w:sz w:val="20"/>
          <w:szCs w:val="20"/>
        </w:rPr>
        <w:t xml:space="preserve">when an IAR recommends or provides a new advisory service or product that does not necessarily involve opening a new account or would not be held in an existing account, for example, the first-time purchase of a direct-sold mutual fund or insurance product that is a security through a "check and application" process, </w:t>
      </w:r>
      <w:r>
        <w:rPr>
          <w:rFonts w:eastAsia="Arial" w:cs="Arial"/>
          <w:i/>
          <w:iCs/>
          <w:sz w:val="20"/>
          <w:szCs w:val="20"/>
        </w:rPr>
        <w:t>i.e.</w:t>
      </w:r>
      <w:r>
        <w:rPr>
          <w:rFonts w:eastAsia="Arial" w:cs="Arial"/>
          <w:sz w:val="20"/>
          <w:szCs w:val="20"/>
        </w:rPr>
        <w:t>, not held directly within an account; and</w:t>
      </w:r>
    </w:p>
    <w:p>
      <w:pPr>
        <w:numPr>
          <w:ilvl w:val="1"/>
          <w:numId w:val="748"/>
        </w:numPr>
        <w:ind w:left="1440" w:hanging="220"/>
        <w:jc w:val="left"/>
        <w:rPr>
          <w:rFonts w:eastAsia="Arial" w:cs="Arial"/>
          <w:sz w:val="20"/>
          <w:szCs w:val="20"/>
        </w:rPr>
      </w:pPr>
      <w:r>
        <w:rPr>
          <w:rFonts w:eastAsia="Arial" w:cs="Arial"/>
          <w:sz w:val="20"/>
          <w:szCs w:val="20"/>
        </w:rPr>
        <w:t>when client requests a copy (in such case, KCD will provide its Relationship Summary within 30 days of the request).</w:t>
      </w:r>
    </w:p>
    <w:p>
      <w:pPr>
        <w:numPr>
          <w:ilvl w:val="0"/>
          <w:numId w:val="748"/>
        </w:numPr>
        <w:ind w:left="720" w:hanging="267"/>
        <w:jc w:val="left"/>
        <w:rPr>
          <w:rFonts w:eastAsia="Arial" w:cs="Arial"/>
          <w:sz w:val="20"/>
          <w:szCs w:val="20"/>
        </w:rPr>
      </w:pPr>
      <w:r>
        <w:rPr>
          <w:rFonts w:eastAsia="Arial" w:cs="Arial"/>
          <w:sz w:val="20"/>
          <w:szCs w:val="20"/>
          <w:u w:val="single"/>
        </w:rPr>
        <w:t>Electronic Delivery</w:t>
      </w:r>
      <w:r>
        <w:rPr>
          <w:rFonts w:eastAsia="Arial" w:cs="Arial"/>
          <w:sz w:val="20"/>
          <w:szCs w:val="20"/>
        </w:rPr>
        <w:t>. When KCD delivers its Relationship Summary electronically, the Relationship Summary will be:</w:t>
      </w:r>
    </w:p>
    <w:p>
      <w:pPr>
        <w:numPr>
          <w:ilvl w:val="1"/>
          <w:numId w:val="748"/>
        </w:numPr>
        <w:ind w:left="1440" w:hanging="220"/>
        <w:jc w:val="left"/>
        <w:rPr>
          <w:rFonts w:eastAsia="Arial" w:cs="Arial"/>
          <w:sz w:val="20"/>
          <w:szCs w:val="20"/>
        </w:rPr>
      </w:pPr>
      <w:r>
        <w:rPr>
          <w:rFonts w:eastAsia="Arial" w:cs="Arial"/>
          <w:sz w:val="20"/>
          <w:szCs w:val="20"/>
        </w:rPr>
        <w:t>no longer than the equivalent of two pages in paper format;</w:t>
      </w:r>
    </w:p>
    <w:p>
      <w:pPr>
        <w:numPr>
          <w:ilvl w:val="1"/>
          <w:numId w:val="748"/>
        </w:numPr>
        <w:ind w:left="1440" w:hanging="220"/>
        <w:jc w:val="left"/>
        <w:rPr>
          <w:rFonts w:eastAsia="Arial" w:cs="Arial"/>
          <w:sz w:val="20"/>
          <w:szCs w:val="20"/>
        </w:rPr>
      </w:pPr>
      <w:r>
        <w:rPr>
          <w:rFonts w:eastAsia="Arial" w:cs="Arial"/>
          <w:sz w:val="20"/>
          <w:szCs w:val="20"/>
        </w:rPr>
        <w:t xml:space="preserve">presented prominently in the electronic medium; </w:t>
      </w:r>
      <w:r>
        <w:rPr>
          <w:rFonts w:eastAsia="Arial" w:cs="Arial"/>
          <w:i/>
          <w:iCs/>
          <w:sz w:val="20"/>
          <w:szCs w:val="20"/>
        </w:rPr>
        <w:t>e.g.</w:t>
      </w:r>
      <w:r>
        <w:rPr>
          <w:rFonts w:eastAsia="Arial" w:cs="Arial"/>
          <w:sz w:val="20"/>
          <w:szCs w:val="20"/>
        </w:rPr>
        <w:t xml:space="preserve">, as a direct link or in the body of an e-mail or message, and </w:t>
      </w:r>
    </w:p>
    <w:p>
      <w:pPr>
        <w:numPr>
          <w:ilvl w:val="1"/>
          <w:numId w:val="748"/>
        </w:numPr>
        <w:ind w:left="1440" w:hanging="220"/>
        <w:jc w:val="left"/>
        <w:rPr>
          <w:rFonts w:eastAsia="Arial" w:cs="Arial"/>
          <w:sz w:val="20"/>
          <w:szCs w:val="20"/>
        </w:rPr>
      </w:pPr>
      <w:r>
        <w:rPr>
          <w:rFonts w:eastAsia="Arial" w:cs="Arial"/>
          <w:sz w:val="20"/>
          <w:szCs w:val="20"/>
        </w:rPr>
        <w:t>easily accessible for clients, including providing a means for clients to facilitate access to any information referenced in the Relationship Summary (</w:t>
      </w:r>
      <w:r>
        <w:rPr>
          <w:rFonts w:eastAsia="Arial" w:cs="Arial"/>
          <w:i/>
          <w:iCs/>
          <w:sz w:val="20"/>
          <w:szCs w:val="20"/>
        </w:rPr>
        <w:t>e.g.</w:t>
      </w:r>
      <w:r>
        <w:rPr>
          <w:rFonts w:eastAsia="Arial" w:cs="Arial"/>
          <w:sz w:val="20"/>
          <w:szCs w:val="20"/>
        </w:rPr>
        <w:t xml:space="preserve">, hyperlinks to fee schedules). </w:t>
      </w:r>
    </w:p>
    <w:p>
      <w:pPr>
        <w:numPr>
          <w:ilvl w:val="0"/>
          <w:numId w:val="748"/>
        </w:numPr>
        <w:ind w:left="720" w:hanging="267"/>
        <w:jc w:val="left"/>
        <w:rPr>
          <w:rFonts w:eastAsia="Arial" w:cs="Arial"/>
          <w:sz w:val="20"/>
          <w:szCs w:val="20"/>
        </w:rPr>
      </w:pPr>
      <w:r>
        <w:rPr>
          <w:rFonts w:eastAsia="Arial" w:cs="Arial"/>
          <w:sz w:val="20"/>
          <w:szCs w:val="20"/>
          <w:u w:val="single"/>
        </w:rPr>
        <w:t>Paper Delivery</w:t>
      </w:r>
      <w:r>
        <w:rPr>
          <w:rFonts w:eastAsia="Arial" w:cs="Arial"/>
          <w:sz w:val="20"/>
          <w:szCs w:val="20"/>
        </w:rPr>
        <w:t>. A paper Relationship Summary may be no longer than two pages (unless KCD is additionally registered as a broker-dealer, in which case its combined broker-dealer/investment adviser Relationship Summary may be no longer than four pages while separate Firm broker-dealer and investment adviser Relationship Summaries may be no longer than two pages in length). When KCD delivers its Relationship Summary in paper format as part of a package of documents, the Relationship Summary will be the first among any documents that are delivered at that time.</w:t>
      </w:r>
    </w:p>
    <w:p>
      <w:pPr>
        <w:numPr>
          <w:ilvl w:val="0"/>
          <w:numId w:val="748"/>
        </w:numPr>
        <w:ind w:left="720" w:hanging="267"/>
        <w:jc w:val="left"/>
        <w:rPr>
          <w:rFonts w:eastAsia="Arial" w:cs="Arial"/>
          <w:sz w:val="20"/>
          <w:szCs w:val="20"/>
        </w:rPr>
      </w:pPr>
      <w:r>
        <w:rPr>
          <w:rFonts w:eastAsia="Arial" w:cs="Arial"/>
          <w:sz w:val="20"/>
          <w:szCs w:val="20"/>
          <w:u w:val="single"/>
        </w:rPr>
        <w:t>Dual Registrants</w:t>
      </w:r>
      <w:r>
        <w:rPr>
          <w:rFonts w:eastAsia="Arial" w:cs="Arial"/>
          <w:sz w:val="20"/>
          <w:szCs w:val="20"/>
        </w:rPr>
        <w:t>. If KCD is a Dual Registrant, it must deliver a relationship summary to retail investor client/customers of both the investment advisory and brokerage businesses. The SEC encourages a single document; however, Form CSR permits the use of separate broker-dealer and investment adviser Relationship Summaries.</w:t>
      </w:r>
    </w:p>
    <w:tbl>
      <w:tblPr>
        <w:tblStyle w:val="strfreeform"/>
        <w:tblW w:w="4500" w:type="pct"/>
        <w:tblCellSpacing w:w="0" w:type="dxa"/>
        <w:tblInd w:w="72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8928"/>
      </w:tblGrid>
      <w:tr>
        <w:tblPrEx>
          <w:tblW w:w="4500" w:type="pct"/>
          <w:tblInd w:w="720" w:type="dxa"/>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bCs/>
                <w:i w:val="0"/>
                <w:iCs w:val="0"/>
                <w:smallCaps w:val="0"/>
                <w:color w:val="000000"/>
                <w:sz w:val="20"/>
              </w:rPr>
              <w:t>Dual registrant</w:t>
            </w:r>
            <w:r>
              <w:rPr>
                <w:rFonts w:eastAsia="Arial" w:cs="Arial"/>
                <w:b w:val="0"/>
                <w:bCs w:val="0"/>
                <w:i w:val="0"/>
                <w:iCs w:val="0"/>
                <w:smallCaps w:val="0"/>
                <w:color w:val="000000"/>
                <w:sz w:val="20"/>
              </w:rPr>
              <w:t>: A firm is dually registered as a broker-dealer under Section 15 of the Exchange Act and an investment adviser under section 203 of the Advisers Act and offers services to retail investors as both a broker-dealer and an investment adviser. There are exceptions; for example, if a firm dually registered offers investment advisory services to retail investors, but offers brokerage services only to institutional investors, KCD is not a dual registrant for purposes of Form CRS.</w:t>
            </w:r>
          </w:p>
        </w:tc>
      </w:tr>
    </w:tbl>
    <w:p>
      <w:pPr>
        <w:ind w:left="720"/>
        <w:jc w:val="left"/>
        <w:rPr>
          <w:rFonts w:eastAsia="Arial" w:cs="Arial"/>
          <w:sz w:val="20"/>
          <w:szCs w:val="20"/>
        </w:rPr>
      </w:pPr>
    </w:p>
    <w:p>
      <w:pPr>
        <w:numPr>
          <w:ilvl w:val="0"/>
          <w:numId w:val="748"/>
        </w:numPr>
        <w:ind w:left="720" w:hanging="267"/>
        <w:jc w:val="left"/>
        <w:rPr>
          <w:rFonts w:eastAsia="Arial" w:cs="Arial"/>
          <w:sz w:val="20"/>
          <w:szCs w:val="20"/>
        </w:rPr>
      </w:pPr>
      <w:r>
        <w:rPr>
          <w:rFonts w:eastAsia="Arial" w:cs="Arial"/>
          <w:sz w:val="20"/>
          <w:szCs w:val="20"/>
          <w:u w:val="single"/>
        </w:rPr>
        <w:t>Affiliates</w:t>
      </w:r>
      <w:r>
        <w:rPr>
          <w:rFonts w:eastAsia="Arial" w:cs="Arial"/>
          <w:sz w:val="20"/>
          <w:szCs w:val="20"/>
        </w:rPr>
        <w:t>. If KCD has affiliates that provide advisory services to retail clients, KCD may prepare a combined Relationship Summary that discusses the advisory services provided in the aggregate or a separate Relationship Summary for each adviser entity.</w:t>
      </w:r>
    </w:p>
    <w:tbl>
      <w:tblPr>
        <w:tblStyle w:val="strfreeform"/>
        <w:tblW w:w="4500" w:type="pct"/>
        <w:tblCellSpacing w:w="0" w:type="dxa"/>
        <w:tblInd w:w="72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8928"/>
      </w:tblGrid>
      <w:tr>
        <w:tblPrEx>
          <w:tblW w:w="4500" w:type="pct"/>
          <w:tblInd w:w="720" w:type="dxa"/>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bCs/>
                <w:i w:val="0"/>
                <w:iCs w:val="0"/>
                <w:smallCaps w:val="0"/>
                <w:color w:val="000000"/>
                <w:sz w:val="20"/>
              </w:rPr>
              <w:t>Affiliate</w:t>
            </w:r>
            <w:r>
              <w:rPr>
                <w:rFonts w:eastAsia="Arial" w:cs="Arial"/>
                <w:b w:val="0"/>
                <w:bCs w:val="0"/>
                <w:i w:val="0"/>
                <w:iCs w:val="0"/>
                <w:smallCaps w:val="0"/>
                <w:color w:val="000000"/>
                <w:sz w:val="20"/>
              </w:rPr>
              <w:t>: Any persons directly or indirectly controlling or controlled by KCD or under common control with KCD.</w:t>
            </w:r>
          </w:p>
        </w:tc>
      </w:tr>
    </w:tbl>
    <w:p>
      <w:pPr>
        <w:ind w:left="720"/>
        <w:jc w:val="left"/>
        <w:rPr>
          <w:rFonts w:eastAsia="Arial" w:cs="Arial"/>
          <w:sz w:val="20"/>
          <w:szCs w:val="20"/>
        </w:rPr>
      </w:pPr>
    </w:p>
    <w:p>
      <w:pPr>
        <w:numPr>
          <w:ilvl w:val="0"/>
          <w:numId w:val="748"/>
        </w:numPr>
        <w:ind w:left="720" w:hanging="267"/>
        <w:jc w:val="left"/>
        <w:rPr>
          <w:rFonts w:eastAsia="Arial" w:cs="Arial"/>
          <w:sz w:val="20"/>
          <w:szCs w:val="20"/>
        </w:rPr>
      </w:pPr>
      <w:r>
        <w:rPr>
          <w:rFonts w:eastAsia="Arial" w:cs="Arial"/>
          <w:sz w:val="20"/>
          <w:szCs w:val="20"/>
          <w:u w:val="single"/>
        </w:rPr>
        <w:t>Website</w:t>
      </w:r>
      <w:r>
        <w:rPr>
          <w:rFonts w:eastAsia="Arial" w:cs="Arial"/>
          <w:sz w:val="20"/>
          <w:szCs w:val="20"/>
        </w:rPr>
        <w:t xml:space="preserve">. If KCD has a website, it must post its Relationship Summary prominently on such website in a location and format that is easily accessible. The online Relationship Summary must include hyperlinks to fee schedules, conflicts disclosures, </w:t>
      </w:r>
      <w:r>
        <w:rPr>
          <w:rFonts w:eastAsia="Arial" w:cs="Arial"/>
          <w:i/>
          <w:iCs/>
          <w:sz w:val="20"/>
          <w:szCs w:val="20"/>
        </w:rPr>
        <w:t>etc.</w:t>
      </w:r>
    </w:p>
    <w:p>
      <w:pPr>
        <w:numPr>
          <w:ilvl w:val="0"/>
          <w:numId w:val="748"/>
        </w:numPr>
        <w:spacing w:after="200"/>
        <w:ind w:left="720" w:hanging="267"/>
        <w:jc w:val="left"/>
        <w:rPr>
          <w:rFonts w:eastAsia="Arial" w:cs="Arial"/>
          <w:sz w:val="20"/>
          <w:szCs w:val="20"/>
        </w:rPr>
      </w:pPr>
      <w:r>
        <w:rPr>
          <w:rFonts w:eastAsia="Arial" w:cs="Arial"/>
          <w:sz w:val="20"/>
          <w:szCs w:val="20"/>
          <w:u w:val="single"/>
        </w:rPr>
        <w:t>Robo-Adviser</w:t>
      </w:r>
      <w:r>
        <w:rPr>
          <w:rFonts w:eastAsia="Arial" w:cs="Arial"/>
          <w:sz w:val="20"/>
          <w:szCs w:val="20"/>
        </w:rPr>
        <w:t>. If KCD is a robo-adviser that offers automated advisory services, it will include a section on its website that provides answers to the Relationship Summary's conversational starters and a hyperlink to KCD's Form CRS.</w:t>
      </w:r>
    </w:p>
    <w:p/>
    <w:p>
      <w:pPr>
        <w:pStyle w:val="Heading4"/>
      </w:pPr>
      <w:r>
        <w:t>11.3.6.3 Relationship Summary Updates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w:t>
      </w:r>
    </w:p>
    <w:p>
      <w:pPr>
        <w:numPr>
          <w:ilvl w:val="0"/>
          <w:numId w:val="749"/>
        </w:numPr>
        <w:spacing w:before="200"/>
        <w:ind w:left="720" w:hanging="267"/>
        <w:jc w:val="left"/>
        <w:rPr>
          <w:rFonts w:eastAsia="Arial" w:cs="Arial"/>
          <w:sz w:val="20"/>
          <w:szCs w:val="20"/>
        </w:rPr>
      </w:pPr>
      <w:r>
        <w:rPr>
          <w:rFonts w:eastAsia="Arial" w:cs="Arial"/>
          <w:sz w:val="20"/>
          <w:szCs w:val="20"/>
        </w:rPr>
        <w:t>update its Relationship Summary and file the updated Relationship Summary with the SEC within 30 days whenever any information in the document becomes materially inaccurate, and such filing shall additionally highlight the material changes; and</w:t>
      </w:r>
    </w:p>
    <w:p>
      <w:pPr>
        <w:numPr>
          <w:ilvl w:val="0"/>
          <w:numId w:val="749"/>
        </w:numPr>
        <w:ind w:left="720" w:hanging="267"/>
        <w:jc w:val="left"/>
        <w:rPr>
          <w:rFonts w:eastAsia="Arial" w:cs="Arial"/>
          <w:sz w:val="20"/>
          <w:szCs w:val="20"/>
        </w:rPr>
      </w:pPr>
      <w:r>
        <w:rPr>
          <w:rFonts w:eastAsia="Arial" w:cs="Arial"/>
          <w:sz w:val="20"/>
          <w:szCs w:val="20"/>
        </w:rPr>
        <w:t>provide electronically or otherwise free of charge either:</w:t>
      </w:r>
    </w:p>
    <w:p>
      <w:pPr>
        <w:numPr>
          <w:ilvl w:val="1"/>
          <w:numId w:val="749"/>
        </w:numPr>
        <w:ind w:left="1440" w:hanging="220"/>
        <w:jc w:val="left"/>
        <w:rPr>
          <w:rFonts w:eastAsia="Arial" w:cs="Arial"/>
          <w:sz w:val="20"/>
          <w:szCs w:val="20"/>
        </w:rPr>
      </w:pPr>
      <w:r>
        <w:rPr>
          <w:rFonts w:eastAsia="Arial" w:cs="Arial"/>
          <w:sz w:val="20"/>
          <w:szCs w:val="20"/>
        </w:rPr>
        <w:t>a summary of the updated Relationship Summary to clients within 60 days after the updates; or</w:t>
      </w:r>
    </w:p>
    <w:p>
      <w:pPr>
        <w:numPr>
          <w:ilvl w:val="1"/>
          <w:numId w:val="749"/>
        </w:numPr>
        <w:spacing w:after="200"/>
        <w:ind w:left="1440" w:hanging="220"/>
        <w:jc w:val="left"/>
        <w:rPr>
          <w:rFonts w:eastAsia="Arial" w:cs="Arial"/>
          <w:sz w:val="20"/>
          <w:szCs w:val="20"/>
        </w:rPr>
      </w:pPr>
      <w:r>
        <w:rPr>
          <w:rFonts w:eastAsia="Arial" w:cs="Arial"/>
          <w:sz w:val="20"/>
          <w:szCs w:val="20"/>
        </w:rPr>
        <w:t>the updated Relationship Summary.</w:t>
      </w:r>
    </w:p>
    <w:p>
      <w:bookmarkStart w:id="862" w:name="Sec_Chp_061016102257046_0610161022579213"/>
    </w:p>
    <w:p>
      <w:pPr>
        <w:pStyle w:val="Heading4"/>
      </w:pPr>
      <w:r>
        <w:t>11.3.6.4 Relationship Summary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file a Form CRS containing its Relationship Summary with the SEC electronically via IARD:</w:t>
      </w:r>
    </w:p>
    <w:p>
      <w:pPr>
        <w:numPr>
          <w:ilvl w:val="0"/>
          <w:numId w:val="750"/>
        </w:numPr>
        <w:spacing w:before="200"/>
        <w:ind w:left="720" w:hanging="192"/>
        <w:jc w:val="left"/>
        <w:rPr>
          <w:rFonts w:eastAsia="Arial" w:cs="Arial"/>
          <w:sz w:val="20"/>
          <w:szCs w:val="20"/>
        </w:rPr>
      </w:pPr>
      <w:r>
        <w:rPr>
          <w:rFonts w:eastAsia="Arial" w:cs="Arial"/>
          <w:sz w:val="20"/>
          <w:szCs w:val="20"/>
        </w:rPr>
        <w:t>Initially upon the first time filing date applicable to KCD as specified in Sections 7.A. and 7.C. of that Form;</w:t>
      </w:r>
    </w:p>
    <w:p>
      <w:pPr>
        <w:numPr>
          <w:ilvl w:val="0"/>
          <w:numId w:val="750"/>
        </w:numPr>
        <w:ind w:left="720" w:hanging="192"/>
        <w:jc w:val="left"/>
        <w:rPr>
          <w:rFonts w:eastAsia="Arial" w:cs="Arial"/>
          <w:sz w:val="20"/>
          <w:szCs w:val="20"/>
        </w:rPr>
      </w:pPr>
      <w:r>
        <w:rPr>
          <w:rFonts w:eastAsia="Arial" w:cs="Arial"/>
          <w:sz w:val="20"/>
          <w:szCs w:val="20"/>
        </w:rPr>
        <w:t>Annually as Part 3 of KCD's Form ADV update filing; and</w:t>
      </w:r>
    </w:p>
    <w:p>
      <w:pPr>
        <w:numPr>
          <w:ilvl w:val="0"/>
          <w:numId w:val="750"/>
        </w:numPr>
        <w:spacing w:after="200"/>
        <w:ind w:left="720" w:hanging="192"/>
        <w:jc w:val="left"/>
        <w:rPr>
          <w:rFonts w:eastAsia="Arial" w:cs="Arial"/>
          <w:sz w:val="20"/>
          <w:szCs w:val="20"/>
        </w:rPr>
      </w:pPr>
      <w:r>
        <w:rPr>
          <w:rFonts w:eastAsia="Arial" w:cs="Arial"/>
          <w:sz w:val="20"/>
          <w:szCs w:val="20"/>
        </w:rPr>
        <w:t>Within 30 days whenever information in the Relationship Summary becomes materially inaccurate and such filing shall include an exhibit that highlights the changes.</w:t>
      </w:r>
    </w:p>
    <w:p>
      <w:bookmarkEnd w:id="862"/>
      <w:bookmarkStart w:id="863" w:name="Sec_Chp_061016102257046_113737"/>
    </w:p>
    <w:p>
      <w:pPr>
        <w:pStyle w:val="Heading3"/>
      </w:pPr>
      <w:bookmarkStart w:id="864" w:name="_Toc256000221"/>
      <w:r>
        <w:t>11.3.7 Relationship Summary (Form CRS) Filing Requirement</w:t>
      </w:r>
      <w:bookmarkEnd w:id="864"/>
    </w:p>
    <w:p/>
    <w:p>
      <w:pPr>
        <w:rPr>
          <w:rFonts w:eastAsia="Arial" w:cs="Arial"/>
          <w:sz w:val="16"/>
          <w:szCs w:val="16"/>
        </w:rPr>
      </w:pPr>
    </w:p>
    <w:p>
      <w:pPr>
        <w:spacing w:after="200"/>
        <w:rPr>
          <w:rFonts w:eastAsia="Arial" w:cs="Arial"/>
          <w:sz w:val="20"/>
          <w:szCs w:val="20"/>
        </w:rPr>
      </w:pPr>
      <w:r>
        <w:rPr>
          <w:rFonts w:eastAsia="Arial" w:cs="Arial"/>
          <w:sz w:val="20"/>
          <w:szCs w:val="20"/>
          <w:u w:val="single"/>
        </w:rPr>
        <w:t>Ordinary Filings</w:t>
      </w:r>
    </w:p>
    <w:p>
      <w:pPr>
        <w:pStyle w:val="normal0"/>
        <w:spacing w:before="200" w:after="200"/>
        <w:rPr>
          <w:rFonts w:eastAsia="Arial" w:cs="Arial"/>
          <w:sz w:val="20"/>
          <w:szCs w:val="20"/>
        </w:rPr>
      </w:pPr>
      <w:r>
        <w:rPr>
          <w:rFonts w:eastAsia="Arial" w:cs="Arial"/>
          <w:sz w:val="20"/>
          <w:szCs w:val="20"/>
        </w:rPr>
        <w:t>KCD must file its initial Form CRS electronically with the SEC through the Central Registration Depository (Web CRD) operated by the Financial Industry Regulatory Authority, Inc. (FINRA), and thereafter, file an annual amended Form CRS in accordance with the instructions in Form CRS. KCD will make such filing in a text-searchable format and the filing will be structured with machine-readable headings.</w:t>
      </w:r>
    </w:p>
    <w:p>
      <w:pPr>
        <w:pStyle w:val="normal0"/>
        <w:spacing w:before="200" w:after="200"/>
        <w:rPr>
          <w:rFonts w:eastAsia="Arial" w:cs="Arial"/>
          <w:sz w:val="20"/>
          <w:szCs w:val="20"/>
        </w:rPr>
      </w:pPr>
      <w:r>
        <w:rPr>
          <w:rFonts w:eastAsia="Arial" w:cs="Arial"/>
          <w:sz w:val="20"/>
          <w:szCs w:val="20"/>
          <w:u w:val="single"/>
        </w:rPr>
        <w:t>Amendment Filings</w:t>
      </w:r>
    </w:p>
    <w:p>
      <w:pPr>
        <w:pStyle w:val="normal0"/>
        <w:spacing w:before="200" w:after="200"/>
        <w:rPr>
          <w:rFonts w:eastAsia="Arial" w:cs="Arial"/>
          <w:sz w:val="20"/>
          <w:szCs w:val="20"/>
        </w:rPr>
      </w:pPr>
      <w:r>
        <w:rPr>
          <w:rFonts w:eastAsia="Arial" w:cs="Arial"/>
          <w:sz w:val="20"/>
          <w:szCs w:val="20"/>
        </w:rPr>
        <w:t>KCD will file an amended Relationship Summary as an other-than-annual amendment or by including the relationship summary as part of an annual updating amendment, within the 30 days of information in its Form CRS becoming materially inaccurate. KCD will communicate the material changes to retail clients who are existing clients within 60 days after the updates are required to be made and without charge.</w:t>
      </w:r>
    </w:p>
    <w:p>
      <w:pPr>
        <w:pStyle w:val="normal0"/>
        <w:spacing w:before="200" w:after="200"/>
        <w:rPr>
          <w:rFonts w:eastAsia="Arial" w:cs="Arial"/>
          <w:sz w:val="20"/>
          <w:szCs w:val="20"/>
        </w:rPr>
      </w:pPr>
      <w:r>
        <w:rPr>
          <w:rFonts w:eastAsia="Arial" w:cs="Arial"/>
          <w:sz w:val="20"/>
          <w:szCs w:val="20"/>
        </w:rPr>
        <w:t>KCD will submit amended versions of its Relationship Summary as part of its annual updating amendment.</w:t>
      </w:r>
    </w:p>
    <w:p>
      <w:bookmarkEnd w:id="863"/>
      <w:bookmarkStart w:id="865" w:name="Sec_Chp_061016102257046_061016102257921"/>
    </w:p>
    <w:p>
      <w:pPr>
        <w:pStyle w:val="Heading3"/>
      </w:pPr>
      <w:bookmarkStart w:id="866" w:name="_Toc256000222"/>
      <w:r>
        <w:t>11.3.8 Adviser Representative Registration</w:t>
      </w:r>
      <w:bookmarkEnd w:id="866"/>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Most states require investment advisers to file registration statements for their investment adviser representatives on Form U-4 through the IARD system. </w:t>
      </w:r>
    </w:p>
    <w:p>
      <w:bookmarkEnd w:id="865"/>
      <w:bookmarkStart w:id="867" w:name="Sec_Chp_061016102257046_061016102257937"/>
    </w:p>
    <w:p>
      <w:pPr>
        <w:pStyle w:val="Heading4"/>
      </w:pPr>
      <w:r>
        <w:t>11.3.8.1 Investment Adviser Representative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is responsible for reviewing the functions of each employee of KCD to determine whether such employee meets the definition of "investment adviser representative." An employee shall only have the title and status of "Adviser Representative" after he or she has been duly licensed as an investment adviser representative by the appropriate state(s).</w:t>
      </w:r>
    </w:p>
    <w:p>
      <w:pPr>
        <w:pStyle w:val="normal0"/>
        <w:spacing w:before="200" w:after="200"/>
        <w:rPr>
          <w:rFonts w:eastAsia="Arial" w:cs="Arial"/>
          <w:sz w:val="20"/>
          <w:szCs w:val="20"/>
        </w:rPr>
      </w:pPr>
      <w:r>
        <w:rPr>
          <w:rFonts w:eastAsia="Arial" w:cs="Arial"/>
          <w:sz w:val="20"/>
          <w:szCs w:val="20"/>
        </w:rPr>
        <w:t>Only those employees of an investment adviser who give advice to individual investors will have to register as an investment adviser representative with a state. Such employees will not have to register with the state if they do not meet or otherwise communicate with clients or they give only impersonal investment advice.</w:t>
      </w:r>
    </w:p>
    <w:p>
      <w:pPr>
        <w:pStyle w:val="normal0"/>
        <w:spacing w:before="200" w:after="200"/>
        <w:rPr>
          <w:rFonts w:eastAsia="Arial" w:cs="Arial"/>
          <w:sz w:val="20"/>
          <w:szCs w:val="20"/>
        </w:rPr>
      </w:pPr>
      <w:r>
        <w:rPr>
          <w:rFonts w:eastAsia="Arial" w:cs="Arial"/>
          <w:sz w:val="20"/>
          <w:szCs w:val="20"/>
        </w:rPr>
        <w:t xml:space="preserve">The Chief Compliance Officer will follow the procedures set forth below to determine whether an employee of KCD must register as an investment adviser representative with a state: </w:t>
      </w:r>
    </w:p>
    <w:p>
      <w:pPr>
        <w:pStyle w:val="normal0"/>
        <w:spacing w:before="200" w:after="200"/>
        <w:rPr>
          <w:rFonts w:eastAsia="Arial" w:cs="Arial"/>
          <w:sz w:val="20"/>
          <w:szCs w:val="20"/>
        </w:rPr>
      </w:pPr>
      <w:r>
        <w:rPr>
          <w:rFonts w:eastAsia="Arial" w:cs="Arial"/>
          <w:sz w:val="20"/>
          <w:szCs w:val="20"/>
        </w:rPr>
        <w:t xml:space="preserve">1. The Chief Compliance Officer will determine which employees of KCD are "supervised persons." </w:t>
      </w:r>
    </w:p>
    <w:p>
      <w:pPr>
        <w:pStyle w:val="normal0"/>
        <w:spacing w:before="200" w:after="200"/>
        <w:rPr>
          <w:rFonts w:eastAsia="Arial" w:cs="Arial"/>
          <w:sz w:val="20"/>
          <w:szCs w:val="20"/>
        </w:rPr>
      </w:pPr>
      <w:r>
        <w:rPr>
          <w:rFonts w:eastAsia="Arial" w:cs="Arial"/>
          <w:sz w:val="20"/>
          <w:szCs w:val="20"/>
        </w:rPr>
        <w:t xml:space="preserve">A firm employee is a "supervised person" if he or she is a partner, officer, director or employee of KCD who: </w:t>
      </w:r>
    </w:p>
    <w:p>
      <w:pPr>
        <w:numPr>
          <w:ilvl w:val="0"/>
          <w:numId w:val="751"/>
        </w:numPr>
        <w:spacing w:before="200"/>
        <w:ind w:left="720" w:hanging="192"/>
        <w:jc w:val="left"/>
        <w:rPr>
          <w:rFonts w:eastAsia="Arial" w:cs="Arial"/>
          <w:sz w:val="20"/>
          <w:szCs w:val="20"/>
        </w:rPr>
      </w:pPr>
      <w:r>
        <w:rPr>
          <w:rFonts w:eastAsia="Arial" w:cs="Arial"/>
          <w:sz w:val="20"/>
          <w:szCs w:val="20"/>
        </w:rPr>
        <w:t xml:space="preserve">Provides investment advice; and </w:t>
      </w:r>
    </w:p>
    <w:p>
      <w:pPr>
        <w:numPr>
          <w:ilvl w:val="0"/>
          <w:numId w:val="751"/>
        </w:numPr>
        <w:spacing w:after="200"/>
        <w:ind w:left="720" w:hanging="192"/>
        <w:jc w:val="left"/>
        <w:rPr>
          <w:rFonts w:eastAsia="Arial" w:cs="Arial"/>
          <w:sz w:val="20"/>
          <w:szCs w:val="20"/>
        </w:rPr>
      </w:pPr>
      <w:r>
        <w:rPr>
          <w:rFonts w:eastAsia="Arial" w:cs="Arial"/>
          <w:sz w:val="20"/>
          <w:szCs w:val="20"/>
        </w:rPr>
        <w:t xml:space="preserve">Is under the control and supervision of KCD. </w:t>
      </w:r>
    </w:p>
    <w:p>
      <w:pPr>
        <w:pStyle w:val="normal0"/>
        <w:spacing w:before="200" w:after="200"/>
        <w:rPr>
          <w:rFonts w:eastAsia="Arial" w:cs="Arial"/>
          <w:sz w:val="20"/>
          <w:szCs w:val="20"/>
        </w:rPr>
      </w:pPr>
      <w:r>
        <w:rPr>
          <w:rFonts w:eastAsia="Arial" w:cs="Arial"/>
          <w:sz w:val="20"/>
          <w:szCs w:val="20"/>
        </w:rPr>
        <w:t xml:space="preserve">If an employee is not a "supervised person," he or she will not have to register. </w:t>
      </w:r>
    </w:p>
    <w:p>
      <w:pPr>
        <w:pStyle w:val="normal0"/>
        <w:spacing w:before="200" w:after="200"/>
        <w:rPr>
          <w:rFonts w:eastAsia="Arial" w:cs="Arial"/>
          <w:sz w:val="20"/>
          <w:szCs w:val="20"/>
        </w:rPr>
      </w:pPr>
      <w:r>
        <w:rPr>
          <w:rFonts w:eastAsia="Arial" w:cs="Arial"/>
          <w:sz w:val="20"/>
          <w:szCs w:val="20"/>
        </w:rPr>
        <w:t xml:space="preserve">2. The Chief Compliance Officer will determine which supervised persons are investment adviser representatives. </w:t>
      </w:r>
    </w:p>
    <w:p>
      <w:pPr>
        <w:pStyle w:val="normal0"/>
        <w:spacing w:before="200" w:after="200"/>
        <w:rPr>
          <w:rFonts w:eastAsia="Arial" w:cs="Arial"/>
          <w:sz w:val="20"/>
          <w:szCs w:val="20"/>
        </w:rPr>
      </w:pPr>
      <w:r>
        <w:rPr>
          <w:rFonts w:eastAsia="Arial" w:cs="Arial"/>
          <w:sz w:val="20"/>
          <w:szCs w:val="20"/>
        </w:rPr>
        <w:t>A firm employee who is a supervised person will be an "investment adviser representative" if he or she is a "supervised person" whose investment advice in the preceding 12 months was provided to more than 5 clients, more than 10% of whom were natural persons. In making this calculation, the Chief Compliance Officer may exclude:</w:t>
      </w:r>
    </w:p>
    <w:p>
      <w:pPr>
        <w:numPr>
          <w:ilvl w:val="0"/>
          <w:numId w:val="752"/>
        </w:numPr>
        <w:spacing w:before="200"/>
        <w:ind w:left="720" w:hanging="192"/>
        <w:jc w:val="left"/>
        <w:rPr>
          <w:rFonts w:eastAsia="Arial" w:cs="Arial"/>
          <w:sz w:val="20"/>
          <w:szCs w:val="20"/>
        </w:rPr>
      </w:pPr>
      <w:r>
        <w:rPr>
          <w:rFonts w:eastAsia="Arial" w:cs="Arial"/>
          <w:sz w:val="20"/>
          <w:szCs w:val="20"/>
        </w:rPr>
        <w:t xml:space="preserve">Those clients with $750,000 under management at KCD; </w:t>
      </w:r>
    </w:p>
    <w:p>
      <w:pPr>
        <w:numPr>
          <w:ilvl w:val="0"/>
          <w:numId w:val="752"/>
        </w:numPr>
        <w:ind w:left="720" w:hanging="192"/>
        <w:jc w:val="left"/>
        <w:rPr>
          <w:rFonts w:eastAsia="Arial" w:cs="Arial"/>
          <w:sz w:val="20"/>
          <w:szCs w:val="20"/>
        </w:rPr>
      </w:pPr>
      <w:r>
        <w:rPr>
          <w:rFonts w:eastAsia="Arial" w:cs="Arial"/>
          <w:sz w:val="20"/>
          <w:szCs w:val="20"/>
        </w:rPr>
        <w:t xml:space="preserve">Those clients with a net worth of at least $1,500,000; and </w:t>
      </w:r>
    </w:p>
    <w:p>
      <w:pPr>
        <w:numPr>
          <w:ilvl w:val="0"/>
          <w:numId w:val="752"/>
        </w:numPr>
        <w:spacing w:after="200"/>
        <w:ind w:left="720" w:hanging="192"/>
        <w:jc w:val="left"/>
        <w:rPr>
          <w:rFonts w:eastAsia="Arial" w:cs="Arial"/>
          <w:sz w:val="20"/>
          <w:szCs w:val="20"/>
        </w:rPr>
      </w:pPr>
      <w:r>
        <w:rPr>
          <w:rFonts w:eastAsia="Arial" w:cs="Arial"/>
          <w:sz w:val="20"/>
          <w:szCs w:val="20"/>
        </w:rPr>
        <w:t>Those clients who are qualified purchasers (as defined in the Investment Company Act of 1940) because they own at least $5,000,000 of investments.</w:t>
      </w:r>
    </w:p>
    <w:p>
      <w:bookmarkEnd w:id="867"/>
      <w:bookmarkStart w:id="868" w:name="Sec_Chp_061016102257046_061016102257953"/>
    </w:p>
    <w:p>
      <w:pPr>
        <w:pStyle w:val="Heading4"/>
      </w:pPr>
      <w:r>
        <w:t>11.3.8.2 State Licensing</w:t>
      </w:r>
    </w:p>
    <w:p/>
    <w:p>
      <w:pPr>
        <w:rPr>
          <w:rFonts w:eastAsia="Arial" w:cs="Arial"/>
          <w:sz w:val="16"/>
          <w:szCs w:val="16"/>
        </w:rPr>
      </w:pPr>
      <w:r>
        <w:rPr>
          <w:rFonts w:eastAsia="Arial" w:cs="Arial"/>
          <w:sz w:val="16"/>
          <w:szCs w:val="16"/>
        </w:rPr>
        <w:t>[Investment Advisers Act of 1940 Section 203A]</w:t>
      </w:r>
    </w:p>
    <w:p/>
    <w:p>
      <w:pPr>
        <w:pStyle w:val="normal0"/>
        <w:spacing w:after="200"/>
        <w:rPr>
          <w:rFonts w:eastAsia="Arial" w:cs="Arial"/>
          <w:sz w:val="20"/>
          <w:szCs w:val="20"/>
        </w:rPr>
      </w:pPr>
      <w:r>
        <w:rPr>
          <w:rFonts w:eastAsia="Arial" w:cs="Arial"/>
          <w:sz w:val="20"/>
          <w:szCs w:val="20"/>
        </w:rPr>
        <w:t>The Investment Advisers Act, not state law, controls when an employee of an investment adviser must be licensed by a state through the definition of "investment adviser representative" contained in that Act.</w:t>
      </w:r>
    </w:p>
    <w:p>
      <w:pPr>
        <w:pStyle w:val="normal0"/>
        <w:spacing w:before="200" w:after="200"/>
        <w:rPr>
          <w:rFonts w:eastAsia="Arial" w:cs="Arial"/>
          <w:sz w:val="20"/>
          <w:szCs w:val="20"/>
        </w:rPr>
      </w:pPr>
      <w:r>
        <w:rPr>
          <w:rFonts w:eastAsia="Arial" w:cs="Arial"/>
          <w:sz w:val="20"/>
          <w:szCs w:val="20"/>
        </w:rPr>
        <w:t>The Chief Compliance Officer will review Section 203A of the Advisers Act and rules thereunder prior to deciding whether an employee who meets the definition of an "investment adviser representative" is required to be licensed in a particular state. Each investment adviser representative of KCD potentially must be licensed in all states where he or she has a "place of business." A "place of business" is:</w:t>
      </w:r>
    </w:p>
    <w:p>
      <w:pPr>
        <w:numPr>
          <w:ilvl w:val="0"/>
          <w:numId w:val="753"/>
        </w:numPr>
        <w:spacing w:before="200"/>
        <w:ind w:left="720" w:hanging="192"/>
        <w:jc w:val="left"/>
        <w:rPr>
          <w:rFonts w:eastAsia="Arial" w:cs="Arial"/>
          <w:sz w:val="20"/>
          <w:szCs w:val="20"/>
        </w:rPr>
      </w:pPr>
      <w:r>
        <w:rPr>
          <w:rFonts w:eastAsia="Arial" w:cs="Arial"/>
          <w:sz w:val="20"/>
          <w:szCs w:val="20"/>
        </w:rPr>
        <w:t>an office at which the adviser representative regularly provides advisory services, solicits, meets with, or otherwise communicates with clients; and</w:t>
      </w:r>
    </w:p>
    <w:p>
      <w:pPr>
        <w:numPr>
          <w:ilvl w:val="0"/>
          <w:numId w:val="753"/>
        </w:numPr>
        <w:spacing w:after="200"/>
        <w:ind w:left="720" w:hanging="192"/>
        <w:jc w:val="left"/>
        <w:rPr>
          <w:rFonts w:eastAsia="Arial" w:cs="Arial"/>
          <w:sz w:val="20"/>
          <w:szCs w:val="20"/>
        </w:rPr>
      </w:pPr>
      <w:r>
        <w:rPr>
          <w:rFonts w:eastAsia="Arial" w:cs="Arial"/>
          <w:sz w:val="20"/>
          <w:szCs w:val="20"/>
        </w:rPr>
        <w:t>any other location that is held out to the general public as a location at which the adviser representative provides advisory services, solicits, meets with, or otherwise communicates with clients.</w:t>
      </w:r>
    </w:p>
    <w:p>
      <w:pPr>
        <w:pStyle w:val="normal0"/>
        <w:spacing w:before="200" w:after="200"/>
        <w:rPr>
          <w:rFonts w:eastAsia="Arial" w:cs="Arial"/>
          <w:sz w:val="20"/>
          <w:szCs w:val="20"/>
        </w:rPr>
      </w:pPr>
      <w:r>
        <w:rPr>
          <w:rFonts w:eastAsia="Arial" w:cs="Arial"/>
          <w:sz w:val="20"/>
          <w:szCs w:val="20"/>
        </w:rPr>
        <w:t>An adviser representative is considered to "hold himself out to the general public as having a location at which he or she conducts advisory business" by publishing information in a professional directory or a communication that identifies the location as one at which the adviser representative is or will be available to meet or communicate with clients.</w:t>
      </w:r>
    </w:p>
    <w:p>
      <w:pPr>
        <w:pStyle w:val="normal0"/>
        <w:spacing w:before="200" w:after="200"/>
        <w:rPr>
          <w:rFonts w:eastAsia="Arial" w:cs="Arial"/>
          <w:sz w:val="20"/>
          <w:szCs w:val="20"/>
        </w:rPr>
      </w:pPr>
      <w:r>
        <w:rPr>
          <w:rFonts w:eastAsia="Arial" w:cs="Arial"/>
          <w:i/>
          <w:iCs/>
          <w:sz w:val="20"/>
          <w:szCs w:val="20"/>
        </w:rPr>
        <w:t>Notice:</w:t>
      </w:r>
      <w:r>
        <w:rPr>
          <w:rFonts w:eastAsia="Arial" w:cs="Arial"/>
          <w:sz w:val="20"/>
          <w:szCs w:val="20"/>
        </w:rPr>
        <w:t xml:space="preserve"> Some states require third party solicitors of KCD (</w:t>
      </w:r>
      <w:r>
        <w:rPr>
          <w:rFonts w:eastAsia="Arial" w:cs="Arial"/>
          <w:i/>
          <w:iCs/>
          <w:sz w:val="20"/>
          <w:szCs w:val="20"/>
        </w:rPr>
        <w:t>i.e.,</w:t>
      </w:r>
      <w:r>
        <w:rPr>
          <w:rFonts w:eastAsia="Arial" w:cs="Arial"/>
          <w:sz w:val="20"/>
          <w:szCs w:val="20"/>
        </w:rPr>
        <w:t xml:space="preserve"> individuals who solicit advisory clients for KCD but who are not employed by KCD or subject to KCD's control) to be licensed as an "investment adviser representative" if they are in the state or if they solicit clients in the state even if they do not have a place of business there and even if the clients are all entities or wealthy individuals.</w:t>
      </w:r>
    </w:p>
    <w:p>
      <w:pPr>
        <w:pStyle w:val="normal0"/>
        <w:spacing w:before="200" w:after="200"/>
        <w:rPr>
          <w:rFonts w:eastAsia="Arial" w:cs="Arial"/>
          <w:sz w:val="20"/>
          <w:szCs w:val="20"/>
        </w:rPr>
      </w:pPr>
      <w:r>
        <w:rPr>
          <w:rFonts w:eastAsia="Arial" w:cs="Arial"/>
          <w:sz w:val="20"/>
          <w:szCs w:val="20"/>
        </w:rPr>
        <w:t xml:space="preserve">When the Chief Compliance Officer determines that an employee meets the SEC's definition of "investment adviser representative" as defined above because the employee has a place of business in a particular state or multiple states, the Chief Compliance Officer will check that state's laws to determine whether an exemption from that state's licensing requirement is available and, if not, will direct such employee to comply with that state's procedures to obtain an investment adviser representative license from that state. </w:t>
      </w:r>
    </w:p>
    <w:p>
      <w:bookmarkEnd w:id="868"/>
      <w:bookmarkStart w:id="869" w:name="Sec_Chp_061016102257046_061016102257968"/>
    </w:p>
    <w:p>
      <w:pPr>
        <w:pStyle w:val="Heading4"/>
      </w:pPr>
      <w:r>
        <w:t xml:space="preserve">11.3.8.3 Adviser Representative Registration Procedures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is responsible for filing all necessary registration and licensing materials with federal and state regulatory agencies in connection with the registration of each Adviser Representative and will maintain an up-to-date Investment Adviser Representative List showing the status of each registration. When registering a KCD Adviser Representative, the Chief Compliance Officer will take the following steps: </w:t>
      </w:r>
    </w:p>
    <w:p>
      <w:pPr>
        <w:numPr>
          <w:ilvl w:val="0"/>
          <w:numId w:val="754"/>
        </w:numPr>
        <w:spacing w:before="200"/>
        <w:ind w:left="720" w:hanging="267"/>
        <w:jc w:val="left"/>
        <w:rPr>
          <w:rFonts w:eastAsia="Arial" w:cs="Arial"/>
          <w:sz w:val="20"/>
          <w:szCs w:val="20"/>
        </w:rPr>
      </w:pPr>
      <w:r>
        <w:rPr>
          <w:rFonts w:eastAsia="Arial" w:cs="Arial"/>
          <w:sz w:val="20"/>
          <w:szCs w:val="20"/>
        </w:rPr>
        <w:t xml:space="preserve">Prior to the submission of an application for registration or licensing of any person with any regulatory authority, the Chief Compliance Officer will arrange for a background check on the applicant to determine his or her reputation, qualification and experience; </w:t>
      </w:r>
    </w:p>
    <w:p>
      <w:pPr>
        <w:numPr>
          <w:ilvl w:val="0"/>
          <w:numId w:val="754"/>
        </w:numPr>
        <w:ind w:left="720" w:hanging="267"/>
        <w:jc w:val="left"/>
        <w:rPr>
          <w:rFonts w:eastAsia="Arial" w:cs="Arial"/>
          <w:sz w:val="20"/>
          <w:szCs w:val="20"/>
        </w:rPr>
      </w:pPr>
      <w:r>
        <w:rPr>
          <w:rFonts w:eastAsia="Arial" w:cs="Arial"/>
          <w:sz w:val="20"/>
          <w:szCs w:val="20"/>
        </w:rPr>
        <w:t xml:space="preserve">The Chief Compliance Officer will not register an employee as an investment adviser representative of KCD until all of the employee's associations with other investment advisers have been investigated and terminated; </w:t>
      </w:r>
    </w:p>
    <w:p>
      <w:pPr>
        <w:numPr>
          <w:ilvl w:val="0"/>
          <w:numId w:val="754"/>
        </w:numPr>
        <w:ind w:left="720" w:hanging="267"/>
        <w:jc w:val="left"/>
        <w:rPr>
          <w:rFonts w:eastAsia="Arial" w:cs="Arial"/>
          <w:sz w:val="20"/>
          <w:szCs w:val="20"/>
        </w:rPr>
      </w:pPr>
      <w:r>
        <w:rPr>
          <w:rFonts w:eastAsia="Arial" w:cs="Arial"/>
          <w:sz w:val="20"/>
          <w:szCs w:val="20"/>
        </w:rPr>
        <w:t xml:space="preserve">The Chief Compliance Officer will not file the U-4 registration form for an employee until the Chief Compliance Officer determines whether the applicable state requires the employee to pass an examination (e.g., Series 65 (Uniform Investment Adviser) Exam, Series 66 (Uniform Combined State Law) or Series 7 (General Securities Representative) Exam), waives the examination if the employee has earned certain particular designations (e.g., CFP, CFC, PFS, CFA or CIC), or waives the examination requirement because of experience or education; </w:t>
      </w:r>
    </w:p>
    <w:p>
      <w:pPr>
        <w:numPr>
          <w:ilvl w:val="0"/>
          <w:numId w:val="754"/>
        </w:numPr>
        <w:ind w:left="720" w:hanging="267"/>
        <w:jc w:val="left"/>
        <w:rPr>
          <w:rFonts w:eastAsia="Arial" w:cs="Arial"/>
          <w:sz w:val="20"/>
          <w:szCs w:val="20"/>
        </w:rPr>
      </w:pPr>
      <w:r>
        <w:rPr>
          <w:rFonts w:eastAsia="Arial" w:cs="Arial"/>
          <w:sz w:val="20"/>
          <w:szCs w:val="20"/>
        </w:rPr>
        <w:t>The Chief Compliance Officer will verify that the employee has passed any required examinations or has the required designation;</w:t>
      </w:r>
    </w:p>
    <w:p>
      <w:pPr>
        <w:numPr>
          <w:ilvl w:val="0"/>
          <w:numId w:val="754"/>
        </w:numPr>
        <w:ind w:left="720" w:hanging="267"/>
        <w:jc w:val="left"/>
        <w:rPr>
          <w:rFonts w:eastAsia="Arial" w:cs="Arial"/>
          <w:sz w:val="20"/>
          <w:szCs w:val="20"/>
        </w:rPr>
      </w:pPr>
      <w:r>
        <w:rPr>
          <w:rFonts w:eastAsia="Arial" w:cs="Arial"/>
          <w:sz w:val="20"/>
          <w:szCs w:val="20"/>
        </w:rPr>
        <w:t xml:space="preserve">Once the Chief Compliance Officer is satisfied that the employee is required to register with a state as an investment adviser representative, and can qualify for such registration, the Chief Compliance Officer will review the registration requirements of the applicable state(s) (including whether the state is part of the IARD system) and make the necessary filings; </w:t>
      </w:r>
    </w:p>
    <w:p>
      <w:pPr>
        <w:numPr>
          <w:ilvl w:val="0"/>
          <w:numId w:val="754"/>
        </w:numPr>
        <w:ind w:left="720" w:hanging="267"/>
        <w:jc w:val="left"/>
        <w:rPr>
          <w:rFonts w:eastAsia="Arial" w:cs="Arial"/>
          <w:sz w:val="20"/>
          <w:szCs w:val="20"/>
        </w:rPr>
      </w:pPr>
      <w:r>
        <w:rPr>
          <w:rFonts w:eastAsia="Arial" w:cs="Arial"/>
          <w:sz w:val="20"/>
          <w:szCs w:val="20"/>
        </w:rPr>
        <w:t xml:space="preserve">Typically, a state requires the investment adviser representative filing package to be filed electronically or in hard copy and to contain: (1) a completed Form U-4; (2) electronic payment or a check or money order for the fee; and (3) proof that the applicant has passed a required investment adviser exam; </w:t>
      </w:r>
    </w:p>
    <w:p>
      <w:pPr>
        <w:numPr>
          <w:ilvl w:val="0"/>
          <w:numId w:val="754"/>
        </w:numPr>
        <w:ind w:left="720" w:hanging="267"/>
        <w:jc w:val="left"/>
        <w:rPr>
          <w:rFonts w:eastAsia="Arial" w:cs="Arial"/>
          <w:sz w:val="20"/>
          <w:szCs w:val="20"/>
        </w:rPr>
      </w:pPr>
      <w:r>
        <w:rPr>
          <w:rFonts w:eastAsia="Arial" w:cs="Arial"/>
          <w:sz w:val="20"/>
          <w:szCs w:val="20"/>
        </w:rPr>
        <w:t xml:space="preserve">The Chief Compliance Officer will inform the Adviser Representative applicant that he or she may not provide investment advice to any client until he or she has received notice from the Chief Compliance Officer that he or she has been granted an investment adviser representative license from the appropriate state(s) (unless such license is not necessary); and </w:t>
      </w:r>
    </w:p>
    <w:p>
      <w:pPr>
        <w:numPr>
          <w:ilvl w:val="0"/>
          <w:numId w:val="754"/>
        </w:numPr>
        <w:spacing w:after="200"/>
        <w:ind w:left="720" w:hanging="267"/>
        <w:jc w:val="left"/>
        <w:rPr>
          <w:rFonts w:eastAsia="Arial" w:cs="Arial"/>
          <w:sz w:val="20"/>
          <w:szCs w:val="20"/>
        </w:rPr>
      </w:pPr>
      <w:r>
        <w:rPr>
          <w:rFonts w:eastAsia="Arial" w:cs="Arial"/>
          <w:sz w:val="20"/>
          <w:szCs w:val="20"/>
        </w:rPr>
        <w:t xml:space="preserve">The Chief Compliance Officer will arrange for KCD to make annual or more frequent payments, as required, to each such state to maintain the registration of each of its Adviser Representatives. </w:t>
      </w:r>
    </w:p>
    <w:p>
      <w:bookmarkEnd w:id="869"/>
      <w:bookmarkStart w:id="870" w:name="Sec_Chp_061016102257046_061016102257984"/>
    </w:p>
    <w:p>
      <w:pPr>
        <w:pStyle w:val="Heading4"/>
      </w:pPr>
      <w:r>
        <w:t xml:space="preserve">11.3.8.4 Adviser Representative Registration Amendments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and each licensed Adviser Representative have a continuing obligation to promptly update a Form U-4 or any other form on file with a regulatory agency. This may necessitate the filing of amendments to such forms. Each Adviser Representative must notify KCD of any changes that require an amendment to Form U-4, including for example, a change of home address, a married name (versus a maiden name), and any disciplinary matter. </w:t>
      </w:r>
    </w:p>
    <w:p>
      <w:bookmarkEnd w:id="870"/>
      <w:bookmarkStart w:id="871" w:name="Sec_Chp_061016102257046_061016102258000"/>
    </w:p>
    <w:p>
      <w:pPr>
        <w:pStyle w:val="Heading5"/>
      </w:pPr>
      <w:r>
        <w:t xml:space="preserve">11.3.8.4.1 Registration Database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 database of all licensing and registration information for Adviser Representatives. The Chief Compliance Officer or designee shall monitor the data base to ensure that Adviser Representative licenses are kept current.</w:t>
      </w:r>
    </w:p>
    <w:p>
      <w:bookmarkEnd w:id="871"/>
      <w:bookmarkStart w:id="872" w:name="Sec_Chp_061016102257046_061016102258015"/>
    </w:p>
    <w:p>
      <w:pPr>
        <w:pStyle w:val="Heading5"/>
      </w:pPr>
      <w:r>
        <w:t>11.3.8.4.2 Adviser Representative Registration Responsibilities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Adviser Representative must notify the Chief Compliance Officer in a timely manner of a change in:</w:t>
      </w:r>
    </w:p>
    <w:p>
      <w:pPr>
        <w:numPr>
          <w:ilvl w:val="0"/>
          <w:numId w:val="755"/>
        </w:numPr>
        <w:spacing w:before="200"/>
        <w:ind w:left="720" w:hanging="192"/>
        <w:jc w:val="left"/>
        <w:rPr>
          <w:rFonts w:eastAsia="Arial" w:cs="Arial"/>
          <w:sz w:val="20"/>
          <w:szCs w:val="20"/>
        </w:rPr>
      </w:pPr>
      <w:r>
        <w:rPr>
          <w:rFonts w:eastAsia="Arial" w:cs="Arial"/>
          <w:sz w:val="20"/>
          <w:szCs w:val="20"/>
        </w:rPr>
        <w:t xml:space="preserve">job responsibilities that may effect his or her licensing status or requirements; and </w:t>
      </w:r>
    </w:p>
    <w:p>
      <w:pPr>
        <w:numPr>
          <w:ilvl w:val="0"/>
          <w:numId w:val="755"/>
        </w:numPr>
        <w:spacing w:after="200"/>
        <w:ind w:left="720" w:hanging="192"/>
        <w:jc w:val="left"/>
        <w:rPr>
          <w:rFonts w:eastAsia="Arial" w:cs="Arial"/>
          <w:sz w:val="20"/>
          <w:szCs w:val="20"/>
        </w:rPr>
      </w:pPr>
      <w:r>
        <w:rPr>
          <w:rFonts w:eastAsia="Arial" w:cs="Arial"/>
          <w:sz w:val="20"/>
          <w:szCs w:val="20"/>
        </w:rPr>
        <w:t>home address, a married name (versus a maiden name), any disciplinary matter, or other events that may require an amendment to his or her Form U-4.</w:t>
      </w:r>
    </w:p>
    <w:p>
      <w:bookmarkEnd w:id="872"/>
      <w:bookmarkStart w:id="873" w:name="Sec_Chp_061016102257046_061016102258031"/>
    </w:p>
    <w:p>
      <w:pPr>
        <w:pStyle w:val="Heading5"/>
      </w:pPr>
      <w:r>
        <w:t>11.3.8.4.3 Chief Compliance Officer Registration Responsibilities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or designee shall arrange for the filing of the appropriate amendments to Form U-4 and any other registration documents in response to change of status of Adviser Representatives.</w:t>
      </w:r>
    </w:p>
    <w:p>
      <w:bookmarkEnd w:id="873"/>
      <w:bookmarkStart w:id="874" w:name="Sec_Chp_061016102257046_061016102258046"/>
    </w:p>
    <w:p>
      <w:pPr>
        <w:pStyle w:val="Heading4"/>
      </w:pPr>
      <w:r>
        <w:t xml:space="preserve">11.3.8.5 Adviser Representative Registration Renewals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Since investment adviser representative licenses typically expire at the end of some period (e.g., December 31st), the Chief Compliance Officer will take steps to renew each investment adviser representative license each year. Most states require the renewal license to be filed shortly before the expiration date (e.g., October or November if the expiration period is December 31st). Renewal filings typically must be accompanied by a fee or a fee will be deducted electronically. The Chief Compliance Officer will check each applicable state's renewal procedures, including whether the state is part of the IARD system.</w:t>
      </w:r>
    </w:p>
    <w:p>
      <w:bookmarkEnd w:id="874"/>
      <w:bookmarkStart w:id="875" w:name="Sec_Chp_061016102257046_061016102258062"/>
    </w:p>
    <w:p>
      <w:pPr>
        <w:pStyle w:val="Heading4"/>
      </w:pPr>
      <w:r>
        <w:t xml:space="preserve">11.3.8.6 Adviser Representative Registration Withdrawals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human resources department or similar area of KCD shall notify the Chief Compliance Officer of all employee terminations. The investment department or similar area of KCD shall notify the Chief Compliance Officer if an employee or officer is no longer providing advisory services.</w:t>
      </w:r>
    </w:p>
    <w:p>
      <w:bookmarkEnd w:id="875"/>
      <w:bookmarkStart w:id="876" w:name="Sec_Chp_061016102257046_061016102258078"/>
    </w:p>
    <w:p>
      <w:pPr>
        <w:pStyle w:val="Heading5"/>
      </w:pPr>
      <w:r>
        <w:t xml:space="preserve">11.3.8.6.1 Form U-5s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cause KCD to file a Form U-5 on the IARD system in connection with an Adviser Representative registration upon notification that such Adviser Representative:</w:t>
      </w:r>
    </w:p>
    <w:p>
      <w:pPr>
        <w:numPr>
          <w:ilvl w:val="0"/>
          <w:numId w:val="756"/>
        </w:numPr>
        <w:spacing w:before="200"/>
        <w:ind w:left="720" w:hanging="192"/>
        <w:jc w:val="left"/>
        <w:rPr>
          <w:rFonts w:eastAsia="Arial" w:cs="Arial"/>
          <w:sz w:val="20"/>
          <w:szCs w:val="20"/>
        </w:rPr>
      </w:pPr>
      <w:r>
        <w:rPr>
          <w:rFonts w:eastAsia="Arial" w:cs="Arial"/>
          <w:sz w:val="20"/>
          <w:szCs w:val="20"/>
        </w:rPr>
        <w:t xml:space="preserve">no longer meets the definition of "investment adviser representative;" or </w:t>
      </w:r>
    </w:p>
    <w:p>
      <w:pPr>
        <w:numPr>
          <w:ilvl w:val="0"/>
          <w:numId w:val="756"/>
        </w:numPr>
        <w:spacing w:after="200"/>
        <w:ind w:left="720" w:hanging="192"/>
        <w:jc w:val="left"/>
        <w:rPr>
          <w:rFonts w:eastAsia="Arial" w:cs="Arial"/>
          <w:sz w:val="20"/>
          <w:szCs w:val="20"/>
        </w:rPr>
      </w:pPr>
      <w:r>
        <w:rPr>
          <w:rFonts w:eastAsia="Arial" w:cs="Arial"/>
          <w:sz w:val="20"/>
          <w:szCs w:val="20"/>
        </w:rPr>
        <w:t xml:space="preserve">terminated his or her employment with KCD. </w:t>
      </w:r>
    </w:p>
    <w:p>
      <w:pPr>
        <w:pStyle w:val="normal0"/>
        <w:spacing w:before="200" w:after="200"/>
        <w:rPr>
          <w:rFonts w:eastAsia="Arial" w:cs="Arial"/>
          <w:sz w:val="20"/>
          <w:szCs w:val="20"/>
        </w:rPr>
      </w:pPr>
      <w:r>
        <w:rPr>
          <w:rFonts w:eastAsia="Arial" w:cs="Arial"/>
          <w:sz w:val="20"/>
          <w:szCs w:val="20"/>
        </w:rPr>
        <w:t>The Form U-5 will be filed no later than 30 days after the employee's change of status or termination.</w:t>
      </w:r>
    </w:p>
    <w:p>
      <w:bookmarkEnd w:id="876"/>
      <w:bookmarkStart w:id="877" w:name="Sec_Chp_061016102257046_061016102258093"/>
    </w:p>
    <w:p>
      <w:pPr>
        <w:pStyle w:val="Heading5"/>
      </w:pPr>
      <w:r>
        <w:t>11.3.8.6.2 Registration Eligibility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the policy of KCD that once an employee or officer is no longer eligible for registration as an Adviser Representative, KCD is prohibited from maintaining such registration, even if such employee desires to maintain registration status to avoid taking future examinations.</w:t>
      </w:r>
    </w:p>
    <w:p>
      <w:bookmarkEnd w:id="877"/>
      <w:bookmarkStart w:id="878" w:name="Sec_Chp_061016102257046_061016102258125"/>
    </w:p>
    <w:p>
      <w:pPr>
        <w:pStyle w:val="Heading4"/>
      </w:pPr>
      <w:r>
        <w:t xml:space="preserve">11.3.8.7 Other Employee Registrations or Licenses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an employee desires to sell variable annuities or engage in brokerage activities, he or she must register with FINRA and in each state in which he or she conducts such business. The types of activities and securities products offered by KCD will dictate the registration required. Those that potentially are applicable to KCD are:</w:t>
      </w:r>
    </w:p>
    <w:p>
      <w:pPr>
        <w:numPr>
          <w:ilvl w:val="0"/>
          <w:numId w:val="757"/>
        </w:numPr>
        <w:spacing w:before="200"/>
        <w:ind w:left="720" w:hanging="192"/>
        <w:jc w:val="left"/>
        <w:rPr>
          <w:rFonts w:eastAsia="Arial" w:cs="Arial"/>
          <w:sz w:val="20"/>
          <w:szCs w:val="20"/>
        </w:rPr>
      </w:pPr>
      <w:r>
        <w:rPr>
          <w:rFonts w:eastAsia="Arial" w:cs="Arial"/>
          <w:b/>
          <w:bCs/>
          <w:sz w:val="20"/>
          <w:szCs w:val="20"/>
        </w:rPr>
        <w:t>Series 3 - National Commodity Futures Exam.</w:t>
      </w:r>
      <w:r>
        <w:rPr>
          <w:rFonts w:eastAsia="Arial" w:cs="Arial"/>
          <w:sz w:val="20"/>
          <w:szCs w:val="20"/>
        </w:rPr>
        <w:t xml:space="preserve"> This exam is required of individuals who recommend, accept, enter or execute orders in commodity futures products. </w:t>
      </w:r>
    </w:p>
    <w:p>
      <w:pPr>
        <w:numPr>
          <w:ilvl w:val="0"/>
          <w:numId w:val="757"/>
        </w:numPr>
        <w:ind w:left="720" w:hanging="192"/>
        <w:jc w:val="left"/>
        <w:rPr>
          <w:rFonts w:eastAsia="Arial" w:cs="Arial"/>
          <w:sz w:val="20"/>
          <w:szCs w:val="20"/>
        </w:rPr>
      </w:pPr>
      <w:r>
        <w:rPr>
          <w:rFonts w:eastAsia="Arial" w:cs="Arial"/>
          <w:b/>
          <w:bCs/>
          <w:sz w:val="20"/>
          <w:szCs w:val="20"/>
        </w:rPr>
        <w:t>Series 4 - Registered Options Principal.</w:t>
      </w:r>
      <w:r>
        <w:rPr>
          <w:rFonts w:eastAsia="Arial" w:cs="Arial"/>
          <w:sz w:val="20"/>
          <w:szCs w:val="20"/>
        </w:rPr>
        <w:t xml:space="preserve"> This registration is required of the firm employees who are responsible for the overall supervision of KCD's option activities. </w:t>
      </w:r>
    </w:p>
    <w:p>
      <w:pPr>
        <w:numPr>
          <w:ilvl w:val="0"/>
          <w:numId w:val="757"/>
        </w:numPr>
        <w:ind w:left="720" w:hanging="192"/>
        <w:jc w:val="left"/>
        <w:rPr>
          <w:rFonts w:eastAsia="Arial" w:cs="Arial"/>
          <w:sz w:val="20"/>
          <w:szCs w:val="20"/>
        </w:rPr>
      </w:pPr>
      <w:r>
        <w:rPr>
          <w:rFonts w:eastAsia="Arial" w:cs="Arial"/>
          <w:b/>
          <w:bCs/>
          <w:sz w:val="20"/>
          <w:szCs w:val="20"/>
        </w:rPr>
        <w:t>Series 6 - Investment Company Limited Representative.</w:t>
      </w:r>
      <w:r>
        <w:rPr>
          <w:rFonts w:eastAsia="Arial" w:cs="Arial"/>
          <w:sz w:val="20"/>
          <w:szCs w:val="20"/>
        </w:rPr>
        <w:t xml:space="preserve"> This registration allows KCD employees to offer mutual funds (open-end investment companies, closed-end investment companies and unit investment trusts). </w:t>
      </w:r>
    </w:p>
    <w:p>
      <w:pPr>
        <w:numPr>
          <w:ilvl w:val="0"/>
          <w:numId w:val="757"/>
        </w:numPr>
        <w:ind w:left="720" w:hanging="192"/>
        <w:jc w:val="left"/>
        <w:rPr>
          <w:rFonts w:eastAsia="Arial" w:cs="Arial"/>
          <w:sz w:val="20"/>
          <w:szCs w:val="20"/>
        </w:rPr>
      </w:pPr>
      <w:r>
        <w:rPr>
          <w:rFonts w:eastAsia="Arial" w:cs="Arial"/>
          <w:b/>
          <w:bCs/>
          <w:sz w:val="20"/>
          <w:szCs w:val="20"/>
        </w:rPr>
        <w:t>Series 7 - General Securities Representative.</w:t>
      </w:r>
      <w:r>
        <w:rPr>
          <w:rFonts w:eastAsia="Arial" w:cs="Arial"/>
          <w:sz w:val="20"/>
          <w:szCs w:val="20"/>
        </w:rPr>
        <w:t xml:space="preserve"> This registration allows KCD employees to offer all securities products, including mutual funds, common stock, notes, hedge fund interests, private equity and venture capital limited partnership interests. </w:t>
      </w:r>
    </w:p>
    <w:p>
      <w:pPr>
        <w:numPr>
          <w:ilvl w:val="0"/>
          <w:numId w:val="757"/>
        </w:numPr>
        <w:ind w:left="720" w:hanging="192"/>
        <w:jc w:val="left"/>
        <w:rPr>
          <w:rFonts w:eastAsia="Arial" w:cs="Arial"/>
          <w:sz w:val="20"/>
          <w:szCs w:val="20"/>
        </w:rPr>
      </w:pPr>
      <w:r>
        <w:rPr>
          <w:rFonts w:eastAsia="Arial" w:cs="Arial"/>
          <w:b/>
          <w:bCs/>
          <w:sz w:val="20"/>
          <w:szCs w:val="20"/>
        </w:rPr>
        <w:t>Series 22 - Dual Participation Program Limited Representative.</w:t>
      </w:r>
      <w:r>
        <w:rPr>
          <w:rFonts w:eastAsia="Arial" w:cs="Arial"/>
          <w:sz w:val="20"/>
          <w:szCs w:val="20"/>
        </w:rPr>
        <w:t xml:space="preserve"> This registration allows KCD employees to offer interest in venture capital, hedge fund and private equity limited partnerships. </w:t>
      </w:r>
    </w:p>
    <w:p>
      <w:pPr>
        <w:numPr>
          <w:ilvl w:val="0"/>
          <w:numId w:val="757"/>
        </w:numPr>
        <w:ind w:left="720" w:hanging="192"/>
        <w:jc w:val="left"/>
        <w:rPr>
          <w:rFonts w:eastAsia="Arial" w:cs="Arial"/>
          <w:sz w:val="20"/>
          <w:szCs w:val="20"/>
        </w:rPr>
      </w:pPr>
      <w:r>
        <w:rPr>
          <w:rFonts w:eastAsia="Arial" w:cs="Arial"/>
          <w:b/>
          <w:bCs/>
          <w:sz w:val="20"/>
          <w:szCs w:val="20"/>
        </w:rPr>
        <w:t>Series 24 - General Representative.</w:t>
      </w:r>
      <w:r>
        <w:rPr>
          <w:rFonts w:eastAsia="Arial" w:cs="Arial"/>
          <w:sz w:val="20"/>
          <w:szCs w:val="20"/>
        </w:rPr>
        <w:t xml:space="preserve"> This registration is required of KCD employees who are responsible for the management or supervision of KCD's brokerage business, including supervising registered representatives. KCD would also have to register as a broker-dealer with the SEC and become a member of FINRA and possibly certain exchanges. </w:t>
      </w:r>
    </w:p>
    <w:p>
      <w:pPr>
        <w:numPr>
          <w:ilvl w:val="0"/>
          <w:numId w:val="757"/>
        </w:numPr>
        <w:ind w:left="720" w:hanging="192"/>
        <w:jc w:val="left"/>
        <w:rPr>
          <w:rFonts w:eastAsia="Arial" w:cs="Arial"/>
          <w:sz w:val="20"/>
          <w:szCs w:val="20"/>
        </w:rPr>
      </w:pPr>
      <w:r>
        <w:rPr>
          <w:rFonts w:eastAsia="Arial" w:cs="Arial"/>
          <w:b/>
          <w:bCs/>
          <w:sz w:val="20"/>
          <w:szCs w:val="20"/>
        </w:rPr>
        <w:t>Series 27 - Financial and Operational Principal.</w:t>
      </w:r>
      <w:r>
        <w:rPr>
          <w:rFonts w:eastAsia="Arial" w:cs="Arial"/>
          <w:sz w:val="20"/>
          <w:szCs w:val="20"/>
        </w:rPr>
        <w:t xml:space="preserve"> This registration is required of KCD employees who are responsible for the accuracy and final approval of individuals who are involved in the administration and maintenance of KCD's brokerage back office operations. </w:t>
      </w:r>
    </w:p>
    <w:p>
      <w:pPr>
        <w:numPr>
          <w:ilvl w:val="0"/>
          <w:numId w:val="757"/>
        </w:numPr>
        <w:ind w:left="720" w:hanging="192"/>
        <w:jc w:val="left"/>
        <w:rPr>
          <w:rFonts w:eastAsia="Arial" w:cs="Arial"/>
          <w:sz w:val="20"/>
          <w:szCs w:val="20"/>
        </w:rPr>
      </w:pPr>
      <w:r>
        <w:rPr>
          <w:rFonts w:eastAsia="Arial" w:cs="Arial"/>
          <w:b/>
          <w:bCs/>
          <w:sz w:val="20"/>
          <w:szCs w:val="20"/>
        </w:rPr>
        <w:t>Series 53 - Municipal Securities Principal Exam.</w:t>
      </w:r>
      <w:r>
        <w:rPr>
          <w:rFonts w:eastAsia="Arial" w:cs="Arial"/>
          <w:sz w:val="20"/>
          <w:szCs w:val="20"/>
        </w:rPr>
        <w:t xml:space="preserve"> This exam and registration allows KCD employees to be directly engaged in the management and supervision of the underwriting, trading and sales of municipal securities. </w:t>
      </w:r>
    </w:p>
    <w:p>
      <w:pPr>
        <w:numPr>
          <w:ilvl w:val="0"/>
          <w:numId w:val="757"/>
        </w:numPr>
        <w:ind w:left="720" w:hanging="192"/>
        <w:jc w:val="left"/>
        <w:rPr>
          <w:rFonts w:eastAsia="Arial" w:cs="Arial"/>
          <w:sz w:val="20"/>
          <w:szCs w:val="20"/>
        </w:rPr>
      </w:pPr>
      <w:r>
        <w:rPr>
          <w:rFonts w:eastAsia="Arial" w:cs="Arial"/>
          <w:b/>
          <w:bCs/>
          <w:sz w:val="20"/>
          <w:szCs w:val="20"/>
        </w:rPr>
        <w:t>Series 55 - Equity Trader Exam.</w:t>
      </w:r>
      <w:r>
        <w:rPr>
          <w:rFonts w:eastAsia="Arial" w:cs="Arial"/>
          <w:sz w:val="20"/>
          <w:szCs w:val="20"/>
        </w:rPr>
        <w:t xml:space="preserve"> This exam and registration allows KCD employees to trade OTC equity and convertible debt securities on a principal or agency basis. </w:t>
      </w:r>
    </w:p>
    <w:p>
      <w:pPr>
        <w:numPr>
          <w:ilvl w:val="0"/>
          <w:numId w:val="757"/>
        </w:numPr>
        <w:ind w:left="720" w:hanging="192"/>
        <w:jc w:val="left"/>
        <w:rPr>
          <w:rFonts w:eastAsia="Arial" w:cs="Arial"/>
          <w:sz w:val="20"/>
          <w:szCs w:val="20"/>
        </w:rPr>
      </w:pPr>
      <w:r>
        <w:rPr>
          <w:rFonts w:eastAsia="Arial" w:cs="Arial"/>
          <w:b/>
          <w:bCs/>
          <w:sz w:val="20"/>
          <w:szCs w:val="20"/>
        </w:rPr>
        <w:t>Series 63 - Uniform Securities Agent State Law.</w:t>
      </w:r>
      <w:r>
        <w:rPr>
          <w:rFonts w:eastAsia="Arial" w:cs="Arial"/>
          <w:sz w:val="20"/>
          <w:szCs w:val="20"/>
        </w:rPr>
        <w:t xml:space="preserve"> A state may require a representative of a broker-dealer to register in that state. </w:t>
      </w:r>
    </w:p>
    <w:p>
      <w:pPr>
        <w:numPr>
          <w:ilvl w:val="0"/>
          <w:numId w:val="757"/>
        </w:numPr>
        <w:ind w:left="720" w:hanging="192"/>
        <w:jc w:val="left"/>
        <w:rPr>
          <w:rFonts w:eastAsia="Arial" w:cs="Arial"/>
          <w:sz w:val="20"/>
          <w:szCs w:val="20"/>
        </w:rPr>
      </w:pPr>
      <w:r>
        <w:rPr>
          <w:rFonts w:eastAsia="Arial" w:cs="Arial"/>
          <w:b/>
          <w:bCs/>
          <w:sz w:val="20"/>
          <w:szCs w:val="20"/>
        </w:rPr>
        <w:t>Series 65 - Investment Advisers Law Exam.</w:t>
      </w:r>
      <w:r>
        <w:rPr>
          <w:rFonts w:eastAsia="Arial" w:cs="Arial"/>
          <w:sz w:val="20"/>
          <w:szCs w:val="20"/>
        </w:rPr>
        <w:t xml:space="preserve"> Most states require an individual who provides investment advice or solicits advisory services to register with that state as an Adviser Representative and take the Series 65 Investment Advisers Exam. This exam is administered by FINRA and tests the applicant's knowledge of the Investment Advisers Act of 1940 and the Uniform Securities Act (Blue Sky laws). </w:t>
      </w:r>
    </w:p>
    <w:p>
      <w:pPr>
        <w:numPr>
          <w:ilvl w:val="0"/>
          <w:numId w:val="757"/>
        </w:numPr>
        <w:spacing w:after="200"/>
        <w:ind w:left="720" w:hanging="192"/>
        <w:jc w:val="left"/>
        <w:rPr>
          <w:rFonts w:eastAsia="Arial" w:cs="Arial"/>
          <w:sz w:val="20"/>
          <w:szCs w:val="20"/>
        </w:rPr>
      </w:pPr>
      <w:r>
        <w:rPr>
          <w:rFonts w:eastAsia="Arial" w:cs="Arial"/>
          <w:b/>
          <w:bCs/>
          <w:sz w:val="20"/>
          <w:szCs w:val="20"/>
        </w:rPr>
        <w:t>Series 66 - Uniform Combined State Exam.</w:t>
      </w:r>
      <w:r>
        <w:rPr>
          <w:rFonts w:eastAsia="Arial" w:cs="Arial"/>
          <w:sz w:val="20"/>
          <w:szCs w:val="20"/>
        </w:rPr>
        <w:t xml:space="preserve"> This exam is a combination of the Series 63 and 65.</w:t>
      </w:r>
    </w:p>
    <w:p>
      <w:bookmarkEnd w:id="878"/>
      <w:bookmarkStart w:id="879" w:name="Sec_Chp_061016102257046_1137"/>
    </w:p>
    <w:p>
      <w:pPr>
        <w:pStyle w:val="Heading3"/>
      </w:pPr>
      <w:bookmarkStart w:id="880" w:name="_Toc256000223"/>
      <w:r>
        <w:t>11.3.9 Status Under Other Laws and Regulations</w:t>
      </w:r>
      <w:bookmarkEnd w:id="880"/>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shall monitor KCD's status under laws and regulations other than the Advisers Act to determine whether KCD's activities and services provided to clients may cause it to be subject to registration under other laws and regulations. In particular, the Chief Compliance Officer shall periodically determine whether KCD must register as a:</w:t>
      </w:r>
    </w:p>
    <w:p>
      <w:pPr>
        <w:numPr>
          <w:ilvl w:val="0"/>
          <w:numId w:val="758"/>
        </w:numPr>
        <w:spacing w:before="200"/>
        <w:ind w:left="720" w:hanging="192"/>
        <w:jc w:val="left"/>
        <w:rPr>
          <w:rFonts w:eastAsia="Arial" w:cs="Arial"/>
          <w:sz w:val="20"/>
          <w:szCs w:val="20"/>
        </w:rPr>
      </w:pPr>
      <w:r>
        <w:rPr>
          <w:rFonts w:eastAsia="Arial" w:cs="Arial"/>
          <w:sz w:val="20"/>
          <w:szCs w:val="20"/>
        </w:rPr>
        <w:t>Broker-Dealer;</w:t>
      </w:r>
    </w:p>
    <w:p>
      <w:pPr>
        <w:numPr>
          <w:ilvl w:val="0"/>
          <w:numId w:val="758"/>
        </w:numPr>
        <w:ind w:left="720" w:hanging="192"/>
        <w:jc w:val="left"/>
        <w:rPr>
          <w:rFonts w:eastAsia="Arial" w:cs="Arial"/>
          <w:sz w:val="20"/>
          <w:szCs w:val="20"/>
        </w:rPr>
      </w:pPr>
      <w:r>
        <w:rPr>
          <w:rFonts w:eastAsia="Arial" w:cs="Arial"/>
          <w:sz w:val="20"/>
          <w:szCs w:val="20"/>
        </w:rPr>
        <w:t>Commodity Pool Operator; or</w:t>
      </w:r>
    </w:p>
    <w:p>
      <w:pPr>
        <w:numPr>
          <w:ilvl w:val="0"/>
          <w:numId w:val="758"/>
        </w:numPr>
        <w:spacing w:after="200"/>
        <w:ind w:left="720" w:hanging="192"/>
        <w:jc w:val="left"/>
        <w:rPr>
          <w:rFonts w:eastAsia="Arial" w:cs="Arial"/>
          <w:sz w:val="20"/>
          <w:szCs w:val="20"/>
        </w:rPr>
      </w:pPr>
      <w:r>
        <w:rPr>
          <w:rFonts w:eastAsia="Arial" w:cs="Arial"/>
          <w:sz w:val="20"/>
          <w:szCs w:val="20"/>
        </w:rPr>
        <w:t>Commodity Trading Adviser.</w:t>
      </w:r>
    </w:p>
    <w:p>
      <w:bookmarkEnd w:id="879"/>
      <w:bookmarkStart w:id="881" w:name="Sec_Chp_061016102257046_11371"/>
    </w:p>
    <w:p>
      <w:pPr>
        <w:pStyle w:val="Heading4"/>
      </w:pPr>
      <w:r>
        <w:t>11.3.9.1 Broker-Dealer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Unless KCD is registered with the SEC as a broker, KCD, to avoid meeting the definition of "broker," shall not engage in the following activities:</w:t>
      </w:r>
    </w:p>
    <w:p>
      <w:pPr>
        <w:numPr>
          <w:ilvl w:val="0"/>
          <w:numId w:val="759"/>
        </w:numPr>
        <w:spacing w:before="200"/>
        <w:ind w:left="720" w:hanging="192"/>
        <w:jc w:val="left"/>
        <w:rPr>
          <w:rFonts w:eastAsia="Arial" w:cs="Arial"/>
          <w:sz w:val="20"/>
          <w:szCs w:val="20"/>
        </w:rPr>
      </w:pPr>
      <w:r>
        <w:rPr>
          <w:rFonts w:eastAsia="Arial" w:cs="Arial"/>
          <w:sz w:val="20"/>
          <w:szCs w:val="20"/>
        </w:rPr>
        <w:t>Receive compensation (</w:t>
      </w:r>
      <w:r>
        <w:rPr>
          <w:rFonts w:eastAsia="Arial" w:cs="Arial"/>
          <w:i/>
          <w:iCs/>
          <w:sz w:val="20"/>
          <w:szCs w:val="20"/>
        </w:rPr>
        <w:t>e.g.,</w:t>
      </w:r>
      <w:r>
        <w:rPr>
          <w:rFonts w:eastAsia="Arial" w:cs="Arial"/>
          <w:sz w:val="20"/>
          <w:szCs w:val="20"/>
        </w:rPr>
        <w:t xml:space="preserve"> commission) for executing of securities trades;</w:t>
      </w:r>
    </w:p>
    <w:p>
      <w:pPr>
        <w:numPr>
          <w:ilvl w:val="0"/>
          <w:numId w:val="759"/>
        </w:numPr>
        <w:ind w:left="720" w:hanging="192"/>
        <w:jc w:val="left"/>
        <w:rPr>
          <w:rFonts w:eastAsia="Arial" w:cs="Arial"/>
          <w:sz w:val="20"/>
          <w:szCs w:val="20"/>
        </w:rPr>
      </w:pPr>
      <w:r>
        <w:rPr>
          <w:rFonts w:eastAsia="Arial" w:cs="Arial"/>
          <w:sz w:val="20"/>
          <w:szCs w:val="20"/>
        </w:rPr>
        <w:t>Hold itself out as a broker or offering brokerage services;</w:t>
      </w:r>
    </w:p>
    <w:p>
      <w:pPr>
        <w:numPr>
          <w:ilvl w:val="0"/>
          <w:numId w:val="759"/>
        </w:numPr>
        <w:ind w:left="720" w:hanging="192"/>
        <w:jc w:val="left"/>
        <w:rPr>
          <w:rFonts w:eastAsia="Arial" w:cs="Arial"/>
          <w:sz w:val="20"/>
          <w:szCs w:val="20"/>
        </w:rPr>
      </w:pPr>
      <w:r>
        <w:rPr>
          <w:rFonts w:eastAsia="Arial" w:cs="Arial"/>
          <w:sz w:val="20"/>
          <w:szCs w:val="20"/>
        </w:rPr>
        <w:t>Effect securities trades;</w:t>
      </w:r>
    </w:p>
    <w:p>
      <w:pPr>
        <w:numPr>
          <w:ilvl w:val="0"/>
          <w:numId w:val="759"/>
        </w:numPr>
        <w:ind w:left="720" w:hanging="192"/>
        <w:jc w:val="left"/>
        <w:rPr>
          <w:rFonts w:eastAsia="Arial" w:cs="Arial"/>
          <w:sz w:val="20"/>
          <w:szCs w:val="20"/>
        </w:rPr>
      </w:pPr>
      <w:r>
        <w:rPr>
          <w:rFonts w:eastAsia="Arial" w:cs="Arial"/>
          <w:sz w:val="20"/>
          <w:szCs w:val="20"/>
        </w:rPr>
        <w:t>Solicit customers for brokerage services; and</w:t>
      </w:r>
    </w:p>
    <w:p>
      <w:pPr>
        <w:numPr>
          <w:ilvl w:val="0"/>
          <w:numId w:val="759"/>
        </w:numPr>
        <w:spacing w:after="200"/>
        <w:ind w:left="720" w:hanging="192"/>
        <w:jc w:val="left"/>
        <w:rPr>
          <w:rFonts w:eastAsia="Arial" w:cs="Arial"/>
          <w:sz w:val="20"/>
          <w:szCs w:val="20"/>
        </w:rPr>
      </w:pPr>
      <w:r>
        <w:rPr>
          <w:rFonts w:eastAsia="Arial" w:cs="Arial"/>
          <w:sz w:val="20"/>
          <w:szCs w:val="20"/>
        </w:rPr>
        <w:t>Participate in the order-taking or order routing process (for example, by taking transaction orders from customers).</w:t>
      </w:r>
    </w:p>
    <w:p>
      <w:pPr>
        <w:pStyle w:val="normal0"/>
        <w:spacing w:before="200" w:after="200"/>
        <w:rPr>
          <w:rFonts w:eastAsia="Arial" w:cs="Arial"/>
          <w:sz w:val="20"/>
          <w:szCs w:val="20"/>
        </w:rPr>
      </w:pPr>
      <w:r>
        <w:rPr>
          <w:rFonts w:eastAsia="Arial" w:cs="Arial"/>
          <w:sz w:val="20"/>
          <w:szCs w:val="20"/>
        </w:rPr>
        <w:t xml:space="preserve">Whether KCD or any of its employees would meet the definition of "broker" would depend upon the accumulation of these factors; </w:t>
      </w:r>
      <w:r>
        <w:rPr>
          <w:rFonts w:eastAsia="Arial" w:cs="Arial"/>
          <w:i/>
          <w:iCs/>
          <w:sz w:val="20"/>
          <w:szCs w:val="20"/>
        </w:rPr>
        <w:t>i.e.,</w:t>
      </w:r>
      <w:r>
        <w:rPr>
          <w:rFonts w:eastAsia="Arial" w:cs="Arial"/>
          <w:sz w:val="20"/>
          <w:szCs w:val="20"/>
        </w:rPr>
        <w:t xml:space="preserve"> no one factor will be dispositive.</w:t>
      </w:r>
    </w:p>
    <w:p>
      <w:bookmarkEnd w:id="881"/>
      <w:bookmarkStart w:id="882" w:name="Sec_Chp_061016102257046_11372"/>
    </w:p>
    <w:p>
      <w:pPr>
        <w:pStyle w:val="Heading4"/>
      </w:pPr>
      <w:r>
        <w:t>11.3.9.2 CPO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will monitor the status of KCD for purposes of determining whether KCD's activities and services may subject it to registration under the Commodity Exchange Act and rules thereunder. In carrying out this function:</w:t>
      </w:r>
    </w:p>
    <w:p>
      <w:pPr>
        <w:numPr>
          <w:ilvl w:val="0"/>
          <w:numId w:val="760"/>
        </w:numPr>
        <w:spacing w:before="200"/>
        <w:ind w:left="720" w:hanging="267"/>
        <w:jc w:val="left"/>
        <w:rPr>
          <w:rFonts w:eastAsia="Arial" w:cs="Arial"/>
          <w:sz w:val="20"/>
          <w:szCs w:val="20"/>
        </w:rPr>
      </w:pPr>
      <w:r>
        <w:rPr>
          <w:rFonts w:eastAsia="Arial" w:cs="Arial"/>
          <w:sz w:val="20"/>
          <w:szCs w:val="20"/>
        </w:rPr>
        <w:t>The CCO will determine whether KCD manages any accounts that are entities such as hedge funds. If KCD does not manage entity accounts, it will not meet the definition of "commodity pool operator."</w:t>
      </w:r>
    </w:p>
    <w:p>
      <w:pPr>
        <w:numPr>
          <w:ilvl w:val="0"/>
          <w:numId w:val="760"/>
        </w:numPr>
        <w:ind w:left="720" w:hanging="267"/>
        <w:jc w:val="left"/>
        <w:rPr>
          <w:rFonts w:eastAsia="Arial" w:cs="Arial"/>
          <w:sz w:val="20"/>
          <w:szCs w:val="20"/>
        </w:rPr>
      </w:pPr>
      <w:r>
        <w:rPr>
          <w:rFonts w:eastAsia="Arial" w:cs="Arial"/>
          <w:sz w:val="20"/>
          <w:szCs w:val="20"/>
        </w:rPr>
        <w:t>If KCD manages entity accounts, the CCO will determine which entity accounts, if any, meet the definition of "commodity pool." A commodity pool is a collective investment vehicle in which funds contributed by investors are combined and managed for the purpose of trading "commodity interests." The pooling of funds contributed by multiple investors distinguishes the commodity pool from a commodity managed account. If KCD (or any employee at KCD) operates a commodity pool or solicits funds for the commodity pool, it will meet the definition of commodity pool operator.</w:t>
      </w:r>
    </w:p>
    <w:p>
      <w:pPr>
        <w:numPr>
          <w:ilvl w:val="0"/>
          <w:numId w:val="760"/>
        </w:numPr>
        <w:spacing w:after="200"/>
        <w:ind w:left="720" w:hanging="267"/>
        <w:jc w:val="left"/>
        <w:rPr>
          <w:rFonts w:eastAsia="Arial" w:cs="Arial"/>
          <w:sz w:val="20"/>
          <w:szCs w:val="20"/>
        </w:rPr>
      </w:pPr>
      <w:r>
        <w:rPr>
          <w:rFonts w:eastAsia="Arial" w:cs="Arial"/>
          <w:sz w:val="20"/>
          <w:szCs w:val="20"/>
        </w:rPr>
        <w:t>If KCD meets the definition of a commodity pool operator, it will either register as such or rely upon an exemption to such registration, if available.</w:t>
      </w:r>
    </w:p>
    <w:p>
      <w:pPr>
        <w:pStyle w:val="normal0"/>
        <w:spacing w:before="200" w:after="200"/>
        <w:rPr>
          <w:rFonts w:eastAsia="Arial" w:cs="Arial"/>
          <w:sz w:val="20"/>
          <w:szCs w:val="20"/>
        </w:rPr>
      </w:pPr>
      <w:r>
        <w:rPr>
          <w:rFonts w:eastAsia="Arial" w:cs="Arial"/>
          <w:sz w:val="20"/>
          <w:szCs w:val="20"/>
        </w:rPr>
        <w:t>For purposes of whether KCD meets the definition of "commodity pool," "commodity interests" include:</w:t>
      </w:r>
    </w:p>
    <w:p>
      <w:pPr>
        <w:numPr>
          <w:ilvl w:val="0"/>
          <w:numId w:val="761"/>
        </w:numPr>
        <w:spacing w:before="200"/>
        <w:ind w:left="720" w:hanging="192"/>
        <w:jc w:val="left"/>
        <w:rPr>
          <w:rFonts w:eastAsia="Arial" w:cs="Arial"/>
          <w:sz w:val="20"/>
          <w:szCs w:val="20"/>
        </w:rPr>
      </w:pPr>
      <w:r>
        <w:rPr>
          <w:rFonts w:eastAsia="Arial" w:cs="Arial"/>
          <w:sz w:val="20"/>
          <w:szCs w:val="20"/>
        </w:rPr>
        <w:t>futures contracts</w:t>
      </w:r>
    </w:p>
    <w:p>
      <w:pPr>
        <w:numPr>
          <w:ilvl w:val="0"/>
          <w:numId w:val="761"/>
        </w:numPr>
        <w:ind w:left="720" w:hanging="192"/>
        <w:jc w:val="left"/>
        <w:rPr>
          <w:rFonts w:eastAsia="Arial" w:cs="Arial"/>
          <w:sz w:val="20"/>
          <w:szCs w:val="20"/>
        </w:rPr>
      </w:pPr>
      <w:r>
        <w:rPr>
          <w:rFonts w:eastAsia="Arial" w:cs="Arial"/>
          <w:sz w:val="20"/>
          <w:szCs w:val="20"/>
        </w:rPr>
        <w:t>options on futures</w:t>
      </w:r>
    </w:p>
    <w:p>
      <w:pPr>
        <w:numPr>
          <w:ilvl w:val="0"/>
          <w:numId w:val="761"/>
        </w:numPr>
        <w:spacing w:after="200"/>
        <w:ind w:left="720" w:hanging="192"/>
        <w:jc w:val="left"/>
        <w:rPr>
          <w:rFonts w:eastAsia="Arial" w:cs="Arial"/>
          <w:sz w:val="20"/>
          <w:szCs w:val="20"/>
        </w:rPr>
      </w:pPr>
      <w:r>
        <w:rPr>
          <w:rFonts w:eastAsia="Arial" w:cs="Arial"/>
          <w:sz w:val="20"/>
          <w:szCs w:val="20"/>
        </w:rPr>
        <w:t>swaps.</w:t>
      </w:r>
    </w:p>
    <w:p>
      <w:pPr>
        <w:pStyle w:val="normal0"/>
        <w:spacing w:before="200" w:after="200"/>
        <w:rPr>
          <w:rFonts w:eastAsia="Arial" w:cs="Arial"/>
          <w:sz w:val="20"/>
          <w:szCs w:val="20"/>
        </w:rPr>
      </w:pPr>
      <w:r>
        <w:rPr>
          <w:rFonts w:eastAsia="Arial" w:cs="Arial"/>
          <w:sz w:val="20"/>
          <w:szCs w:val="20"/>
        </w:rPr>
        <w:t>Swaps include:</w:t>
      </w:r>
    </w:p>
    <w:p>
      <w:pPr>
        <w:numPr>
          <w:ilvl w:val="0"/>
          <w:numId w:val="762"/>
        </w:numPr>
        <w:spacing w:before="200"/>
        <w:ind w:left="720" w:hanging="192"/>
        <w:jc w:val="left"/>
        <w:rPr>
          <w:rFonts w:eastAsia="Arial" w:cs="Arial"/>
          <w:sz w:val="20"/>
          <w:szCs w:val="20"/>
        </w:rPr>
      </w:pPr>
      <w:r>
        <w:rPr>
          <w:rFonts w:eastAsia="Arial" w:cs="Arial"/>
          <w:sz w:val="20"/>
          <w:szCs w:val="20"/>
        </w:rPr>
        <w:t>credit default swaps</w:t>
      </w:r>
    </w:p>
    <w:p>
      <w:pPr>
        <w:numPr>
          <w:ilvl w:val="0"/>
          <w:numId w:val="762"/>
        </w:numPr>
        <w:ind w:left="720" w:hanging="192"/>
        <w:jc w:val="left"/>
        <w:rPr>
          <w:rFonts w:eastAsia="Arial" w:cs="Arial"/>
          <w:sz w:val="20"/>
          <w:szCs w:val="20"/>
        </w:rPr>
      </w:pPr>
      <w:r>
        <w:rPr>
          <w:rFonts w:eastAsia="Arial" w:cs="Arial"/>
          <w:sz w:val="20"/>
          <w:szCs w:val="20"/>
        </w:rPr>
        <w:t>contracts for differences</w:t>
      </w:r>
    </w:p>
    <w:p>
      <w:pPr>
        <w:numPr>
          <w:ilvl w:val="0"/>
          <w:numId w:val="762"/>
        </w:numPr>
        <w:ind w:left="720" w:hanging="192"/>
        <w:jc w:val="left"/>
        <w:rPr>
          <w:rFonts w:eastAsia="Arial" w:cs="Arial"/>
          <w:sz w:val="20"/>
          <w:szCs w:val="20"/>
        </w:rPr>
      </w:pPr>
      <w:r>
        <w:rPr>
          <w:rFonts w:eastAsia="Arial" w:cs="Arial"/>
          <w:sz w:val="20"/>
          <w:szCs w:val="20"/>
        </w:rPr>
        <w:t>non-deliverable forward contracts involving foreign exchange</w:t>
      </w:r>
    </w:p>
    <w:p>
      <w:pPr>
        <w:numPr>
          <w:ilvl w:val="0"/>
          <w:numId w:val="762"/>
        </w:numPr>
        <w:ind w:left="720" w:hanging="192"/>
        <w:jc w:val="left"/>
        <w:rPr>
          <w:rFonts w:eastAsia="Arial" w:cs="Arial"/>
          <w:sz w:val="20"/>
          <w:szCs w:val="20"/>
        </w:rPr>
      </w:pPr>
      <w:r>
        <w:rPr>
          <w:rFonts w:eastAsia="Arial" w:cs="Arial"/>
          <w:sz w:val="20"/>
          <w:szCs w:val="20"/>
        </w:rPr>
        <w:t>currency options</w:t>
      </w:r>
    </w:p>
    <w:p>
      <w:pPr>
        <w:numPr>
          <w:ilvl w:val="0"/>
          <w:numId w:val="762"/>
        </w:numPr>
        <w:ind w:left="720" w:hanging="192"/>
        <w:jc w:val="left"/>
        <w:rPr>
          <w:rFonts w:eastAsia="Arial" w:cs="Arial"/>
          <w:sz w:val="20"/>
          <w:szCs w:val="20"/>
        </w:rPr>
      </w:pPr>
      <w:r>
        <w:rPr>
          <w:rFonts w:eastAsia="Arial" w:cs="Arial"/>
          <w:sz w:val="20"/>
          <w:szCs w:val="20"/>
        </w:rPr>
        <w:t>currency swaps</w:t>
      </w:r>
    </w:p>
    <w:p>
      <w:pPr>
        <w:numPr>
          <w:ilvl w:val="0"/>
          <w:numId w:val="762"/>
        </w:numPr>
        <w:spacing w:after="200"/>
        <w:ind w:left="720" w:hanging="192"/>
        <w:jc w:val="left"/>
        <w:rPr>
          <w:rFonts w:eastAsia="Arial" w:cs="Arial"/>
          <w:sz w:val="20"/>
          <w:szCs w:val="20"/>
        </w:rPr>
      </w:pPr>
      <w:r>
        <w:rPr>
          <w:rFonts w:eastAsia="Arial" w:cs="Arial"/>
          <w:sz w:val="20"/>
          <w:szCs w:val="20"/>
        </w:rPr>
        <w:t>total return swaps.</w:t>
      </w:r>
    </w:p>
    <w:p>
      <w:pPr>
        <w:pStyle w:val="normal0"/>
        <w:spacing w:before="200" w:after="200"/>
        <w:rPr>
          <w:rFonts w:eastAsia="Arial" w:cs="Arial"/>
          <w:sz w:val="20"/>
          <w:szCs w:val="20"/>
        </w:rPr>
      </w:pPr>
      <w:r>
        <w:rPr>
          <w:rFonts w:eastAsia="Arial" w:cs="Arial"/>
          <w:sz w:val="20"/>
          <w:szCs w:val="20"/>
        </w:rPr>
        <w:t>Security-based swaps are regulated by the SEC and are not deemed to be "commodity interests."</w:t>
      </w:r>
    </w:p>
    <w:p>
      <w:pPr>
        <w:rPr>
          <w:rFonts w:eastAsia="Arial" w:cs="Arial"/>
          <w:sz w:val="20"/>
          <w:szCs w:val="20"/>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If KCD has an entity client that meets the definition of "commodity pool," KCD can: </w:t>
            </w:r>
          </w:p>
          <w:p>
            <w:pPr>
              <w:numPr>
                <w:ilvl w:val="0"/>
                <w:numId w:val="763"/>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act as the CPO and not register as a CTA;</w:t>
            </w:r>
          </w:p>
          <w:p>
            <w:pPr>
              <w:numPr>
                <w:ilvl w:val="0"/>
                <w:numId w:val="763"/>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act as the CPO and set up a separate entity to manage the commodity pool, which would be a CTA; or</w:t>
            </w:r>
          </w:p>
          <w:p>
            <w:pPr>
              <w:numPr>
                <w:ilvl w:val="0"/>
                <w:numId w:val="76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act as the CPO and retain an unaffiliated entity to manage the commodity pool, which would be a CTA.</w:t>
            </w:r>
          </w:p>
          <w:p>
            <w:pPr>
              <w:rPr>
                <w:rFonts w:eastAsia="Arial" w:cs="Arial"/>
                <w:b w:val="0"/>
                <w:bCs w:val="0"/>
                <w:i w:val="0"/>
                <w:iCs w:val="0"/>
                <w:smallCaps w:val="0"/>
                <w:color w:val="000000"/>
                <w:sz w:val="24"/>
              </w:rPr>
            </w:pPr>
          </w:p>
        </w:tc>
      </w:tr>
    </w:tbl>
    <w:p>
      <w:bookmarkEnd w:id="882"/>
      <w:bookmarkStart w:id="883" w:name="Sec_Chp_061016102257046_113721"/>
    </w:p>
    <w:p>
      <w:pPr>
        <w:pStyle w:val="Heading5"/>
      </w:pPr>
      <w:r>
        <w:t>11.3.9.2.1 CPO Exemptions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meets the definition of CPO, the CCO will consider whether KCD may rely upon exemptions from registration. If KCD can operate within one of these limited exemptions, it can avoid CPO registration but will generally still be subject to the antifraud provisions contained within the Commodity Exchange Act and the associated regulations. If KCD is exempt from CPO registration, it will not be required to become an NFA Member and will not be subject to NFA's bylaws or compliance rules.</w:t>
      </w:r>
    </w:p>
    <w:p>
      <w:pPr>
        <w:pStyle w:val="normal0"/>
        <w:spacing w:before="200" w:after="200"/>
        <w:rPr>
          <w:rFonts w:eastAsia="Arial" w:cs="Arial"/>
          <w:sz w:val="20"/>
          <w:szCs w:val="20"/>
        </w:rPr>
      </w:pPr>
      <w:r>
        <w:rPr>
          <w:rFonts w:eastAsia="Arial" w:cs="Arial"/>
          <w:b/>
          <w:bCs/>
          <w:sz w:val="20"/>
          <w:szCs w:val="20"/>
        </w:rPr>
        <w:t>Rule 4.13(a)(1) Exemption</w:t>
      </w:r>
    </w:p>
    <w:p>
      <w:pPr>
        <w:pStyle w:val="normal0"/>
        <w:spacing w:before="200" w:after="200"/>
        <w:rPr>
          <w:rFonts w:eastAsia="Arial" w:cs="Arial"/>
          <w:sz w:val="20"/>
          <w:szCs w:val="20"/>
        </w:rPr>
      </w:pPr>
      <w:r>
        <w:rPr>
          <w:rFonts w:eastAsia="Arial" w:cs="Arial"/>
          <w:sz w:val="20"/>
          <w:szCs w:val="20"/>
        </w:rPr>
        <w:t>If KCD solely trades futures, forex, or swaps within an "investment club" structure, it will be exempt from registration as a CPO under Regulation 4.13(a)(1) under the Commodity Exchange Act.</w:t>
      </w:r>
    </w:p>
    <w:p>
      <w:pPr>
        <w:pStyle w:val="normal0"/>
        <w:spacing w:before="200" w:after="200"/>
        <w:rPr>
          <w:rFonts w:eastAsia="Arial" w:cs="Arial"/>
          <w:sz w:val="20"/>
          <w:szCs w:val="20"/>
        </w:rPr>
      </w:pPr>
      <w:r>
        <w:rPr>
          <w:rFonts w:eastAsia="Arial" w:cs="Arial"/>
          <w:sz w:val="20"/>
          <w:szCs w:val="20"/>
        </w:rPr>
        <w:t>To rely upon the Rule 4.13(a)(1) exemption, KCD must trade futures, forex, or swaps within an "investment club" structure and meet the following conditions:</w:t>
      </w:r>
    </w:p>
    <w:p>
      <w:pPr>
        <w:numPr>
          <w:ilvl w:val="0"/>
          <w:numId w:val="764"/>
        </w:numPr>
        <w:spacing w:before="200"/>
        <w:ind w:left="720" w:hanging="192"/>
        <w:jc w:val="left"/>
        <w:rPr>
          <w:rFonts w:eastAsia="Arial" w:cs="Arial"/>
          <w:sz w:val="20"/>
          <w:szCs w:val="20"/>
        </w:rPr>
      </w:pPr>
      <w:r>
        <w:rPr>
          <w:rFonts w:eastAsia="Arial" w:cs="Arial"/>
          <w:sz w:val="20"/>
          <w:szCs w:val="20"/>
        </w:rPr>
        <w:t>KCD may not receive any compensation, directly or indirectly, for operating the pool except for reimbursement for the pool's ordinary operating expenses;</w:t>
      </w:r>
    </w:p>
    <w:p>
      <w:pPr>
        <w:numPr>
          <w:ilvl w:val="0"/>
          <w:numId w:val="764"/>
        </w:numPr>
        <w:ind w:left="720" w:hanging="192"/>
        <w:jc w:val="left"/>
        <w:rPr>
          <w:rFonts w:eastAsia="Arial" w:cs="Arial"/>
          <w:sz w:val="20"/>
          <w:szCs w:val="20"/>
        </w:rPr>
      </w:pPr>
      <w:r>
        <w:rPr>
          <w:rFonts w:eastAsia="Arial" w:cs="Arial"/>
          <w:sz w:val="20"/>
          <w:szCs w:val="20"/>
        </w:rPr>
        <w:t>KCD may operate only one commodity pool at a time; and</w:t>
      </w:r>
    </w:p>
    <w:p>
      <w:pPr>
        <w:numPr>
          <w:ilvl w:val="0"/>
          <w:numId w:val="764"/>
        </w:numPr>
        <w:spacing w:after="200"/>
        <w:ind w:left="720" w:hanging="192"/>
        <w:jc w:val="left"/>
        <w:rPr>
          <w:rFonts w:eastAsia="Arial" w:cs="Arial"/>
          <w:sz w:val="20"/>
          <w:szCs w:val="20"/>
        </w:rPr>
      </w:pPr>
      <w:r>
        <w:rPr>
          <w:rFonts w:eastAsia="Arial" w:cs="Arial"/>
          <w:sz w:val="20"/>
          <w:szCs w:val="20"/>
        </w:rPr>
        <w:t>interests in the commodity pool may not be marketed through any advertising or systematic solicitation efforts.</w:t>
      </w:r>
    </w:p>
    <w:p>
      <w:pPr>
        <w:pStyle w:val="normal0"/>
        <w:spacing w:before="200" w:after="200"/>
        <w:rPr>
          <w:rFonts w:eastAsia="Arial" w:cs="Arial"/>
          <w:sz w:val="20"/>
          <w:szCs w:val="20"/>
        </w:rPr>
      </w:pPr>
      <w:r>
        <w:rPr>
          <w:rFonts w:eastAsia="Arial" w:cs="Arial"/>
          <w:b/>
          <w:bCs/>
          <w:sz w:val="20"/>
          <w:szCs w:val="20"/>
        </w:rPr>
        <w:t>Rule 4.13(a)(2) Exemption</w:t>
      </w:r>
    </w:p>
    <w:p>
      <w:pPr>
        <w:pStyle w:val="normal0"/>
        <w:spacing w:before="200" w:after="200"/>
        <w:rPr>
          <w:rFonts w:eastAsia="Arial" w:cs="Arial"/>
          <w:sz w:val="20"/>
          <w:szCs w:val="20"/>
        </w:rPr>
      </w:pPr>
      <w:r>
        <w:rPr>
          <w:rFonts w:eastAsia="Arial" w:cs="Arial"/>
          <w:sz w:val="20"/>
          <w:szCs w:val="20"/>
        </w:rPr>
        <w:t>If KCD trades futures, forex, or swaps and accepts only a small number of outside investors with limited aggregate capital contributions, it can rely on the "small pool" exemption provided:</w:t>
      </w:r>
    </w:p>
    <w:p>
      <w:pPr>
        <w:numPr>
          <w:ilvl w:val="0"/>
          <w:numId w:val="765"/>
        </w:numPr>
        <w:spacing w:before="200"/>
        <w:ind w:left="720" w:hanging="192"/>
        <w:jc w:val="left"/>
        <w:rPr>
          <w:rFonts w:eastAsia="Arial" w:cs="Arial"/>
          <w:sz w:val="20"/>
          <w:szCs w:val="20"/>
        </w:rPr>
      </w:pPr>
      <w:r>
        <w:rPr>
          <w:rFonts w:eastAsia="Arial" w:cs="Arial"/>
          <w:sz w:val="20"/>
          <w:szCs w:val="20"/>
        </w:rPr>
        <w:t>none of the pools operated by KCD have more than 15 participants at any time; and</w:t>
      </w:r>
    </w:p>
    <w:p>
      <w:pPr>
        <w:numPr>
          <w:ilvl w:val="0"/>
          <w:numId w:val="765"/>
        </w:numPr>
        <w:spacing w:after="200"/>
        <w:ind w:left="720" w:hanging="192"/>
        <w:jc w:val="left"/>
        <w:rPr>
          <w:rFonts w:eastAsia="Arial" w:cs="Arial"/>
          <w:sz w:val="20"/>
          <w:szCs w:val="20"/>
        </w:rPr>
      </w:pPr>
      <w:r>
        <w:rPr>
          <w:rFonts w:eastAsia="Arial" w:cs="Arial"/>
          <w:sz w:val="20"/>
          <w:szCs w:val="20"/>
        </w:rPr>
        <w:t>the total gross capital contributions received from investors does not exceed $400,000.</w:t>
      </w:r>
    </w:p>
    <w:p>
      <w:pPr>
        <w:pStyle w:val="normal0"/>
        <w:spacing w:before="200" w:after="200"/>
        <w:rPr>
          <w:rFonts w:eastAsia="Arial" w:cs="Arial"/>
          <w:sz w:val="20"/>
          <w:szCs w:val="20"/>
        </w:rPr>
      </w:pPr>
      <w:r>
        <w:rPr>
          <w:rFonts w:eastAsia="Arial" w:cs="Arial"/>
          <w:b/>
          <w:bCs/>
          <w:sz w:val="20"/>
          <w:szCs w:val="20"/>
        </w:rPr>
        <w:t>Rule 4.13(a)(3) Exemption</w:t>
      </w:r>
    </w:p>
    <w:p>
      <w:pPr>
        <w:pStyle w:val="normal0"/>
        <w:spacing w:before="200" w:after="200"/>
        <w:rPr>
          <w:rFonts w:eastAsia="Arial" w:cs="Arial"/>
          <w:sz w:val="20"/>
          <w:szCs w:val="20"/>
        </w:rPr>
      </w:pPr>
      <w:r>
        <w:rPr>
          <w:rFonts w:eastAsia="Arial" w:cs="Arial"/>
          <w:sz w:val="20"/>
          <w:szCs w:val="20"/>
        </w:rPr>
        <w:t>To rely upon the Rule 4.13(a)(3) exemption, KCD must meet three sets of conditions: (i) trading restrictions; (ii) marketing restrictions; and (iii) investor eligibility requirements.</w:t>
      </w:r>
    </w:p>
    <w:p>
      <w:pPr>
        <w:pStyle w:val="normal0"/>
        <w:spacing w:before="200" w:after="200"/>
        <w:rPr>
          <w:rFonts w:eastAsia="Arial" w:cs="Arial"/>
          <w:sz w:val="20"/>
          <w:szCs w:val="20"/>
        </w:rPr>
      </w:pPr>
      <w:r>
        <w:rPr>
          <w:rFonts w:eastAsia="Arial" w:cs="Arial"/>
          <w:sz w:val="20"/>
          <w:szCs w:val="20"/>
        </w:rPr>
        <w:t>1. Trading Restrictions</w:t>
      </w:r>
    </w:p>
    <w:p>
      <w:pPr>
        <w:pStyle w:val="normal0"/>
        <w:spacing w:before="200" w:after="200"/>
        <w:rPr>
          <w:rFonts w:eastAsia="Arial" w:cs="Arial"/>
          <w:sz w:val="20"/>
          <w:szCs w:val="20"/>
        </w:rPr>
      </w:pPr>
      <w:r>
        <w:rPr>
          <w:rFonts w:eastAsia="Arial" w:cs="Arial"/>
          <w:sz w:val="20"/>
          <w:szCs w:val="20"/>
        </w:rPr>
        <w:t>The commodity interests trading is limited to one of two quantitative standards:</w:t>
      </w:r>
    </w:p>
    <w:p>
      <w:pPr>
        <w:numPr>
          <w:ilvl w:val="0"/>
          <w:numId w:val="766"/>
        </w:numPr>
        <w:spacing w:before="200"/>
        <w:ind w:left="720" w:hanging="192"/>
        <w:jc w:val="left"/>
        <w:rPr>
          <w:rFonts w:eastAsia="Arial" w:cs="Arial"/>
          <w:sz w:val="20"/>
          <w:szCs w:val="20"/>
        </w:rPr>
      </w:pPr>
      <w:r>
        <w:rPr>
          <w:rFonts w:eastAsia="Arial" w:cs="Arial"/>
          <w:sz w:val="20"/>
          <w:szCs w:val="20"/>
        </w:rPr>
        <w:t xml:space="preserve">the aggregate initial margin and premiums required to establish commodity interest positions, determined at the time the most recent position was established, will not exceed 5% of the liquidation value of the commodity pool's portfolio (taking in account unrealized gains and losses) (Margin Test); </w:t>
      </w:r>
      <w:r>
        <w:rPr>
          <w:rFonts w:eastAsia="Arial" w:cs="Arial"/>
          <w:b/>
          <w:bCs/>
          <w:sz w:val="20"/>
          <w:szCs w:val="20"/>
        </w:rPr>
        <w:t>or</w:t>
      </w:r>
    </w:p>
    <w:p>
      <w:pPr>
        <w:numPr>
          <w:ilvl w:val="0"/>
          <w:numId w:val="766"/>
        </w:numPr>
        <w:spacing w:after="200"/>
        <w:ind w:left="720" w:hanging="192"/>
        <w:jc w:val="left"/>
        <w:rPr>
          <w:rFonts w:eastAsia="Arial" w:cs="Arial"/>
          <w:sz w:val="20"/>
          <w:szCs w:val="20"/>
        </w:rPr>
      </w:pPr>
      <w:r>
        <w:rPr>
          <w:rFonts w:eastAsia="Arial" w:cs="Arial"/>
          <w:sz w:val="20"/>
          <w:szCs w:val="20"/>
        </w:rPr>
        <w:t>the aggregate net notional value of the commodity pool's commodity interest positions do not exceed 100% of the commodity pool's liquidation value (Net Notional Test).</w:t>
      </w:r>
    </w:p>
    <w:p>
      <w:pPr>
        <w:pStyle w:val="normal0"/>
        <w:spacing w:before="200" w:after="200"/>
        <w:rPr>
          <w:rFonts w:eastAsia="Arial" w:cs="Arial"/>
          <w:sz w:val="20"/>
          <w:szCs w:val="20"/>
        </w:rPr>
      </w:pPr>
      <w:r>
        <w:rPr>
          <w:rFonts w:eastAsia="Arial" w:cs="Arial"/>
          <w:sz w:val="20"/>
          <w:szCs w:val="20"/>
        </w:rPr>
        <w:t>2. Marketing Restrictions</w:t>
      </w:r>
    </w:p>
    <w:p>
      <w:pPr>
        <w:pStyle w:val="normal0"/>
        <w:spacing w:before="200" w:after="200"/>
        <w:rPr>
          <w:rFonts w:eastAsia="Arial" w:cs="Arial"/>
          <w:sz w:val="20"/>
          <w:szCs w:val="20"/>
        </w:rPr>
      </w:pPr>
      <w:r>
        <w:rPr>
          <w:rFonts w:eastAsia="Arial" w:cs="Arial"/>
          <w:sz w:val="20"/>
          <w:szCs w:val="20"/>
        </w:rPr>
        <w:t>Interests in the commodity pool must be offered and sold in a manner that makes them exempt from registration under the 1933 Act, including the requirement that they not be marketed to the public in the U.S.</w:t>
      </w:r>
    </w:p>
    <w:p>
      <w:pPr>
        <w:pStyle w:val="normal0"/>
        <w:spacing w:before="200" w:after="200"/>
        <w:rPr>
          <w:rFonts w:eastAsia="Arial" w:cs="Arial"/>
          <w:sz w:val="20"/>
          <w:szCs w:val="20"/>
        </w:rPr>
      </w:pPr>
      <w:r>
        <w:rPr>
          <w:rFonts w:eastAsia="Arial" w:cs="Arial"/>
          <w:sz w:val="20"/>
          <w:szCs w:val="20"/>
        </w:rPr>
        <w:t>3. Eligible Investors</w:t>
      </w:r>
    </w:p>
    <w:p>
      <w:pPr>
        <w:pStyle w:val="normal0"/>
        <w:spacing w:before="200" w:after="200"/>
        <w:rPr>
          <w:rFonts w:eastAsia="Arial" w:cs="Arial"/>
          <w:sz w:val="20"/>
          <w:szCs w:val="20"/>
        </w:rPr>
      </w:pPr>
      <w:r>
        <w:rPr>
          <w:rFonts w:eastAsia="Arial" w:cs="Arial"/>
          <w:sz w:val="20"/>
          <w:szCs w:val="20"/>
        </w:rPr>
        <w:t>Interests in the commodity pool may be offered only to sophisticated investors referred to in CFTC Rule 4.7 as qualified eligible persons (QEPs), accredited investors, or knowledgeable employees.</w:t>
      </w:r>
    </w:p>
    <w:p>
      <w:pPr>
        <w:pStyle w:val="normal0"/>
        <w:spacing w:before="200" w:after="200"/>
        <w:rPr>
          <w:rFonts w:eastAsia="Arial" w:cs="Arial"/>
          <w:sz w:val="20"/>
          <w:szCs w:val="20"/>
        </w:rPr>
      </w:pPr>
      <w:r>
        <w:rPr>
          <w:rFonts w:eastAsia="Arial" w:cs="Arial"/>
          <w:b/>
          <w:bCs/>
          <w:sz w:val="20"/>
          <w:szCs w:val="20"/>
        </w:rPr>
        <w:t>Rule 4.13(a)(3) Exemption for Fund-of-Funds</w:t>
      </w:r>
    </w:p>
    <w:p>
      <w:pPr>
        <w:pStyle w:val="normal0"/>
        <w:spacing w:before="200" w:after="200"/>
        <w:rPr>
          <w:rFonts w:eastAsia="Arial" w:cs="Arial"/>
          <w:sz w:val="20"/>
          <w:szCs w:val="20"/>
        </w:rPr>
      </w:pPr>
      <w:r>
        <w:rPr>
          <w:rFonts w:eastAsia="Arial" w:cs="Arial"/>
          <w:sz w:val="20"/>
          <w:szCs w:val="20"/>
        </w:rPr>
        <w:t>If a fund or other entity (upper-tier fund) advised by KCD invests in a fund or other entity (lower-tier fund) that meets the definition of commodity pool, the upper-tier entity itself may meet the definition of commodity pool, requiring KCD to register as a CPO. Prior to investing assets of a fund or other entity advised by KCD in lower-tier funds, KCD will look through to the lower-tier funds and ascertain the commodity interest exposure of each of the lower-tier funds.</w:t>
      </w:r>
    </w:p>
    <w:p>
      <w:pPr>
        <w:pStyle w:val="normal0"/>
        <w:spacing w:before="200" w:after="200"/>
        <w:rPr>
          <w:rFonts w:eastAsia="Arial" w:cs="Arial"/>
          <w:sz w:val="20"/>
          <w:szCs w:val="20"/>
        </w:rPr>
      </w:pPr>
      <w:r>
        <w:rPr>
          <w:rFonts w:eastAsia="Arial" w:cs="Arial"/>
          <w:b/>
          <w:bCs/>
          <w:sz w:val="20"/>
          <w:szCs w:val="20"/>
        </w:rPr>
        <w:t>Rule 4.7 Exemption</w:t>
      </w:r>
    </w:p>
    <w:p>
      <w:pPr>
        <w:pStyle w:val="normal0"/>
        <w:spacing w:before="200" w:after="200"/>
        <w:rPr>
          <w:rFonts w:eastAsia="Arial" w:cs="Arial"/>
          <w:sz w:val="20"/>
          <w:szCs w:val="20"/>
        </w:rPr>
      </w:pPr>
      <w:r>
        <w:rPr>
          <w:rFonts w:eastAsia="Arial" w:cs="Arial"/>
          <w:sz w:val="20"/>
          <w:szCs w:val="20"/>
        </w:rPr>
        <w:t>If KCD is registered with the CFTC as a CPO, it will be exempt from certain requirements of the Commodity Exchange Act (</w:t>
      </w:r>
      <w:r>
        <w:rPr>
          <w:rFonts w:eastAsia="Arial" w:cs="Arial"/>
          <w:i/>
          <w:iCs/>
          <w:sz w:val="20"/>
          <w:szCs w:val="20"/>
        </w:rPr>
        <w:t>e.g.,</w:t>
      </w:r>
      <w:r>
        <w:rPr>
          <w:rFonts w:eastAsia="Arial" w:cs="Arial"/>
          <w:sz w:val="20"/>
          <w:szCs w:val="20"/>
        </w:rPr>
        <w:t xml:space="preserve"> certain disclosure, recordkeeping, and reporting requirements) if KCD meets the following requirements:</w:t>
      </w:r>
    </w:p>
    <w:p>
      <w:pPr>
        <w:numPr>
          <w:ilvl w:val="0"/>
          <w:numId w:val="767"/>
        </w:numPr>
        <w:spacing w:before="200"/>
        <w:ind w:left="720" w:hanging="192"/>
        <w:jc w:val="left"/>
        <w:rPr>
          <w:rFonts w:eastAsia="Arial" w:cs="Arial"/>
          <w:sz w:val="20"/>
          <w:szCs w:val="20"/>
        </w:rPr>
      </w:pPr>
      <w:r>
        <w:rPr>
          <w:rFonts w:eastAsia="Arial" w:cs="Arial"/>
          <w:sz w:val="20"/>
          <w:szCs w:val="20"/>
        </w:rPr>
        <w:t>each commodity pool consists of only "qualified eligible persons;" and</w:t>
      </w:r>
    </w:p>
    <w:p>
      <w:pPr>
        <w:numPr>
          <w:ilvl w:val="0"/>
          <w:numId w:val="767"/>
        </w:numPr>
        <w:spacing w:after="200"/>
        <w:ind w:left="720" w:hanging="192"/>
        <w:jc w:val="left"/>
        <w:rPr>
          <w:rFonts w:eastAsia="Arial" w:cs="Arial"/>
          <w:sz w:val="20"/>
          <w:szCs w:val="20"/>
        </w:rPr>
      </w:pPr>
      <w:r>
        <w:rPr>
          <w:rFonts w:eastAsia="Arial" w:cs="Arial"/>
          <w:sz w:val="20"/>
          <w:szCs w:val="20"/>
        </w:rPr>
        <w:t>KCD sells commodity pool interests in a private offering not subject to registration under the Securities Act of 1933 and KCD does not market the commodity pool as an investment vehicle to invest in commodity interests.</w:t>
      </w:r>
    </w:p>
    <w:p>
      <w:pPr>
        <w:pStyle w:val="normal0"/>
        <w:spacing w:before="200" w:after="200"/>
        <w:rPr>
          <w:rFonts w:eastAsia="Arial" w:cs="Arial"/>
          <w:sz w:val="20"/>
          <w:szCs w:val="20"/>
        </w:rPr>
      </w:pPr>
      <w:r>
        <w:rPr>
          <w:rFonts w:eastAsia="Arial" w:cs="Arial"/>
          <w:sz w:val="20"/>
          <w:szCs w:val="20"/>
        </w:rPr>
        <w:t>The CCO will confer with Section 4.7(a)(2) of the Commodity Exchange Act regarding the types of persons who are "qualified eligible persons" for purposes of the Section 4.7 exemption.</w:t>
      </w:r>
    </w:p>
    <w:p>
      <w:pPr>
        <w:pStyle w:val="normal0"/>
        <w:spacing w:before="200" w:after="200"/>
        <w:rPr>
          <w:rFonts w:eastAsia="Arial" w:cs="Arial"/>
          <w:sz w:val="20"/>
          <w:szCs w:val="20"/>
        </w:rPr>
      </w:pPr>
      <w:r>
        <w:rPr>
          <w:rFonts w:eastAsia="Arial" w:cs="Arial"/>
          <w:sz w:val="20"/>
          <w:szCs w:val="20"/>
        </w:rPr>
        <w:t>KCD additionally will satisfy certain disclosure, notice and recordkeeping requirements.</w:t>
      </w:r>
    </w:p>
    <w:p>
      <w:pPr>
        <w:pStyle w:val="normal0"/>
        <w:spacing w:before="200" w:after="200"/>
        <w:rPr>
          <w:rFonts w:eastAsia="Arial" w:cs="Arial"/>
          <w:sz w:val="20"/>
          <w:szCs w:val="20"/>
        </w:rPr>
      </w:pPr>
      <w:r>
        <w:rPr>
          <w:rFonts w:eastAsia="Arial" w:cs="Arial"/>
          <w:b/>
          <w:bCs/>
          <w:sz w:val="20"/>
          <w:szCs w:val="20"/>
        </w:rPr>
        <w:t>Disclosure</w:t>
      </w:r>
    </w:p>
    <w:p>
      <w:pPr>
        <w:pStyle w:val="normal0"/>
        <w:spacing w:before="200" w:after="200"/>
        <w:rPr>
          <w:rFonts w:eastAsia="Arial" w:cs="Arial"/>
          <w:sz w:val="20"/>
          <w:szCs w:val="20"/>
        </w:rPr>
      </w:pPr>
      <w:r>
        <w:rPr>
          <w:rFonts w:eastAsia="Arial" w:cs="Arial"/>
          <w:sz w:val="20"/>
          <w:szCs w:val="20"/>
        </w:rPr>
        <w:t>KCD will include a specified legend on all offering documents or immediately above the signature line in a subscription agreement disclosing its reliance on the Section 4.7 exemption.</w:t>
      </w:r>
    </w:p>
    <w:p>
      <w:pPr>
        <w:pStyle w:val="normal0"/>
        <w:spacing w:before="200" w:after="200"/>
        <w:rPr>
          <w:rFonts w:eastAsia="Arial" w:cs="Arial"/>
          <w:sz w:val="20"/>
          <w:szCs w:val="20"/>
        </w:rPr>
      </w:pPr>
      <w:r>
        <w:rPr>
          <w:rFonts w:eastAsia="Arial" w:cs="Arial"/>
          <w:b/>
          <w:bCs/>
          <w:sz w:val="20"/>
          <w:szCs w:val="20"/>
        </w:rPr>
        <w:t>Notice</w:t>
      </w:r>
    </w:p>
    <w:p>
      <w:pPr>
        <w:pStyle w:val="normal0"/>
        <w:spacing w:before="200" w:after="200"/>
        <w:rPr>
          <w:rFonts w:eastAsia="Arial" w:cs="Arial"/>
          <w:sz w:val="20"/>
          <w:szCs w:val="20"/>
        </w:rPr>
      </w:pPr>
      <w:r>
        <w:rPr>
          <w:rFonts w:eastAsia="Arial" w:cs="Arial"/>
          <w:sz w:val="20"/>
          <w:szCs w:val="20"/>
        </w:rPr>
        <w:t>KCD will file the required notice of exemption with the NFA.</w:t>
      </w:r>
    </w:p>
    <w:p>
      <w:pPr>
        <w:pStyle w:val="normal0"/>
        <w:spacing w:before="200" w:after="200"/>
        <w:rPr>
          <w:rFonts w:eastAsia="Arial" w:cs="Arial"/>
          <w:sz w:val="20"/>
          <w:szCs w:val="20"/>
        </w:rPr>
      </w:pPr>
      <w:r>
        <w:rPr>
          <w:rFonts w:eastAsia="Arial" w:cs="Arial"/>
          <w:b/>
          <w:bCs/>
          <w:sz w:val="20"/>
          <w:szCs w:val="20"/>
        </w:rPr>
        <w:t>Affirmations</w:t>
      </w:r>
    </w:p>
    <w:p>
      <w:pPr>
        <w:pStyle w:val="normal0"/>
        <w:spacing w:before="200" w:after="200"/>
        <w:rPr>
          <w:rFonts w:eastAsia="Arial" w:cs="Arial"/>
          <w:sz w:val="20"/>
          <w:szCs w:val="20"/>
        </w:rPr>
      </w:pPr>
      <w:r>
        <w:rPr>
          <w:rFonts w:eastAsia="Arial" w:cs="Arial"/>
          <w:sz w:val="20"/>
          <w:szCs w:val="20"/>
        </w:rPr>
        <w:t>If KCD upon a CPO exemption, it will file a notice with NFA affirming reliance on the applicable exemption annually within 60 days of the calendar year-end. Failure to timely file may lead to the exemption being withdrawn by the CFTC and NFA at the end of the affirmation period.</w:t>
      </w:r>
    </w:p>
    <w:p>
      <w:pPr>
        <w:pStyle w:val="normal0"/>
        <w:spacing w:before="200" w:after="200"/>
        <w:rPr>
          <w:rFonts w:eastAsia="Arial" w:cs="Arial"/>
          <w:sz w:val="20"/>
          <w:szCs w:val="20"/>
        </w:rPr>
      </w:pPr>
      <w:r>
        <w:rPr>
          <w:rFonts w:eastAsia="Arial" w:cs="Arial"/>
          <w:b/>
          <w:bCs/>
          <w:sz w:val="20"/>
          <w:szCs w:val="20"/>
        </w:rPr>
        <w:t>Reports</w:t>
      </w:r>
    </w:p>
    <w:p>
      <w:pPr>
        <w:pStyle w:val="normal0"/>
        <w:spacing w:before="200" w:after="200"/>
        <w:rPr>
          <w:rFonts w:eastAsia="Arial" w:cs="Arial"/>
          <w:sz w:val="20"/>
          <w:szCs w:val="20"/>
        </w:rPr>
      </w:pPr>
      <w:r>
        <w:rPr>
          <w:rFonts w:eastAsia="Arial" w:cs="Arial"/>
          <w:sz w:val="20"/>
          <w:szCs w:val="20"/>
        </w:rPr>
        <w:t>KCD will prepare required quarterly reports and KCD will:</w:t>
      </w:r>
    </w:p>
    <w:p>
      <w:pPr>
        <w:numPr>
          <w:ilvl w:val="0"/>
          <w:numId w:val="768"/>
        </w:numPr>
        <w:spacing w:before="200"/>
        <w:ind w:left="720" w:hanging="192"/>
        <w:jc w:val="left"/>
        <w:rPr>
          <w:rFonts w:eastAsia="Arial" w:cs="Arial"/>
          <w:sz w:val="20"/>
          <w:szCs w:val="20"/>
        </w:rPr>
      </w:pPr>
      <w:r>
        <w:rPr>
          <w:rFonts w:eastAsia="Arial" w:cs="Arial"/>
          <w:sz w:val="20"/>
          <w:szCs w:val="20"/>
        </w:rPr>
        <w:t>distribute such reports to investors in each fund that is a commodity pool; and</w:t>
      </w:r>
    </w:p>
    <w:p>
      <w:pPr>
        <w:numPr>
          <w:ilvl w:val="0"/>
          <w:numId w:val="768"/>
        </w:numPr>
        <w:spacing w:after="200"/>
        <w:ind w:left="720" w:hanging="192"/>
        <w:jc w:val="left"/>
        <w:rPr>
          <w:rFonts w:eastAsia="Arial" w:cs="Arial"/>
          <w:sz w:val="20"/>
          <w:szCs w:val="20"/>
        </w:rPr>
      </w:pPr>
      <w:r>
        <w:rPr>
          <w:rFonts w:eastAsia="Arial" w:cs="Arial"/>
          <w:sz w:val="20"/>
          <w:szCs w:val="20"/>
        </w:rPr>
        <w:t>file the quarterly report with the NFA.</w:t>
      </w:r>
    </w:p>
    <w:p>
      <w:pPr>
        <w:pStyle w:val="normal0"/>
        <w:spacing w:before="200" w:after="200"/>
        <w:rPr>
          <w:rFonts w:eastAsia="Arial" w:cs="Arial"/>
          <w:sz w:val="20"/>
          <w:szCs w:val="20"/>
        </w:rPr>
      </w:pPr>
      <w:r>
        <w:rPr>
          <w:rFonts w:eastAsia="Arial" w:cs="Arial"/>
          <w:sz w:val="20"/>
          <w:szCs w:val="20"/>
        </w:rPr>
        <w:t>KCD will prepare an annual report for each fund that is a commodity pool relying on Rule 4.7. In addition, KCD will:</w:t>
      </w:r>
    </w:p>
    <w:p>
      <w:pPr>
        <w:numPr>
          <w:ilvl w:val="0"/>
          <w:numId w:val="769"/>
        </w:numPr>
        <w:spacing w:before="200"/>
        <w:ind w:left="720" w:hanging="192"/>
        <w:jc w:val="left"/>
        <w:rPr>
          <w:rFonts w:eastAsia="Arial" w:cs="Arial"/>
          <w:sz w:val="20"/>
          <w:szCs w:val="20"/>
        </w:rPr>
      </w:pPr>
      <w:r>
        <w:rPr>
          <w:rFonts w:eastAsia="Arial" w:cs="Arial"/>
          <w:sz w:val="20"/>
          <w:szCs w:val="20"/>
        </w:rPr>
        <w:t>file such report with the NFA electronically;</w:t>
      </w:r>
    </w:p>
    <w:p>
      <w:pPr>
        <w:numPr>
          <w:ilvl w:val="0"/>
          <w:numId w:val="769"/>
        </w:numPr>
        <w:ind w:left="720" w:hanging="192"/>
        <w:jc w:val="left"/>
        <w:rPr>
          <w:rFonts w:eastAsia="Arial" w:cs="Arial"/>
          <w:sz w:val="20"/>
          <w:szCs w:val="20"/>
        </w:rPr>
      </w:pPr>
      <w:r>
        <w:rPr>
          <w:rFonts w:eastAsia="Arial" w:cs="Arial"/>
          <w:sz w:val="20"/>
          <w:szCs w:val="20"/>
        </w:rPr>
        <w:t>distribute such report to investors in each Fund within 90 days after the end of the fund's fiscal year; and</w:t>
      </w:r>
    </w:p>
    <w:p>
      <w:pPr>
        <w:numPr>
          <w:ilvl w:val="0"/>
          <w:numId w:val="769"/>
        </w:numPr>
        <w:spacing w:after="200"/>
        <w:ind w:left="720" w:hanging="192"/>
        <w:jc w:val="left"/>
        <w:rPr>
          <w:rFonts w:eastAsia="Arial" w:cs="Arial"/>
          <w:sz w:val="20"/>
          <w:szCs w:val="20"/>
        </w:rPr>
      </w:pPr>
      <w:r>
        <w:rPr>
          <w:rFonts w:eastAsia="Arial" w:cs="Arial"/>
          <w:sz w:val="20"/>
          <w:szCs w:val="20"/>
        </w:rPr>
        <w:t>prepare such report in accordance with GAAP.</w:t>
      </w:r>
    </w:p>
    <w:p>
      <w:pPr>
        <w:pStyle w:val="normal0"/>
        <w:spacing w:before="200" w:after="200"/>
        <w:rPr>
          <w:rFonts w:eastAsia="Arial" w:cs="Arial"/>
          <w:sz w:val="20"/>
          <w:szCs w:val="20"/>
        </w:rPr>
      </w:pPr>
      <w:r>
        <w:rPr>
          <w:rFonts w:eastAsia="Arial" w:cs="Arial"/>
          <w:b/>
          <w:bCs/>
          <w:sz w:val="20"/>
          <w:szCs w:val="20"/>
        </w:rPr>
        <w:t>Rule 4.12(b) Exemption</w:t>
      </w:r>
    </w:p>
    <w:p>
      <w:pPr>
        <w:pStyle w:val="normal0"/>
        <w:spacing w:before="200" w:after="200"/>
        <w:rPr>
          <w:rFonts w:eastAsia="Arial" w:cs="Arial"/>
          <w:sz w:val="20"/>
          <w:szCs w:val="20"/>
        </w:rPr>
      </w:pPr>
      <w:r>
        <w:rPr>
          <w:rFonts w:eastAsia="Arial" w:cs="Arial"/>
          <w:sz w:val="20"/>
          <w:szCs w:val="20"/>
        </w:rPr>
        <w:t>If KCD as a registered CPO elects to rely upon the Rule 4.12(b) exemption to be exempt from certain disclosure, reporting and recordkeeping requirements, the CCO will confirm that each commodity pool relying on such exemption:</w:t>
      </w:r>
    </w:p>
    <w:p>
      <w:pPr>
        <w:numPr>
          <w:ilvl w:val="0"/>
          <w:numId w:val="770"/>
        </w:numPr>
        <w:spacing w:before="200"/>
        <w:ind w:left="720" w:hanging="192"/>
        <w:jc w:val="left"/>
        <w:rPr>
          <w:rFonts w:eastAsia="Arial" w:cs="Arial"/>
          <w:sz w:val="20"/>
          <w:szCs w:val="20"/>
        </w:rPr>
      </w:pPr>
      <w:r>
        <w:rPr>
          <w:rFonts w:eastAsia="Arial" w:cs="Arial"/>
          <w:sz w:val="20"/>
          <w:szCs w:val="20"/>
        </w:rPr>
        <w:t>is offered and sold pursuant to the 1933 Act or an exemption thereunder;</w:t>
      </w:r>
    </w:p>
    <w:p>
      <w:pPr>
        <w:numPr>
          <w:ilvl w:val="0"/>
          <w:numId w:val="770"/>
        </w:numPr>
        <w:ind w:left="720" w:hanging="192"/>
        <w:jc w:val="left"/>
        <w:rPr>
          <w:rFonts w:eastAsia="Arial" w:cs="Arial"/>
          <w:sz w:val="20"/>
          <w:szCs w:val="20"/>
        </w:rPr>
      </w:pPr>
      <w:r>
        <w:rPr>
          <w:rFonts w:eastAsia="Arial" w:cs="Arial"/>
          <w:sz w:val="20"/>
          <w:szCs w:val="20"/>
        </w:rPr>
        <w:t>generally and routinely trades in securities and securities-derived instruments;</w:t>
      </w:r>
    </w:p>
    <w:p>
      <w:pPr>
        <w:numPr>
          <w:ilvl w:val="0"/>
          <w:numId w:val="770"/>
        </w:numPr>
        <w:ind w:left="720" w:hanging="192"/>
        <w:jc w:val="left"/>
        <w:rPr>
          <w:rFonts w:eastAsia="Arial" w:cs="Arial"/>
          <w:sz w:val="20"/>
          <w:szCs w:val="20"/>
        </w:rPr>
      </w:pPr>
      <w:r>
        <w:rPr>
          <w:rFonts w:eastAsia="Arial" w:cs="Arial"/>
          <w:sz w:val="20"/>
          <w:szCs w:val="20"/>
        </w:rPr>
        <w:t>commits no more than 10% of its fair market value as initial margin or premiums for commodity interest trading (and certain Forex minimum security deposits, if applicable, are made); and</w:t>
      </w:r>
    </w:p>
    <w:p>
      <w:pPr>
        <w:numPr>
          <w:ilvl w:val="0"/>
          <w:numId w:val="770"/>
        </w:numPr>
        <w:spacing w:after="200"/>
        <w:ind w:left="720" w:hanging="192"/>
        <w:jc w:val="left"/>
        <w:rPr>
          <w:rFonts w:eastAsia="Arial" w:cs="Arial"/>
          <w:sz w:val="20"/>
          <w:szCs w:val="20"/>
        </w:rPr>
      </w:pPr>
      <w:r>
        <w:rPr>
          <w:rFonts w:eastAsia="Arial" w:cs="Arial"/>
          <w:sz w:val="20"/>
          <w:szCs w:val="20"/>
        </w:rPr>
        <w:t>trades only in commodity interests in a manner solely incidental to its securities trading activities.</w:t>
      </w:r>
    </w:p>
    <w:p>
      <w:pPr>
        <w:pStyle w:val="normal0"/>
        <w:spacing w:before="200" w:after="200"/>
        <w:rPr>
          <w:rFonts w:eastAsia="Arial" w:cs="Arial"/>
          <w:sz w:val="20"/>
          <w:szCs w:val="20"/>
        </w:rPr>
      </w:pPr>
      <w:r>
        <w:rPr>
          <w:rFonts w:eastAsia="Arial" w:cs="Arial"/>
          <w:b/>
          <w:bCs/>
          <w:sz w:val="20"/>
          <w:szCs w:val="20"/>
        </w:rPr>
        <w:t>Notice</w:t>
      </w:r>
    </w:p>
    <w:p>
      <w:pPr>
        <w:pStyle w:val="normal0"/>
        <w:spacing w:before="200" w:after="200"/>
        <w:rPr>
          <w:rFonts w:eastAsia="Arial" w:cs="Arial"/>
          <w:sz w:val="20"/>
          <w:szCs w:val="20"/>
        </w:rPr>
      </w:pPr>
      <w:r>
        <w:rPr>
          <w:rFonts w:eastAsia="Arial" w:cs="Arial"/>
          <w:sz w:val="20"/>
          <w:szCs w:val="20"/>
        </w:rPr>
        <w:t>Prior to relying upon Rule 4.12(b), KCD will file a notice of exemption with the NFA.</w:t>
      </w:r>
    </w:p>
    <w:p>
      <w:pPr>
        <w:pStyle w:val="normal0"/>
        <w:spacing w:before="200" w:after="200"/>
        <w:rPr>
          <w:rFonts w:eastAsia="Arial" w:cs="Arial"/>
          <w:sz w:val="20"/>
          <w:szCs w:val="20"/>
        </w:rPr>
      </w:pPr>
      <w:r>
        <w:rPr>
          <w:rFonts w:eastAsia="Arial" w:cs="Arial"/>
          <w:b/>
          <w:bCs/>
          <w:sz w:val="20"/>
          <w:szCs w:val="20"/>
        </w:rPr>
        <w:t>Reports</w:t>
      </w:r>
    </w:p>
    <w:p>
      <w:pPr>
        <w:pStyle w:val="normal0"/>
        <w:spacing w:before="200" w:after="200"/>
        <w:rPr>
          <w:rFonts w:eastAsia="Arial" w:cs="Arial"/>
          <w:sz w:val="20"/>
          <w:szCs w:val="20"/>
        </w:rPr>
      </w:pPr>
      <w:r>
        <w:rPr>
          <w:rFonts w:eastAsia="Arial" w:cs="Arial"/>
          <w:sz w:val="20"/>
          <w:szCs w:val="20"/>
        </w:rPr>
        <w:t>If KCD is relying on the Rule 4.12(b) exemption, it will prepare the quarterly reports required by that Rule and:</w:t>
      </w:r>
    </w:p>
    <w:p>
      <w:pPr>
        <w:numPr>
          <w:ilvl w:val="0"/>
          <w:numId w:val="771"/>
        </w:numPr>
        <w:spacing w:before="200"/>
        <w:ind w:left="720" w:hanging="192"/>
        <w:jc w:val="left"/>
        <w:rPr>
          <w:rFonts w:eastAsia="Arial" w:cs="Arial"/>
          <w:sz w:val="20"/>
          <w:szCs w:val="20"/>
        </w:rPr>
      </w:pPr>
      <w:r>
        <w:rPr>
          <w:rFonts w:eastAsia="Arial" w:cs="Arial"/>
          <w:sz w:val="20"/>
          <w:szCs w:val="20"/>
        </w:rPr>
        <w:t>distribute such reports to investors in each commodity pool within 30 days after the end of the reporting period; and</w:t>
      </w:r>
    </w:p>
    <w:p>
      <w:pPr>
        <w:numPr>
          <w:ilvl w:val="0"/>
          <w:numId w:val="771"/>
        </w:numPr>
        <w:spacing w:after="200"/>
        <w:ind w:left="720" w:hanging="192"/>
        <w:jc w:val="left"/>
        <w:rPr>
          <w:rFonts w:eastAsia="Arial" w:cs="Arial"/>
          <w:sz w:val="20"/>
          <w:szCs w:val="20"/>
        </w:rPr>
      </w:pPr>
      <w:r>
        <w:rPr>
          <w:rFonts w:eastAsia="Arial" w:cs="Arial"/>
          <w:sz w:val="20"/>
          <w:szCs w:val="20"/>
        </w:rPr>
        <w:t>such reports will indicate the NAV of the commodity pool as of the end of the reporting period and the change in NAV from the end of the previous reporting period.</w:t>
      </w:r>
    </w:p>
    <w:p>
      <w:pPr>
        <w:pStyle w:val="normal0"/>
        <w:spacing w:before="200" w:after="200"/>
        <w:rPr>
          <w:rFonts w:eastAsia="Arial" w:cs="Arial"/>
          <w:sz w:val="20"/>
          <w:szCs w:val="20"/>
        </w:rPr>
      </w:pPr>
      <w:r>
        <w:rPr>
          <w:rFonts w:eastAsia="Arial" w:cs="Arial"/>
          <w:sz w:val="20"/>
          <w:szCs w:val="20"/>
        </w:rPr>
        <w:t>In addition, KCD will prepare an annual report for each commodity pool relying on Rule 4.12(b) and:</w:t>
      </w:r>
    </w:p>
    <w:p>
      <w:pPr>
        <w:numPr>
          <w:ilvl w:val="0"/>
          <w:numId w:val="772"/>
        </w:numPr>
        <w:spacing w:before="200"/>
        <w:ind w:left="720" w:hanging="192"/>
        <w:jc w:val="left"/>
        <w:rPr>
          <w:rFonts w:eastAsia="Arial" w:cs="Arial"/>
          <w:sz w:val="20"/>
          <w:szCs w:val="20"/>
        </w:rPr>
      </w:pPr>
      <w:r>
        <w:rPr>
          <w:rFonts w:eastAsia="Arial" w:cs="Arial"/>
          <w:sz w:val="20"/>
          <w:szCs w:val="20"/>
        </w:rPr>
        <w:t>file such report with the NFA electronically;</w:t>
      </w:r>
    </w:p>
    <w:p>
      <w:pPr>
        <w:numPr>
          <w:ilvl w:val="0"/>
          <w:numId w:val="772"/>
        </w:numPr>
        <w:ind w:left="720" w:hanging="192"/>
        <w:jc w:val="left"/>
        <w:rPr>
          <w:rFonts w:eastAsia="Arial" w:cs="Arial"/>
          <w:sz w:val="20"/>
          <w:szCs w:val="20"/>
        </w:rPr>
      </w:pPr>
      <w:r>
        <w:rPr>
          <w:rFonts w:eastAsia="Arial" w:cs="Arial"/>
          <w:sz w:val="20"/>
          <w:szCs w:val="20"/>
        </w:rPr>
        <w:t>distribute such report to investors in each commodity pool within 90 days after the end of the commodity pool's fiscal year; and</w:t>
      </w:r>
    </w:p>
    <w:p>
      <w:pPr>
        <w:numPr>
          <w:ilvl w:val="0"/>
          <w:numId w:val="772"/>
        </w:numPr>
        <w:spacing w:after="200"/>
        <w:ind w:left="720" w:hanging="192"/>
        <w:jc w:val="left"/>
        <w:rPr>
          <w:rFonts w:eastAsia="Arial" w:cs="Arial"/>
          <w:sz w:val="20"/>
          <w:szCs w:val="20"/>
        </w:rPr>
      </w:pPr>
      <w:r>
        <w:rPr>
          <w:rFonts w:eastAsia="Arial" w:cs="Arial"/>
          <w:sz w:val="20"/>
          <w:szCs w:val="20"/>
        </w:rPr>
        <w:t>prepare such report in accordance with GAAP.</w:t>
      </w:r>
    </w:p>
    <w:p>
      <w:pPr>
        <w:pStyle w:val="normal0"/>
        <w:spacing w:before="200" w:after="200"/>
        <w:rPr>
          <w:rFonts w:eastAsia="Arial" w:cs="Arial"/>
          <w:sz w:val="20"/>
          <w:szCs w:val="20"/>
        </w:rPr>
      </w:pPr>
      <w:r>
        <w:rPr>
          <w:rFonts w:eastAsia="Arial" w:cs="Arial"/>
          <w:b/>
          <w:bCs/>
          <w:sz w:val="20"/>
          <w:szCs w:val="20"/>
        </w:rPr>
        <w:t>Non-U.S. Adviser Exemptions</w:t>
      </w:r>
    </w:p>
    <w:p>
      <w:pPr>
        <w:pStyle w:val="normal0"/>
        <w:spacing w:before="200" w:after="200"/>
        <w:rPr>
          <w:rFonts w:eastAsia="Arial" w:cs="Arial"/>
          <w:sz w:val="20"/>
          <w:szCs w:val="20"/>
        </w:rPr>
      </w:pPr>
      <w:r>
        <w:rPr>
          <w:rFonts w:eastAsia="Arial" w:cs="Arial"/>
          <w:sz w:val="20"/>
          <w:szCs w:val="20"/>
        </w:rPr>
        <w:t>If KCD is a foreign adviser, the CCO will consider whether it may rely upon one or more of certain exemptions available to non-U.S. advisers.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If KCD is a non-U.S. adviser, it should consider the availability of CFTC Interpretative Letter 76-21, CFTC Rule 30.4 (non-U.S. advisers who do not trade in U.S. markets with limited participation by U.S. investors) and CFTC Rule 30.5 (non-U.S. advisers who do not trade in U.S. markets).</w:t>
            </w:r>
          </w:p>
        </w:tc>
      </w:tr>
    </w:tbl>
    <w:p>
      <w:bookmarkEnd w:id="883"/>
      <w:bookmarkStart w:id="884" w:name="Sec_Chp_061016102257046_113722"/>
    </w:p>
    <w:p>
      <w:pPr>
        <w:pStyle w:val="Heading5"/>
      </w:pPr>
      <w:r>
        <w:t>11.3.9.2.2 CPO Registration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file for registration as a CPO by using the NFA Online Registration System (ORS). ORS may be accessed at </w:t>
      </w:r>
      <w:hyperlink r:id="rId27" w:tgtFrame="_blank" w:history="1">
        <w:r>
          <w:rPr>
            <w:rStyle w:val="Hyperlink"/>
            <w:rFonts w:eastAsia="Arial" w:cs="Arial"/>
            <w:color w:val="0000EE"/>
            <w:sz w:val="20"/>
            <w:szCs w:val="20"/>
            <w:u w:color="0000EE"/>
          </w:rPr>
          <w:t>http://www.nfa.futures.org</w:t>
        </w:r>
      </w:hyperlink>
      <w:r>
        <w:rPr>
          <w:rFonts w:eastAsia="Arial" w:cs="Arial"/>
          <w:sz w:val="20"/>
          <w:szCs w:val="20"/>
        </w:rPr>
        <w:t>.</w:t>
      </w:r>
    </w:p>
    <w:p>
      <w:pPr>
        <w:pStyle w:val="normal0"/>
        <w:spacing w:before="200" w:after="200"/>
        <w:rPr>
          <w:rFonts w:eastAsia="Arial" w:cs="Arial"/>
          <w:sz w:val="20"/>
          <w:szCs w:val="20"/>
        </w:rPr>
      </w:pPr>
      <w:r>
        <w:rPr>
          <w:rFonts w:eastAsia="Arial" w:cs="Arial"/>
          <w:sz w:val="20"/>
          <w:szCs w:val="20"/>
        </w:rPr>
        <w:t xml:space="preserve">In order to register with the NFA, a firm must take the following steps: </w:t>
      </w:r>
    </w:p>
    <w:p>
      <w:pPr>
        <w:numPr>
          <w:ilvl w:val="0"/>
          <w:numId w:val="773"/>
        </w:numPr>
        <w:spacing w:before="200"/>
        <w:ind w:left="720" w:hanging="192"/>
        <w:jc w:val="left"/>
        <w:rPr>
          <w:rFonts w:eastAsia="Arial" w:cs="Arial"/>
          <w:sz w:val="20"/>
          <w:szCs w:val="20"/>
        </w:rPr>
      </w:pPr>
      <w:r>
        <w:rPr>
          <w:rFonts w:eastAsia="Arial" w:cs="Arial"/>
          <w:sz w:val="20"/>
          <w:szCs w:val="20"/>
        </w:rPr>
        <w:t xml:space="preserve">Complete the online version of Form 7-R, the Firm Application; </w:t>
      </w:r>
    </w:p>
    <w:p>
      <w:pPr>
        <w:numPr>
          <w:ilvl w:val="0"/>
          <w:numId w:val="773"/>
        </w:numPr>
        <w:ind w:left="720" w:hanging="192"/>
        <w:jc w:val="left"/>
        <w:rPr>
          <w:rFonts w:eastAsia="Arial" w:cs="Arial"/>
          <w:sz w:val="20"/>
          <w:szCs w:val="20"/>
        </w:rPr>
      </w:pPr>
      <w:r>
        <w:rPr>
          <w:rFonts w:eastAsia="Arial" w:cs="Arial"/>
          <w:sz w:val="20"/>
          <w:szCs w:val="20"/>
        </w:rPr>
        <w:t>Submit a non-refundable application fee of $200; and</w:t>
      </w:r>
    </w:p>
    <w:p>
      <w:pPr>
        <w:numPr>
          <w:ilvl w:val="0"/>
          <w:numId w:val="773"/>
        </w:numPr>
        <w:spacing w:after="200"/>
        <w:ind w:left="720" w:hanging="192"/>
        <w:jc w:val="left"/>
        <w:rPr>
          <w:rFonts w:eastAsia="Arial" w:cs="Arial"/>
          <w:sz w:val="20"/>
          <w:szCs w:val="20"/>
        </w:rPr>
      </w:pPr>
      <w:r>
        <w:rPr>
          <w:rFonts w:eastAsia="Arial" w:cs="Arial"/>
          <w:sz w:val="20"/>
          <w:szCs w:val="20"/>
        </w:rPr>
        <w:t>Pay NFA-mandated CPO membership dues of $750.</w:t>
      </w:r>
    </w:p>
    <w:p>
      <w:pPr>
        <w:pStyle w:val="normal0"/>
        <w:spacing w:before="200" w:after="200"/>
        <w:rPr>
          <w:rFonts w:eastAsia="Arial" w:cs="Arial"/>
          <w:sz w:val="20"/>
          <w:szCs w:val="20"/>
        </w:rPr>
      </w:pPr>
      <w:r>
        <w:rPr>
          <w:rFonts w:eastAsia="Arial" w:cs="Arial"/>
          <w:sz w:val="20"/>
          <w:szCs w:val="20"/>
        </w:rPr>
        <w:t xml:space="preserve">As a registered CPO, KCD would be required to be a member of the NFA. </w:t>
      </w:r>
    </w:p>
    <w:p>
      <w:bookmarkEnd w:id="884"/>
      <w:bookmarkStart w:id="885" w:name="Sec_Chp_061016102257046_113723"/>
    </w:p>
    <w:p>
      <w:pPr>
        <w:pStyle w:val="Heading5"/>
      </w:pPr>
      <w:r>
        <w:t>11.3.9.2.3 CPO Principal Registration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registered as a CPO, the CCO shall determine whether firm personnel and any entities related to KCD must be registered as principals. The following persons and entities may have to register as principals:</w:t>
      </w:r>
    </w:p>
    <w:p>
      <w:pPr>
        <w:numPr>
          <w:ilvl w:val="0"/>
          <w:numId w:val="774"/>
        </w:numPr>
        <w:spacing w:before="200"/>
        <w:ind w:left="720" w:hanging="192"/>
        <w:jc w:val="left"/>
        <w:rPr>
          <w:rFonts w:eastAsia="Arial" w:cs="Arial"/>
          <w:sz w:val="20"/>
          <w:szCs w:val="20"/>
        </w:rPr>
      </w:pPr>
      <w:r>
        <w:rPr>
          <w:rFonts w:eastAsia="Arial" w:cs="Arial"/>
          <w:sz w:val="20"/>
          <w:szCs w:val="20"/>
        </w:rPr>
        <w:t>Persons with certain titles:</w:t>
      </w:r>
    </w:p>
    <w:p>
      <w:pPr>
        <w:numPr>
          <w:ilvl w:val="1"/>
          <w:numId w:val="774"/>
        </w:numPr>
        <w:ind w:left="1440" w:hanging="220"/>
        <w:jc w:val="left"/>
        <w:rPr>
          <w:rFonts w:eastAsia="Arial" w:cs="Arial"/>
          <w:sz w:val="20"/>
          <w:szCs w:val="20"/>
        </w:rPr>
      </w:pPr>
      <w:r>
        <w:rPr>
          <w:rFonts w:eastAsia="Arial" w:cs="Arial"/>
          <w:sz w:val="20"/>
          <w:szCs w:val="20"/>
        </w:rPr>
        <w:t>LLC: director, president, CEO, COO, CFO, CCO, a person in charge of a business unit or division subject to regulation by the CFTC, manager, managing member or member with management authority.</w:t>
      </w:r>
    </w:p>
    <w:p>
      <w:pPr>
        <w:numPr>
          <w:ilvl w:val="0"/>
          <w:numId w:val="774"/>
        </w:numPr>
        <w:ind w:left="720" w:hanging="192"/>
        <w:jc w:val="left"/>
        <w:rPr>
          <w:rFonts w:eastAsia="Arial" w:cs="Arial"/>
          <w:sz w:val="20"/>
          <w:szCs w:val="20"/>
        </w:rPr>
      </w:pPr>
      <w:r>
        <w:rPr>
          <w:rFonts w:eastAsia="Arial" w:cs="Arial"/>
          <w:sz w:val="20"/>
          <w:szCs w:val="20"/>
        </w:rPr>
        <w:t>Corporation: director, president, CEO, COO, CFO, CCO, a person in charge of a business unit or division subject to regulation by the CFTC.</w:t>
      </w:r>
    </w:p>
    <w:p>
      <w:pPr>
        <w:numPr>
          <w:ilvl w:val="0"/>
          <w:numId w:val="774"/>
        </w:numPr>
        <w:ind w:left="720" w:hanging="192"/>
        <w:jc w:val="left"/>
        <w:rPr>
          <w:rFonts w:eastAsia="Arial" w:cs="Arial"/>
          <w:sz w:val="20"/>
          <w:szCs w:val="20"/>
        </w:rPr>
      </w:pPr>
      <w:r>
        <w:rPr>
          <w:rFonts w:eastAsia="Arial" w:cs="Arial"/>
          <w:sz w:val="20"/>
          <w:szCs w:val="20"/>
        </w:rPr>
        <w:t>Partnership: general partner.</w:t>
      </w:r>
    </w:p>
    <w:p>
      <w:pPr>
        <w:numPr>
          <w:ilvl w:val="0"/>
          <w:numId w:val="774"/>
        </w:numPr>
        <w:ind w:left="720" w:hanging="192"/>
        <w:jc w:val="left"/>
        <w:rPr>
          <w:rFonts w:eastAsia="Arial" w:cs="Arial"/>
          <w:sz w:val="20"/>
          <w:szCs w:val="20"/>
        </w:rPr>
      </w:pPr>
      <w:r>
        <w:rPr>
          <w:rFonts w:eastAsia="Arial" w:cs="Arial"/>
          <w:sz w:val="20"/>
          <w:szCs w:val="20"/>
        </w:rPr>
        <w:t>Sole Proprietorship: sole proprietor.</w:t>
      </w:r>
    </w:p>
    <w:p>
      <w:pPr>
        <w:numPr>
          <w:ilvl w:val="0"/>
          <w:numId w:val="774"/>
        </w:numPr>
        <w:ind w:left="720" w:hanging="192"/>
        <w:jc w:val="left"/>
        <w:rPr>
          <w:rFonts w:eastAsia="Arial" w:cs="Arial"/>
          <w:sz w:val="20"/>
          <w:szCs w:val="20"/>
        </w:rPr>
      </w:pPr>
      <w:r>
        <w:rPr>
          <w:rFonts w:eastAsia="Arial" w:cs="Arial"/>
          <w:sz w:val="20"/>
          <w:szCs w:val="20"/>
        </w:rPr>
        <w:t>Persons with certain ownership interests:</w:t>
      </w:r>
    </w:p>
    <w:p>
      <w:pPr>
        <w:numPr>
          <w:ilvl w:val="1"/>
          <w:numId w:val="774"/>
        </w:numPr>
        <w:ind w:left="1440" w:hanging="220"/>
        <w:jc w:val="left"/>
        <w:rPr>
          <w:rFonts w:eastAsia="Arial" w:cs="Arial"/>
          <w:sz w:val="20"/>
          <w:szCs w:val="20"/>
        </w:rPr>
      </w:pPr>
      <w:r>
        <w:rPr>
          <w:rFonts w:eastAsia="Arial" w:cs="Arial"/>
          <w:sz w:val="20"/>
          <w:szCs w:val="20"/>
        </w:rPr>
        <w:t>Persons who own 10% of more of the outstanding shares of any class of the stock of the CPO;</w:t>
      </w:r>
    </w:p>
    <w:p>
      <w:pPr>
        <w:numPr>
          <w:ilvl w:val="1"/>
          <w:numId w:val="774"/>
        </w:numPr>
        <w:ind w:left="1440" w:hanging="220"/>
        <w:jc w:val="left"/>
        <w:rPr>
          <w:rFonts w:eastAsia="Arial" w:cs="Arial"/>
          <w:sz w:val="20"/>
          <w:szCs w:val="20"/>
        </w:rPr>
      </w:pPr>
      <w:r>
        <w:rPr>
          <w:rFonts w:eastAsia="Arial" w:cs="Arial"/>
          <w:sz w:val="20"/>
          <w:szCs w:val="20"/>
        </w:rPr>
        <w:t>Persons who are entitled to vote 10% or more of any class of the voting securities of the CPO;</w:t>
      </w:r>
    </w:p>
    <w:p>
      <w:pPr>
        <w:numPr>
          <w:ilvl w:val="1"/>
          <w:numId w:val="774"/>
        </w:numPr>
        <w:ind w:left="1440" w:hanging="220"/>
        <w:jc w:val="left"/>
        <w:rPr>
          <w:rFonts w:eastAsia="Arial" w:cs="Arial"/>
          <w:sz w:val="20"/>
          <w:szCs w:val="20"/>
        </w:rPr>
      </w:pPr>
      <w:r>
        <w:rPr>
          <w:rFonts w:eastAsia="Arial" w:cs="Arial"/>
          <w:sz w:val="20"/>
          <w:szCs w:val="20"/>
        </w:rPr>
        <w:t>Persons who have the power to sell or direct the sale of 10% or more of any class of the voting securities of the CPO;</w:t>
      </w:r>
    </w:p>
    <w:p>
      <w:pPr>
        <w:numPr>
          <w:ilvl w:val="1"/>
          <w:numId w:val="774"/>
        </w:numPr>
        <w:ind w:left="1440" w:hanging="220"/>
        <w:jc w:val="left"/>
        <w:rPr>
          <w:rFonts w:eastAsia="Arial" w:cs="Arial"/>
          <w:sz w:val="20"/>
          <w:szCs w:val="20"/>
        </w:rPr>
      </w:pPr>
      <w:r>
        <w:rPr>
          <w:rFonts w:eastAsia="Arial" w:cs="Arial"/>
          <w:sz w:val="20"/>
          <w:szCs w:val="20"/>
        </w:rPr>
        <w:t>Persons who have contributed 10% or more of the capital of the CPO;</w:t>
      </w:r>
    </w:p>
    <w:p>
      <w:pPr>
        <w:numPr>
          <w:ilvl w:val="1"/>
          <w:numId w:val="774"/>
        </w:numPr>
        <w:ind w:left="1440" w:hanging="220"/>
        <w:jc w:val="left"/>
        <w:rPr>
          <w:rFonts w:eastAsia="Arial" w:cs="Arial"/>
          <w:sz w:val="20"/>
          <w:szCs w:val="20"/>
        </w:rPr>
      </w:pPr>
      <w:r>
        <w:rPr>
          <w:rFonts w:eastAsia="Arial" w:cs="Arial"/>
          <w:sz w:val="20"/>
          <w:szCs w:val="20"/>
        </w:rPr>
        <w:t>Persons who are entitled to receive 10% or more of the net profits of the CPO</w:t>
      </w:r>
    </w:p>
    <w:p>
      <w:pPr>
        <w:numPr>
          <w:ilvl w:val="0"/>
          <w:numId w:val="774"/>
        </w:numPr>
        <w:ind w:left="720" w:hanging="192"/>
        <w:jc w:val="left"/>
        <w:rPr>
          <w:rFonts w:eastAsia="Arial" w:cs="Arial"/>
          <w:sz w:val="20"/>
          <w:szCs w:val="20"/>
        </w:rPr>
      </w:pPr>
      <w:r>
        <w:rPr>
          <w:rFonts w:eastAsia="Arial" w:cs="Arial"/>
          <w:sz w:val="20"/>
          <w:szCs w:val="20"/>
        </w:rPr>
        <w:t>Entities with certain control:</w:t>
      </w:r>
    </w:p>
    <w:p>
      <w:pPr>
        <w:numPr>
          <w:ilvl w:val="1"/>
          <w:numId w:val="774"/>
        </w:numPr>
        <w:ind w:left="1440" w:hanging="220"/>
        <w:jc w:val="left"/>
        <w:rPr>
          <w:rFonts w:eastAsia="Arial" w:cs="Arial"/>
          <w:sz w:val="20"/>
          <w:szCs w:val="20"/>
        </w:rPr>
      </w:pPr>
      <w:r>
        <w:rPr>
          <w:rFonts w:eastAsia="Arial" w:cs="Arial"/>
          <w:sz w:val="20"/>
          <w:szCs w:val="20"/>
        </w:rPr>
        <w:t>Entities that are the general partner of a CPO formed as a partnership;</w:t>
      </w:r>
    </w:p>
    <w:p>
      <w:pPr>
        <w:numPr>
          <w:ilvl w:val="1"/>
          <w:numId w:val="774"/>
        </w:numPr>
        <w:ind w:left="1440" w:hanging="220"/>
        <w:jc w:val="left"/>
        <w:rPr>
          <w:rFonts w:eastAsia="Arial" w:cs="Arial"/>
          <w:sz w:val="20"/>
          <w:szCs w:val="20"/>
        </w:rPr>
      </w:pPr>
      <w:r>
        <w:rPr>
          <w:rFonts w:eastAsia="Arial" w:cs="Arial"/>
          <w:sz w:val="20"/>
          <w:szCs w:val="20"/>
        </w:rPr>
        <w:t>Entities that own 10% or more of any class of securities of the CPO;</w:t>
      </w:r>
    </w:p>
    <w:p>
      <w:pPr>
        <w:numPr>
          <w:ilvl w:val="1"/>
          <w:numId w:val="774"/>
        </w:numPr>
        <w:spacing w:after="200"/>
        <w:ind w:left="1440" w:hanging="220"/>
        <w:jc w:val="left"/>
        <w:rPr>
          <w:rFonts w:eastAsia="Arial" w:cs="Arial"/>
          <w:sz w:val="20"/>
          <w:szCs w:val="20"/>
        </w:rPr>
      </w:pPr>
      <w:r>
        <w:rPr>
          <w:rFonts w:eastAsia="Arial" w:cs="Arial"/>
          <w:sz w:val="20"/>
          <w:szCs w:val="20"/>
        </w:rPr>
        <w:t>Entities that have directly contributed 10% or more of the capital of the CPO.</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If KCD is a registered CPO, at least one employee of KCD must be a Principal who is registered as an Associated Person.</w:t>
            </w:r>
          </w:p>
        </w:tc>
      </w:tr>
    </w:tbl>
    <w:p>
      <w:pPr>
        <w:rPr>
          <w:rFonts w:eastAsia="Arial" w:cs="Arial"/>
          <w:sz w:val="20"/>
          <w:szCs w:val="20"/>
        </w:rPr>
      </w:pPr>
    </w:p>
    <w:p>
      <w:pPr>
        <w:pStyle w:val="normal0"/>
        <w:spacing w:before="200" w:after="200"/>
        <w:rPr>
          <w:rFonts w:eastAsia="Arial" w:cs="Arial"/>
          <w:sz w:val="20"/>
          <w:szCs w:val="20"/>
        </w:rPr>
      </w:pPr>
      <w:r>
        <w:rPr>
          <w:rFonts w:eastAsia="Arial" w:cs="Arial"/>
          <w:b/>
          <w:bCs/>
          <w:sz w:val="20"/>
          <w:szCs w:val="20"/>
        </w:rPr>
        <w:t>CPO Associated Person Registration</w:t>
      </w:r>
    </w:p>
    <w:p>
      <w:pPr>
        <w:pStyle w:val="normal0"/>
        <w:spacing w:before="200" w:after="200"/>
        <w:rPr>
          <w:rFonts w:eastAsia="Arial" w:cs="Arial"/>
          <w:sz w:val="20"/>
          <w:szCs w:val="20"/>
        </w:rPr>
      </w:pPr>
      <w:r>
        <w:rPr>
          <w:rFonts w:eastAsia="Arial" w:cs="Arial"/>
          <w:sz w:val="20"/>
          <w:szCs w:val="20"/>
        </w:rPr>
        <w:t>If KCD is registered as a CPO, the following persons must be registered as an associated person unless an exemption is available:</w:t>
      </w:r>
    </w:p>
    <w:p>
      <w:pPr>
        <w:numPr>
          <w:ilvl w:val="0"/>
          <w:numId w:val="775"/>
        </w:numPr>
        <w:spacing w:before="200"/>
        <w:ind w:left="720" w:hanging="192"/>
        <w:jc w:val="left"/>
        <w:rPr>
          <w:rFonts w:eastAsia="Arial" w:cs="Arial"/>
          <w:sz w:val="20"/>
          <w:szCs w:val="20"/>
        </w:rPr>
      </w:pPr>
      <w:r>
        <w:rPr>
          <w:rFonts w:eastAsia="Arial" w:cs="Arial"/>
          <w:sz w:val="20"/>
          <w:szCs w:val="20"/>
        </w:rPr>
        <w:t>each individual at KCD who solicits orders, customers or customer funds on behalf of KCD in its capacity as a CPO; and</w:t>
      </w:r>
    </w:p>
    <w:p>
      <w:pPr>
        <w:numPr>
          <w:ilvl w:val="0"/>
          <w:numId w:val="775"/>
        </w:numPr>
        <w:spacing w:after="200"/>
        <w:ind w:left="720" w:hanging="192"/>
        <w:jc w:val="left"/>
        <w:rPr>
          <w:rFonts w:eastAsia="Arial" w:cs="Arial"/>
          <w:sz w:val="20"/>
          <w:szCs w:val="20"/>
        </w:rPr>
      </w:pPr>
      <w:r>
        <w:rPr>
          <w:rFonts w:eastAsia="Arial" w:cs="Arial"/>
          <w:sz w:val="20"/>
          <w:szCs w:val="20"/>
        </w:rPr>
        <w:t>each individual who is in the supervising chain-of-command who supervises such persons.</w:t>
      </w:r>
    </w:p>
    <w:p>
      <w:pPr>
        <w:pStyle w:val="normal0"/>
        <w:spacing w:before="200" w:after="200"/>
        <w:rPr>
          <w:rFonts w:eastAsia="Arial" w:cs="Arial"/>
          <w:sz w:val="20"/>
          <w:szCs w:val="20"/>
        </w:rPr>
      </w:pPr>
      <w:r>
        <w:rPr>
          <w:rFonts w:eastAsia="Arial" w:cs="Arial"/>
          <w:sz w:val="20"/>
          <w:szCs w:val="20"/>
        </w:rPr>
        <w:t>As required by CFTC rules, the CCO shall treat both immediate supervisors and everyone in line of the supervisory authority as being in the chain of command. This potentially includes the CEO, President or other most senior person at KCD.</w:t>
      </w:r>
    </w:p>
    <w:p>
      <w:pPr>
        <w:pStyle w:val="normal0"/>
        <w:spacing w:before="200" w:after="200"/>
        <w:rPr>
          <w:rFonts w:eastAsia="Arial" w:cs="Arial"/>
          <w:sz w:val="20"/>
          <w:szCs w:val="20"/>
        </w:rPr>
      </w:pPr>
      <w:r>
        <w:rPr>
          <w:rFonts w:eastAsia="Arial" w:cs="Arial"/>
          <w:b/>
          <w:bCs/>
          <w:sz w:val="20"/>
          <w:szCs w:val="20"/>
        </w:rPr>
        <w:t>Exemptions from Associated Person Definition</w:t>
      </w:r>
    </w:p>
    <w:p>
      <w:pPr>
        <w:pStyle w:val="normal0"/>
        <w:spacing w:before="200" w:after="200"/>
        <w:rPr>
          <w:rFonts w:eastAsia="Arial" w:cs="Arial"/>
          <w:sz w:val="20"/>
          <w:szCs w:val="20"/>
        </w:rPr>
      </w:pPr>
      <w:r>
        <w:rPr>
          <w:rFonts w:eastAsia="Arial" w:cs="Arial"/>
          <w:sz w:val="20"/>
          <w:szCs w:val="20"/>
        </w:rPr>
        <w:t>Prior to registering an employee of KCD as an associated person of a CPO, the CCO will determine whether any exemptions from that status are available. These exemptions include:</w:t>
      </w:r>
    </w:p>
    <w:p>
      <w:pPr>
        <w:numPr>
          <w:ilvl w:val="0"/>
          <w:numId w:val="776"/>
        </w:numPr>
        <w:spacing w:before="200"/>
        <w:ind w:left="720" w:hanging="192"/>
        <w:jc w:val="left"/>
        <w:rPr>
          <w:rFonts w:eastAsia="Arial" w:cs="Arial"/>
          <w:sz w:val="20"/>
          <w:szCs w:val="20"/>
        </w:rPr>
      </w:pPr>
      <w:r>
        <w:rPr>
          <w:rFonts w:eastAsia="Arial" w:cs="Arial"/>
          <w:sz w:val="20"/>
          <w:szCs w:val="20"/>
        </w:rPr>
        <w:t>Rule 3.12(h)(1)(ii): a person engaged only in the solicitation of interests in a commodity pool as a FINRA registered representative who does not engage in any other activity subject to CFTC regulation.</w:t>
      </w:r>
    </w:p>
    <w:p>
      <w:pPr>
        <w:numPr>
          <w:ilvl w:val="0"/>
          <w:numId w:val="776"/>
        </w:numPr>
        <w:ind w:left="720" w:hanging="192"/>
        <w:jc w:val="left"/>
        <w:rPr>
          <w:rFonts w:eastAsia="Arial" w:cs="Arial"/>
          <w:sz w:val="20"/>
          <w:szCs w:val="20"/>
        </w:rPr>
      </w:pPr>
      <w:r>
        <w:rPr>
          <w:rFonts w:eastAsia="Arial" w:cs="Arial"/>
          <w:sz w:val="20"/>
          <w:szCs w:val="20"/>
        </w:rPr>
        <w:t>Rule 3.12(h)(1)(iii): a COO, general partner or other person in the supervisory chain-of-command of an entity that makes no more than 10% of its annual revenue from commodity interest related activity, provided that the person engages in no solicitation activities and delegates its supervisory authority to another registered Associated Person.</w:t>
      </w:r>
    </w:p>
    <w:p>
      <w:pPr>
        <w:numPr>
          <w:ilvl w:val="0"/>
          <w:numId w:val="776"/>
        </w:numPr>
        <w:spacing w:after="200"/>
        <w:ind w:left="720" w:hanging="192"/>
        <w:jc w:val="left"/>
        <w:rPr>
          <w:rFonts w:eastAsia="Arial" w:cs="Arial"/>
          <w:sz w:val="20"/>
          <w:szCs w:val="20"/>
        </w:rPr>
      </w:pPr>
      <w:r>
        <w:rPr>
          <w:rFonts w:eastAsia="Arial" w:cs="Arial"/>
          <w:sz w:val="20"/>
          <w:szCs w:val="20"/>
        </w:rPr>
        <w:t>Rule 3.12(h)(1)(iv): a person whose activities are limited to soliciting: (i) non-U.S. investors, (ii) for non-U.S. funds from (iii) outside the U.S.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Only natural persons may be Associated Persons.</w:t>
            </w:r>
          </w:p>
        </w:tc>
      </w:tr>
    </w:tbl>
    <w:p>
      <w:pPr>
        <w:rPr>
          <w:rFonts w:eastAsia="Arial" w:cs="Arial"/>
          <w:sz w:val="20"/>
          <w:szCs w:val="20"/>
        </w:rPr>
      </w:pPr>
    </w:p>
    <w:p>
      <w:pPr>
        <w:pStyle w:val="normal0"/>
        <w:spacing w:before="200" w:after="200"/>
        <w:rPr>
          <w:rFonts w:eastAsia="Arial" w:cs="Arial"/>
          <w:sz w:val="20"/>
          <w:szCs w:val="20"/>
        </w:rPr>
      </w:pPr>
      <w:r>
        <w:rPr>
          <w:rFonts w:eastAsia="Arial" w:cs="Arial"/>
          <w:b/>
          <w:bCs/>
          <w:sz w:val="20"/>
          <w:szCs w:val="20"/>
        </w:rPr>
        <w:t>CPO Associated Person/Principal Registration Process</w:t>
      </w:r>
    </w:p>
    <w:p>
      <w:pPr>
        <w:pStyle w:val="normal0"/>
        <w:spacing w:before="200" w:after="200"/>
        <w:rPr>
          <w:rFonts w:eastAsia="Arial" w:cs="Arial"/>
          <w:sz w:val="20"/>
          <w:szCs w:val="20"/>
        </w:rPr>
      </w:pPr>
      <w:r>
        <w:rPr>
          <w:rFonts w:eastAsia="Arial" w:cs="Arial"/>
          <w:sz w:val="20"/>
          <w:szCs w:val="20"/>
        </w:rPr>
        <w:t>To register an individual as a Principal or Associated Person of KCD, the CCO will:</w:t>
      </w:r>
    </w:p>
    <w:p>
      <w:pPr>
        <w:numPr>
          <w:ilvl w:val="0"/>
          <w:numId w:val="777"/>
        </w:numPr>
        <w:spacing w:before="200"/>
        <w:ind w:left="720" w:hanging="192"/>
        <w:jc w:val="left"/>
        <w:rPr>
          <w:rFonts w:eastAsia="Arial" w:cs="Arial"/>
          <w:sz w:val="20"/>
          <w:szCs w:val="20"/>
        </w:rPr>
      </w:pPr>
      <w:r>
        <w:rPr>
          <w:rFonts w:eastAsia="Arial" w:cs="Arial"/>
          <w:sz w:val="20"/>
          <w:szCs w:val="20"/>
        </w:rPr>
        <w:t>confirm that the individual passed the Series 3 exam within the past two years unless the person is currently registered as an Associated Person of another CPO or the person has obtained a waiver from the CFTC or NFA;</w:t>
      </w:r>
    </w:p>
    <w:p>
      <w:pPr>
        <w:numPr>
          <w:ilvl w:val="0"/>
          <w:numId w:val="777"/>
        </w:numPr>
        <w:ind w:left="720" w:hanging="192"/>
        <w:jc w:val="left"/>
        <w:rPr>
          <w:rFonts w:eastAsia="Arial" w:cs="Arial"/>
          <w:sz w:val="20"/>
          <w:szCs w:val="20"/>
        </w:rPr>
      </w:pPr>
      <w:r>
        <w:rPr>
          <w:rFonts w:eastAsia="Arial" w:cs="Arial"/>
          <w:sz w:val="20"/>
          <w:szCs w:val="20"/>
        </w:rPr>
        <w:t>file a Form 8-R through the NFA's Online Registration System; and</w:t>
      </w:r>
    </w:p>
    <w:p>
      <w:pPr>
        <w:numPr>
          <w:ilvl w:val="0"/>
          <w:numId w:val="777"/>
        </w:numPr>
        <w:spacing w:after="200"/>
        <w:ind w:left="720" w:hanging="192"/>
        <w:jc w:val="left"/>
        <w:rPr>
          <w:rFonts w:eastAsia="Arial" w:cs="Arial"/>
          <w:sz w:val="20"/>
          <w:szCs w:val="20"/>
        </w:rPr>
      </w:pPr>
      <w:r>
        <w:rPr>
          <w:rFonts w:eastAsia="Arial" w:cs="Arial"/>
          <w:sz w:val="20"/>
          <w:szCs w:val="20"/>
        </w:rPr>
        <w:t>send a completed fingerprint card to the NFA for each Principal and Associated Person to be registered.</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Outside individual directors of the CPO are not subject to the fingerprinting requirement. Certain waivers to the exam requirement may be available. See CFTC Rule 402.</w:t>
            </w:r>
          </w:p>
        </w:tc>
      </w:tr>
    </w:tbl>
    <w:p>
      <w:bookmarkEnd w:id="885"/>
      <w:bookmarkStart w:id="886" w:name="Sec_Chp_061016102257046_113724"/>
    </w:p>
    <w:p>
      <w:pPr>
        <w:pStyle w:val="Heading5"/>
      </w:pPr>
      <w:r>
        <w:t>11.3.9.2.4 CPO Supervisory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elects to register as a CPO, KCD will adopt written supervisory procedures tailored to a CPO that cover, among other things:</w:t>
      </w:r>
    </w:p>
    <w:p>
      <w:pPr>
        <w:numPr>
          <w:ilvl w:val="0"/>
          <w:numId w:val="778"/>
        </w:numPr>
        <w:spacing w:before="200"/>
        <w:ind w:left="720" w:hanging="192"/>
        <w:jc w:val="left"/>
        <w:rPr>
          <w:rFonts w:eastAsia="Arial" w:cs="Arial"/>
          <w:sz w:val="20"/>
          <w:szCs w:val="20"/>
        </w:rPr>
      </w:pPr>
      <w:r>
        <w:rPr>
          <w:rFonts w:eastAsia="Arial" w:cs="Arial"/>
          <w:sz w:val="20"/>
          <w:szCs w:val="20"/>
        </w:rPr>
        <w:t>Supervision</w:t>
      </w:r>
    </w:p>
    <w:p>
      <w:pPr>
        <w:numPr>
          <w:ilvl w:val="0"/>
          <w:numId w:val="778"/>
        </w:numPr>
        <w:ind w:left="720" w:hanging="192"/>
        <w:jc w:val="left"/>
        <w:rPr>
          <w:rFonts w:eastAsia="Arial" w:cs="Arial"/>
          <w:sz w:val="20"/>
          <w:szCs w:val="20"/>
        </w:rPr>
      </w:pPr>
      <w:r>
        <w:rPr>
          <w:rFonts w:eastAsia="Arial" w:cs="Arial"/>
          <w:sz w:val="20"/>
          <w:szCs w:val="20"/>
        </w:rPr>
        <w:t>Privacy</w:t>
      </w:r>
    </w:p>
    <w:p>
      <w:pPr>
        <w:numPr>
          <w:ilvl w:val="0"/>
          <w:numId w:val="778"/>
        </w:numPr>
        <w:ind w:left="720" w:hanging="192"/>
        <w:jc w:val="left"/>
        <w:rPr>
          <w:rFonts w:eastAsia="Arial" w:cs="Arial"/>
          <w:sz w:val="20"/>
          <w:szCs w:val="20"/>
        </w:rPr>
      </w:pPr>
      <w:r>
        <w:rPr>
          <w:rFonts w:eastAsia="Arial" w:cs="Arial"/>
          <w:sz w:val="20"/>
          <w:szCs w:val="20"/>
        </w:rPr>
        <w:t>Ethics training</w:t>
      </w:r>
    </w:p>
    <w:p>
      <w:pPr>
        <w:numPr>
          <w:ilvl w:val="0"/>
          <w:numId w:val="778"/>
        </w:numPr>
        <w:ind w:left="720" w:hanging="192"/>
        <w:jc w:val="left"/>
        <w:rPr>
          <w:rFonts w:eastAsia="Arial" w:cs="Arial"/>
          <w:sz w:val="20"/>
          <w:szCs w:val="20"/>
        </w:rPr>
      </w:pPr>
      <w:r>
        <w:rPr>
          <w:rFonts w:eastAsia="Arial" w:cs="Arial"/>
          <w:sz w:val="20"/>
          <w:szCs w:val="20"/>
        </w:rPr>
        <w:t>Disaster Recovery</w:t>
      </w:r>
    </w:p>
    <w:p>
      <w:pPr>
        <w:numPr>
          <w:ilvl w:val="0"/>
          <w:numId w:val="778"/>
        </w:numPr>
        <w:ind w:left="720" w:hanging="192"/>
        <w:jc w:val="left"/>
        <w:rPr>
          <w:rFonts w:eastAsia="Arial" w:cs="Arial"/>
          <w:sz w:val="20"/>
          <w:szCs w:val="20"/>
        </w:rPr>
      </w:pPr>
      <w:r>
        <w:rPr>
          <w:rFonts w:eastAsia="Arial" w:cs="Arial"/>
          <w:sz w:val="20"/>
          <w:szCs w:val="20"/>
        </w:rPr>
        <w:t>Marketing</w:t>
      </w:r>
    </w:p>
    <w:p>
      <w:pPr>
        <w:numPr>
          <w:ilvl w:val="0"/>
          <w:numId w:val="778"/>
        </w:numPr>
        <w:ind w:left="720" w:hanging="192"/>
        <w:jc w:val="left"/>
        <w:rPr>
          <w:rFonts w:eastAsia="Arial" w:cs="Arial"/>
          <w:sz w:val="20"/>
          <w:szCs w:val="20"/>
        </w:rPr>
      </w:pPr>
      <w:r>
        <w:rPr>
          <w:rFonts w:eastAsia="Arial" w:cs="Arial"/>
          <w:sz w:val="20"/>
          <w:szCs w:val="20"/>
        </w:rPr>
        <w:t>Business with non-members</w:t>
      </w:r>
    </w:p>
    <w:p>
      <w:pPr>
        <w:numPr>
          <w:ilvl w:val="0"/>
          <w:numId w:val="778"/>
        </w:numPr>
        <w:ind w:left="720" w:hanging="192"/>
        <w:jc w:val="left"/>
        <w:rPr>
          <w:rFonts w:eastAsia="Arial" w:cs="Arial"/>
          <w:sz w:val="20"/>
          <w:szCs w:val="20"/>
        </w:rPr>
      </w:pPr>
      <w:r>
        <w:rPr>
          <w:rFonts w:eastAsia="Arial" w:cs="Arial"/>
          <w:sz w:val="20"/>
          <w:szCs w:val="20"/>
        </w:rPr>
        <w:t>NFA audits</w:t>
      </w:r>
    </w:p>
    <w:p>
      <w:pPr>
        <w:numPr>
          <w:ilvl w:val="0"/>
          <w:numId w:val="778"/>
        </w:numPr>
        <w:ind w:left="720" w:hanging="192"/>
        <w:jc w:val="left"/>
        <w:rPr>
          <w:rFonts w:eastAsia="Arial" w:cs="Arial"/>
          <w:sz w:val="20"/>
          <w:szCs w:val="20"/>
        </w:rPr>
      </w:pPr>
      <w:r>
        <w:rPr>
          <w:rFonts w:eastAsia="Arial" w:cs="Arial"/>
          <w:sz w:val="20"/>
          <w:szCs w:val="20"/>
        </w:rPr>
        <w:t>CFTC/NFA filings</w:t>
      </w:r>
    </w:p>
    <w:p>
      <w:pPr>
        <w:numPr>
          <w:ilvl w:val="0"/>
          <w:numId w:val="778"/>
        </w:numPr>
        <w:ind w:left="720" w:hanging="192"/>
        <w:jc w:val="left"/>
        <w:rPr>
          <w:rFonts w:eastAsia="Arial" w:cs="Arial"/>
          <w:sz w:val="20"/>
          <w:szCs w:val="20"/>
        </w:rPr>
      </w:pPr>
      <w:r>
        <w:rPr>
          <w:rFonts w:eastAsia="Arial" w:cs="Arial"/>
          <w:sz w:val="20"/>
          <w:szCs w:val="20"/>
        </w:rPr>
        <w:t>Branch offices</w:t>
      </w:r>
    </w:p>
    <w:p>
      <w:pPr>
        <w:numPr>
          <w:ilvl w:val="0"/>
          <w:numId w:val="778"/>
        </w:numPr>
        <w:ind w:left="720" w:hanging="192"/>
        <w:jc w:val="left"/>
        <w:rPr>
          <w:rFonts w:eastAsia="Arial" w:cs="Arial"/>
          <w:sz w:val="20"/>
          <w:szCs w:val="20"/>
        </w:rPr>
      </w:pPr>
      <w:r>
        <w:rPr>
          <w:rFonts w:eastAsia="Arial" w:cs="Arial"/>
          <w:sz w:val="20"/>
          <w:szCs w:val="20"/>
        </w:rPr>
        <w:t>Disclosure documents</w:t>
      </w:r>
    </w:p>
    <w:p>
      <w:pPr>
        <w:numPr>
          <w:ilvl w:val="0"/>
          <w:numId w:val="778"/>
        </w:numPr>
        <w:spacing w:after="200"/>
        <w:ind w:left="720" w:hanging="192"/>
        <w:jc w:val="left"/>
        <w:rPr>
          <w:rFonts w:eastAsia="Arial" w:cs="Arial"/>
          <w:sz w:val="20"/>
          <w:szCs w:val="20"/>
        </w:rPr>
      </w:pPr>
      <w:r>
        <w:rPr>
          <w:rFonts w:eastAsia="Arial" w:cs="Arial"/>
          <w:sz w:val="20"/>
          <w:szCs w:val="20"/>
        </w:rPr>
        <w:t>Recordkeeping.</w:t>
      </w:r>
    </w:p>
    <w:p>
      <w:bookmarkEnd w:id="886"/>
      <w:bookmarkStart w:id="887" w:name="Sec_Chp_061016102257046_11373"/>
    </w:p>
    <w:p>
      <w:pPr>
        <w:pStyle w:val="Heading4"/>
      </w:pPr>
      <w:r>
        <w:t>11.3.9.3 CTA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will monitor the status of KCD for purposes of determining its status as a commodity trading adviser (CTA) under the Commodity Exchange Act and rules thereunder.</w:t>
      </w:r>
    </w:p>
    <w:p>
      <w:pPr>
        <w:pStyle w:val="normal0"/>
        <w:spacing w:before="200" w:after="200"/>
        <w:rPr>
          <w:rFonts w:eastAsia="Arial" w:cs="Arial"/>
          <w:sz w:val="20"/>
          <w:szCs w:val="20"/>
        </w:rPr>
      </w:pPr>
      <w:r>
        <w:rPr>
          <w:rFonts w:eastAsia="Arial" w:cs="Arial"/>
          <w:b/>
          <w:bCs/>
          <w:sz w:val="20"/>
          <w:szCs w:val="20"/>
        </w:rPr>
        <w:t>Definition of CTA</w:t>
      </w:r>
    </w:p>
    <w:p>
      <w:pPr>
        <w:pStyle w:val="normal0"/>
        <w:spacing w:before="200" w:after="200"/>
        <w:rPr>
          <w:rFonts w:eastAsia="Arial" w:cs="Arial"/>
          <w:sz w:val="20"/>
          <w:szCs w:val="20"/>
        </w:rPr>
      </w:pPr>
      <w:r>
        <w:rPr>
          <w:rFonts w:eastAsia="Arial" w:cs="Arial"/>
          <w:sz w:val="20"/>
          <w:szCs w:val="20"/>
        </w:rPr>
        <w:t>In carrying out this function, the CCO will determine whether KCD based upon its activities, including providing services to clients, meets the definition of CTA. KCD will meet the definition of CTA if it for compensation or profit:</w:t>
      </w:r>
    </w:p>
    <w:p>
      <w:pPr>
        <w:numPr>
          <w:ilvl w:val="0"/>
          <w:numId w:val="779"/>
        </w:numPr>
        <w:spacing w:before="200"/>
        <w:ind w:left="720" w:hanging="192"/>
        <w:jc w:val="left"/>
        <w:rPr>
          <w:rFonts w:eastAsia="Arial" w:cs="Arial"/>
          <w:sz w:val="20"/>
          <w:szCs w:val="20"/>
        </w:rPr>
      </w:pPr>
      <w:r>
        <w:rPr>
          <w:rFonts w:eastAsia="Arial" w:cs="Arial"/>
          <w:sz w:val="20"/>
          <w:szCs w:val="20"/>
        </w:rPr>
        <w:t>engages in the business of advising others, either directly or through publications, writings or electronic media, as to the value of or the advisability of trading in commodity interests, including: any future, security futures product, or swap; authorized commodity option or leverage transaction; or retail forex or commodity transactions; or</w:t>
      </w:r>
    </w:p>
    <w:p>
      <w:pPr>
        <w:numPr>
          <w:ilvl w:val="0"/>
          <w:numId w:val="779"/>
        </w:numPr>
        <w:spacing w:after="200"/>
        <w:ind w:left="720" w:hanging="192"/>
        <w:jc w:val="left"/>
        <w:rPr>
          <w:rFonts w:eastAsia="Arial" w:cs="Arial"/>
          <w:sz w:val="20"/>
          <w:szCs w:val="20"/>
        </w:rPr>
      </w:pPr>
      <w:r>
        <w:rPr>
          <w:rFonts w:eastAsia="Arial" w:cs="Arial"/>
          <w:sz w:val="20"/>
          <w:szCs w:val="20"/>
        </w:rPr>
        <w:t>as part of a regular business, issues or promulgates analyses or reports concerning any of the foregoing.</w:t>
      </w:r>
    </w:p>
    <w:p>
      <w:pPr>
        <w:pStyle w:val="normal0"/>
        <w:spacing w:before="200" w:after="200"/>
        <w:rPr>
          <w:rFonts w:eastAsia="Arial" w:cs="Arial"/>
          <w:sz w:val="20"/>
          <w:szCs w:val="20"/>
        </w:rPr>
      </w:pPr>
      <w:r>
        <w:rPr>
          <w:rFonts w:eastAsia="Arial" w:cs="Arial"/>
          <w:sz w:val="20"/>
          <w:szCs w:val="20"/>
        </w:rPr>
        <w:t>For purposes of this determination, "commodity interests" include:</w:t>
      </w:r>
    </w:p>
    <w:p>
      <w:pPr>
        <w:numPr>
          <w:ilvl w:val="0"/>
          <w:numId w:val="780"/>
        </w:numPr>
        <w:spacing w:before="200"/>
        <w:ind w:left="720" w:hanging="192"/>
        <w:jc w:val="left"/>
        <w:rPr>
          <w:rFonts w:eastAsia="Arial" w:cs="Arial"/>
          <w:sz w:val="20"/>
          <w:szCs w:val="20"/>
        </w:rPr>
      </w:pPr>
      <w:r>
        <w:rPr>
          <w:rFonts w:eastAsia="Arial" w:cs="Arial"/>
          <w:sz w:val="20"/>
          <w:szCs w:val="20"/>
        </w:rPr>
        <w:t>futures contracts</w:t>
      </w:r>
    </w:p>
    <w:p>
      <w:pPr>
        <w:numPr>
          <w:ilvl w:val="0"/>
          <w:numId w:val="780"/>
        </w:numPr>
        <w:ind w:left="720" w:hanging="192"/>
        <w:jc w:val="left"/>
        <w:rPr>
          <w:rFonts w:eastAsia="Arial" w:cs="Arial"/>
          <w:sz w:val="20"/>
          <w:szCs w:val="20"/>
        </w:rPr>
      </w:pPr>
      <w:r>
        <w:rPr>
          <w:rFonts w:eastAsia="Arial" w:cs="Arial"/>
          <w:sz w:val="20"/>
          <w:szCs w:val="20"/>
        </w:rPr>
        <w:t>options on futures</w:t>
      </w:r>
    </w:p>
    <w:p>
      <w:pPr>
        <w:numPr>
          <w:ilvl w:val="0"/>
          <w:numId w:val="780"/>
        </w:numPr>
        <w:spacing w:after="200"/>
        <w:ind w:left="720" w:hanging="192"/>
        <w:jc w:val="left"/>
        <w:rPr>
          <w:rFonts w:eastAsia="Arial" w:cs="Arial"/>
          <w:sz w:val="20"/>
          <w:szCs w:val="20"/>
        </w:rPr>
      </w:pPr>
      <w:r>
        <w:rPr>
          <w:rFonts w:eastAsia="Arial" w:cs="Arial"/>
          <w:sz w:val="20"/>
          <w:szCs w:val="20"/>
        </w:rPr>
        <w:t>swaps.</w:t>
      </w:r>
    </w:p>
    <w:p>
      <w:pPr>
        <w:pStyle w:val="normal0"/>
        <w:spacing w:before="200" w:after="200"/>
        <w:rPr>
          <w:rFonts w:eastAsia="Arial" w:cs="Arial"/>
          <w:sz w:val="20"/>
          <w:szCs w:val="20"/>
        </w:rPr>
      </w:pPr>
      <w:r>
        <w:rPr>
          <w:rFonts w:eastAsia="Arial" w:cs="Arial"/>
          <w:sz w:val="20"/>
          <w:szCs w:val="20"/>
        </w:rPr>
        <w:t>Swaps include:</w:t>
      </w:r>
    </w:p>
    <w:p>
      <w:pPr>
        <w:numPr>
          <w:ilvl w:val="0"/>
          <w:numId w:val="781"/>
        </w:numPr>
        <w:spacing w:before="200"/>
        <w:ind w:left="720" w:hanging="192"/>
        <w:jc w:val="left"/>
        <w:rPr>
          <w:rFonts w:eastAsia="Arial" w:cs="Arial"/>
          <w:sz w:val="20"/>
          <w:szCs w:val="20"/>
        </w:rPr>
      </w:pPr>
      <w:r>
        <w:rPr>
          <w:rFonts w:eastAsia="Arial" w:cs="Arial"/>
          <w:sz w:val="20"/>
          <w:szCs w:val="20"/>
        </w:rPr>
        <w:t>credit default swaps</w:t>
      </w:r>
    </w:p>
    <w:p>
      <w:pPr>
        <w:numPr>
          <w:ilvl w:val="0"/>
          <w:numId w:val="781"/>
        </w:numPr>
        <w:ind w:left="720" w:hanging="192"/>
        <w:jc w:val="left"/>
        <w:rPr>
          <w:rFonts w:eastAsia="Arial" w:cs="Arial"/>
          <w:sz w:val="20"/>
          <w:szCs w:val="20"/>
        </w:rPr>
      </w:pPr>
      <w:r>
        <w:rPr>
          <w:rFonts w:eastAsia="Arial" w:cs="Arial"/>
          <w:sz w:val="20"/>
          <w:szCs w:val="20"/>
        </w:rPr>
        <w:t>contracts for differences</w:t>
      </w:r>
    </w:p>
    <w:p>
      <w:pPr>
        <w:numPr>
          <w:ilvl w:val="0"/>
          <w:numId w:val="781"/>
        </w:numPr>
        <w:ind w:left="720" w:hanging="192"/>
        <w:jc w:val="left"/>
        <w:rPr>
          <w:rFonts w:eastAsia="Arial" w:cs="Arial"/>
          <w:sz w:val="20"/>
          <w:szCs w:val="20"/>
        </w:rPr>
      </w:pPr>
      <w:r>
        <w:rPr>
          <w:rFonts w:eastAsia="Arial" w:cs="Arial"/>
          <w:sz w:val="20"/>
          <w:szCs w:val="20"/>
        </w:rPr>
        <w:t>non-deliverable forward contracts involving foreign exchange</w:t>
      </w:r>
    </w:p>
    <w:p>
      <w:pPr>
        <w:numPr>
          <w:ilvl w:val="0"/>
          <w:numId w:val="781"/>
        </w:numPr>
        <w:ind w:left="720" w:hanging="192"/>
        <w:jc w:val="left"/>
        <w:rPr>
          <w:rFonts w:eastAsia="Arial" w:cs="Arial"/>
          <w:sz w:val="20"/>
          <w:szCs w:val="20"/>
        </w:rPr>
      </w:pPr>
      <w:r>
        <w:rPr>
          <w:rFonts w:eastAsia="Arial" w:cs="Arial"/>
          <w:sz w:val="20"/>
          <w:szCs w:val="20"/>
        </w:rPr>
        <w:t>currency options</w:t>
      </w:r>
    </w:p>
    <w:p>
      <w:pPr>
        <w:numPr>
          <w:ilvl w:val="0"/>
          <w:numId w:val="781"/>
        </w:numPr>
        <w:ind w:left="720" w:hanging="192"/>
        <w:jc w:val="left"/>
        <w:rPr>
          <w:rFonts w:eastAsia="Arial" w:cs="Arial"/>
          <w:sz w:val="20"/>
          <w:szCs w:val="20"/>
        </w:rPr>
      </w:pPr>
      <w:r>
        <w:rPr>
          <w:rFonts w:eastAsia="Arial" w:cs="Arial"/>
          <w:sz w:val="20"/>
          <w:szCs w:val="20"/>
        </w:rPr>
        <w:t>currency swaps</w:t>
      </w:r>
    </w:p>
    <w:p>
      <w:pPr>
        <w:numPr>
          <w:ilvl w:val="0"/>
          <w:numId w:val="781"/>
        </w:numPr>
        <w:spacing w:after="200"/>
        <w:ind w:left="720" w:hanging="192"/>
        <w:jc w:val="left"/>
        <w:rPr>
          <w:rFonts w:eastAsia="Arial" w:cs="Arial"/>
          <w:sz w:val="20"/>
          <w:szCs w:val="20"/>
        </w:rPr>
      </w:pPr>
      <w:r>
        <w:rPr>
          <w:rFonts w:eastAsia="Arial" w:cs="Arial"/>
          <w:sz w:val="20"/>
          <w:szCs w:val="20"/>
        </w:rPr>
        <w:t>total return swaps.</w:t>
      </w:r>
    </w:p>
    <w:p>
      <w:pPr>
        <w:pStyle w:val="normal0"/>
        <w:spacing w:before="200" w:after="200"/>
        <w:rPr>
          <w:rFonts w:eastAsia="Arial" w:cs="Arial"/>
          <w:sz w:val="20"/>
          <w:szCs w:val="20"/>
        </w:rPr>
      </w:pPr>
      <w:r>
        <w:rPr>
          <w:rFonts w:eastAsia="Arial" w:cs="Arial"/>
          <w:sz w:val="20"/>
          <w:szCs w:val="20"/>
        </w:rPr>
        <w:t>Security-based swaps are regulated by the SEC and are not deemed to be "commodity interests."</w:t>
      </w:r>
    </w:p>
    <w:p>
      <w:bookmarkEnd w:id="887"/>
      <w:bookmarkStart w:id="888" w:name="Sec_Chp_061016102257046_113731"/>
    </w:p>
    <w:p>
      <w:pPr>
        <w:pStyle w:val="Heading5"/>
      </w:pPr>
      <w:r>
        <w:t>11.3.9.3.1 CTA Exemptions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meets the definition of CTA, the CCO will determine whether KCD may rely upon any exemptions from CTA registration.</w:t>
      </w:r>
    </w:p>
    <w:p>
      <w:pPr>
        <w:pStyle w:val="normal0"/>
        <w:spacing w:before="200" w:after="200"/>
        <w:rPr>
          <w:rFonts w:eastAsia="Arial" w:cs="Arial"/>
          <w:sz w:val="20"/>
          <w:szCs w:val="20"/>
        </w:rPr>
      </w:pPr>
      <w:r>
        <w:rPr>
          <w:rFonts w:eastAsia="Arial" w:cs="Arial"/>
          <w:b/>
          <w:bCs/>
          <w:sz w:val="20"/>
          <w:szCs w:val="20"/>
        </w:rPr>
        <w:t>Exemption from Definition of CTA</w:t>
      </w:r>
    </w:p>
    <w:p>
      <w:pPr>
        <w:pStyle w:val="normal0"/>
        <w:spacing w:before="200" w:after="200"/>
        <w:rPr>
          <w:rFonts w:eastAsia="Arial" w:cs="Arial"/>
          <w:sz w:val="20"/>
          <w:szCs w:val="20"/>
        </w:rPr>
      </w:pPr>
      <w:r>
        <w:rPr>
          <w:rFonts w:eastAsia="Arial" w:cs="Arial"/>
          <w:sz w:val="20"/>
          <w:szCs w:val="20"/>
        </w:rPr>
        <w:t>KCD would be exempt from the definition of "commodity trading adviser" if the following commodity interest activities are solely incidental to its business as one of the following:</w:t>
      </w:r>
    </w:p>
    <w:p>
      <w:pPr>
        <w:numPr>
          <w:ilvl w:val="0"/>
          <w:numId w:val="782"/>
        </w:numPr>
        <w:spacing w:before="200"/>
        <w:ind w:left="720" w:hanging="192"/>
        <w:jc w:val="left"/>
        <w:rPr>
          <w:rFonts w:eastAsia="Arial" w:cs="Arial"/>
          <w:sz w:val="20"/>
          <w:szCs w:val="20"/>
        </w:rPr>
      </w:pPr>
      <w:r>
        <w:rPr>
          <w:rFonts w:eastAsia="Arial" w:cs="Arial"/>
          <w:sz w:val="20"/>
          <w:szCs w:val="20"/>
        </w:rPr>
        <w:t>any bank or trust company or any person acting as an employee thereof;</w:t>
      </w:r>
    </w:p>
    <w:p>
      <w:pPr>
        <w:numPr>
          <w:ilvl w:val="0"/>
          <w:numId w:val="782"/>
        </w:numPr>
        <w:ind w:left="720" w:hanging="192"/>
        <w:jc w:val="left"/>
        <w:rPr>
          <w:rFonts w:eastAsia="Arial" w:cs="Arial"/>
          <w:sz w:val="20"/>
          <w:szCs w:val="20"/>
        </w:rPr>
      </w:pPr>
      <w:r>
        <w:rPr>
          <w:rFonts w:eastAsia="Arial" w:cs="Arial"/>
          <w:sz w:val="20"/>
          <w:szCs w:val="20"/>
        </w:rPr>
        <w:t>any news reporter, news columnist, or news editor of the print or electronic media, or any lawyer, accountant, or teacher;</w:t>
      </w:r>
    </w:p>
    <w:p>
      <w:pPr>
        <w:numPr>
          <w:ilvl w:val="0"/>
          <w:numId w:val="782"/>
        </w:numPr>
        <w:ind w:left="720" w:hanging="192"/>
        <w:jc w:val="left"/>
        <w:rPr>
          <w:rFonts w:eastAsia="Arial" w:cs="Arial"/>
          <w:sz w:val="20"/>
          <w:szCs w:val="20"/>
        </w:rPr>
      </w:pPr>
      <w:r>
        <w:rPr>
          <w:rFonts w:eastAsia="Arial" w:cs="Arial"/>
          <w:sz w:val="20"/>
          <w:szCs w:val="20"/>
        </w:rPr>
        <w:t>any floor broker or futures broker;</w:t>
      </w:r>
    </w:p>
    <w:p>
      <w:pPr>
        <w:numPr>
          <w:ilvl w:val="0"/>
          <w:numId w:val="782"/>
        </w:numPr>
        <w:ind w:left="720" w:hanging="192"/>
        <w:jc w:val="left"/>
        <w:rPr>
          <w:rFonts w:eastAsia="Arial" w:cs="Arial"/>
          <w:sz w:val="20"/>
          <w:szCs w:val="20"/>
        </w:rPr>
      </w:pPr>
      <w:r>
        <w:rPr>
          <w:rFonts w:eastAsia="Arial" w:cs="Arial"/>
          <w:sz w:val="20"/>
          <w:szCs w:val="20"/>
        </w:rPr>
        <w:t>the publisher or producer of any print or electronic data of general and regular dissemination, including its employees;</w:t>
      </w:r>
    </w:p>
    <w:p>
      <w:pPr>
        <w:numPr>
          <w:ilvl w:val="0"/>
          <w:numId w:val="782"/>
        </w:numPr>
        <w:ind w:left="720" w:hanging="192"/>
        <w:jc w:val="left"/>
        <w:rPr>
          <w:rFonts w:eastAsia="Arial" w:cs="Arial"/>
          <w:sz w:val="20"/>
          <w:szCs w:val="20"/>
        </w:rPr>
      </w:pPr>
      <w:r>
        <w:rPr>
          <w:rFonts w:eastAsia="Arial" w:cs="Arial"/>
          <w:sz w:val="20"/>
          <w:szCs w:val="20"/>
        </w:rPr>
        <w:t>the named fiduciary, or trustee, of any defined benefit plan which is subject to ERISA or any fiduciary whose sole business is to advise that plan;</w:t>
      </w:r>
    </w:p>
    <w:p>
      <w:pPr>
        <w:numPr>
          <w:ilvl w:val="0"/>
          <w:numId w:val="782"/>
        </w:numPr>
        <w:ind w:left="720" w:hanging="192"/>
        <w:jc w:val="left"/>
        <w:rPr>
          <w:rFonts w:eastAsia="Arial" w:cs="Arial"/>
          <w:sz w:val="20"/>
          <w:szCs w:val="20"/>
        </w:rPr>
      </w:pPr>
      <w:r>
        <w:rPr>
          <w:rFonts w:eastAsia="Arial" w:cs="Arial"/>
          <w:sz w:val="20"/>
          <w:szCs w:val="20"/>
        </w:rPr>
        <w:t>any contract market or derivatives transaction execution facility; and</w:t>
      </w:r>
    </w:p>
    <w:p>
      <w:pPr>
        <w:numPr>
          <w:ilvl w:val="0"/>
          <w:numId w:val="782"/>
        </w:numPr>
        <w:spacing w:after="200"/>
        <w:ind w:left="720" w:hanging="192"/>
        <w:jc w:val="left"/>
        <w:rPr>
          <w:rFonts w:eastAsia="Arial" w:cs="Arial"/>
          <w:sz w:val="20"/>
          <w:szCs w:val="20"/>
        </w:rPr>
      </w:pPr>
      <w:r>
        <w:rPr>
          <w:rFonts w:eastAsia="Arial" w:cs="Arial"/>
          <w:sz w:val="20"/>
          <w:szCs w:val="20"/>
        </w:rPr>
        <w:t>such other persons not within the intent of this definition as the CFTC may specify by rule.</w:t>
      </w:r>
    </w:p>
    <w:p>
      <w:pPr>
        <w:pStyle w:val="normal0"/>
        <w:spacing w:before="200" w:after="200"/>
        <w:rPr>
          <w:rFonts w:eastAsia="Arial" w:cs="Arial"/>
          <w:sz w:val="20"/>
          <w:szCs w:val="20"/>
        </w:rPr>
      </w:pPr>
      <w:r>
        <w:rPr>
          <w:rFonts w:eastAsia="Arial" w:cs="Arial"/>
          <w:b/>
          <w:bCs/>
          <w:sz w:val="20"/>
          <w:szCs w:val="20"/>
        </w:rPr>
        <w:t>Rule 4.7 Exemption</w:t>
      </w:r>
    </w:p>
    <w:p>
      <w:pPr>
        <w:pStyle w:val="normal0"/>
        <w:spacing w:before="200" w:after="200"/>
        <w:rPr>
          <w:rFonts w:eastAsia="Arial" w:cs="Arial"/>
          <w:sz w:val="20"/>
          <w:szCs w:val="20"/>
        </w:rPr>
      </w:pPr>
      <w:r>
        <w:rPr>
          <w:rFonts w:eastAsia="Arial" w:cs="Arial"/>
          <w:sz w:val="20"/>
          <w:szCs w:val="20"/>
        </w:rPr>
        <w:t>To rely upon the Rule 4.7 exemption, which provides relief from certain provisions of the Commodity Exchange Act, KCD must:</w:t>
      </w:r>
    </w:p>
    <w:p>
      <w:pPr>
        <w:numPr>
          <w:ilvl w:val="0"/>
          <w:numId w:val="783"/>
        </w:numPr>
        <w:spacing w:before="200"/>
        <w:ind w:left="720" w:hanging="192"/>
        <w:jc w:val="left"/>
        <w:rPr>
          <w:rFonts w:eastAsia="Arial" w:cs="Arial"/>
          <w:sz w:val="20"/>
          <w:szCs w:val="20"/>
        </w:rPr>
      </w:pPr>
      <w:r>
        <w:rPr>
          <w:rFonts w:eastAsia="Arial" w:cs="Arial"/>
          <w:sz w:val="20"/>
          <w:szCs w:val="20"/>
        </w:rPr>
        <w:t>be registered as a CTA with the CFTC;</w:t>
      </w:r>
    </w:p>
    <w:p>
      <w:pPr>
        <w:numPr>
          <w:ilvl w:val="0"/>
          <w:numId w:val="783"/>
        </w:numPr>
        <w:ind w:left="720" w:hanging="192"/>
        <w:jc w:val="left"/>
        <w:rPr>
          <w:rFonts w:eastAsia="Arial" w:cs="Arial"/>
          <w:sz w:val="20"/>
          <w:szCs w:val="20"/>
        </w:rPr>
      </w:pPr>
      <w:r>
        <w:rPr>
          <w:rFonts w:eastAsia="Arial" w:cs="Arial"/>
          <w:sz w:val="20"/>
          <w:szCs w:val="20"/>
        </w:rPr>
        <w:t>apply the exempted relief only to accounts of "qualified eligible persons;"</w:t>
      </w:r>
    </w:p>
    <w:p>
      <w:pPr>
        <w:numPr>
          <w:ilvl w:val="0"/>
          <w:numId w:val="783"/>
        </w:numPr>
        <w:ind w:left="720" w:hanging="192"/>
        <w:jc w:val="left"/>
        <w:rPr>
          <w:rFonts w:eastAsia="Arial" w:cs="Arial"/>
          <w:sz w:val="20"/>
          <w:szCs w:val="20"/>
        </w:rPr>
      </w:pPr>
      <w:r>
        <w:rPr>
          <w:rFonts w:eastAsia="Arial" w:cs="Arial"/>
          <w:sz w:val="20"/>
          <w:szCs w:val="20"/>
        </w:rPr>
        <w:t>obtain from each such qualified eligible person his or her consent that permits KCD to rely upon Rule 4.7 with respect to that person's account;</w:t>
      </w:r>
    </w:p>
    <w:p>
      <w:pPr>
        <w:numPr>
          <w:ilvl w:val="0"/>
          <w:numId w:val="783"/>
        </w:numPr>
        <w:ind w:left="720" w:hanging="192"/>
        <w:jc w:val="left"/>
        <w:rPr>
          <w:rFonts w:eastAsia="Arial" w:cs="Arial"/>
          <w:sz w:val="20"/>
          <w:szCs w:val="20"/>
        </w:rPr>
      </w:pPr>
      <w:r>
        <w:rPr>
          <w:rFonts w:eastAsia="Arial" w:cs="Arial"/>
          <w:sz w:val="20"/>
          <w:szCs w:val="20"/>
        </w:rPr>
        <w:t>file a notice with the CFTC and that it is relying upon Rule 4.7;</w:t>
      </w:r>
    </w:p>
    <w:p>
      <w:pPr>
        <w:numPr>
          <w:ilvl w:val="0"/>
          <w:numId w:val="783"/>
        </w:numPr>
        <w:ind w:left="720" w:hanging="192"/>
        <w:jc w:val="left"/>
        <w:rPr>
          <w:rFonts w:eastAsia="Arial" w:cs="Arial"/>
          <w:sz w:val="20"/>
          <w:szCs w:val="20"/>
        </w:rPr>
      </w:pPr>
      <w:r>
        <w:rPr>
          <w:rFonts w:eastAsia="Arial" w:cs="Arial"/>
          <w:sz w:val="20"/>
          <w:szCs w:val="20"/>
        </w:rPr>
        <w:t>comply with certain recordkeeping rules; and</w:t>
      </w:r>
    </w:p>
    <w:p>
      <w:pPr>
        <w:numPr>
          <w:ilvl w:val="0"/>
          <w:numId w:val="783"/>
        </w:numPr>
        <w:spacing w:after="200"/>
        <w:ind w:left="720" w:hanging="192"/>
        <w:jc w:val="left"/>
        <w:rPr>
          <w:rFonts w:eastAsia="Arial" w:cs="Arial"/>
          <w:sz w:val="20"/>
          <w:szCs w:val="20"/>
        </w:rPr>
      </w:pPr>
      <w:r>
        <w:rPr>
          <w:rFonts w:eastAsia="Arial" w:cs="Arial"/>
          <w:sz w:val="20"/>
          <w:szCs w:val="20"/>
        </w:rPr>
        <w:t>include certain disclosure specified by Rule 4.7 in disclosure brochures provided to qualified eligible persons.</w:t>
      </w:r>
    </w:p>
    <w:p>
      <w:bookmarkEnd w:id="888"/>
      <w:bookmarkStart w:id="889" w:name="Sec_Chp_061016102257046_113732"/>
    </w:p>
    <w:p>
      <w:pPr>
        <w:pStyle w:val="Heading5"/>
      </w:pPr>
      <w:r>
        <w:t>11.3.9.3.2 CTA Registration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it elects to register as a CTA, KCD prior to operating as a registered CTA will take the following steps:</w:t>
      </w:r>
    </w:p>
    <w:p>
      <w:pPr>
        <w:pStyle w:val="normal0"/>
        <w:spacing w:before="200" w:after="200"/>
        <w:rPr>
          <w:rFonts w:eastAsia="Arial" w:cs="Arial"/>
          <w:sz w:val="20"/>
          <w:szCs w:val="20"/>
        </w:rPr>
      </w:pPr>
      <w:r>
        <w:rPr>
          <w:rFonts w:eastAsia="Arial" w:cs="Arial"/>
          <w:b/>
          <w:bCs/>
          <w:sz w:val="20"/>
          <w:szCs w:val="20"/>
        </w:rPr>
        <w:t>Initial Filing</w:t>
      </w:r>
    </w:p>
    <w:p>
      <w:pPr>
        <w:pStyle w:val="normal0"/>
        <w:spacing w:before="200" w:after="200"/>
        <w:rPr>
          <w:rFonts w:eastAsia="Arial" w:cs="Arial"/>
          <w:sz w:val="20"/>
          <w:szCs w:val="20"/>
        </w:rPr>
      </w:pPr>
      <w:r>
        <w:rPr>
          <w:rFonts w:eastAsia="Arial" w:cs="Arial"/>
          <w:sz w:val="20"/>
          <w:szCs w:val="20"/>
        </w:rPr>
        <w:t>In order to register with the NFA, KCD will take the following steps:</w:t>
      </w:r>
    </w:p>
    <w:p>
      <w:pPr>
        <w:numPr>
          <w:ilvl w:val="0"/>
          <w:numId w:val="784"/>
        </w:numPr>
        <w:spacing w:before="200"/>
        <w:ind w:left="720" w:hanging="192"/>
        <w:jc w:val="left"/>
        <w:rPr>
          <w:rFonts w:eastAsia="Arial" w:cs="Arial"/>
          <w:sz w:val="20"/>
          <w:szCs w:val="20"/>
        </w:rPr>
      </w:pPr>
      <w:r>
        <w:rPr>
          <w:rFonts w:eastAsia="Arial" w:cs="Arial"/>
          <w:sz w:val="20"/>
          <w:szCs w:val="20"/>
        </w:rPr>
        <w:t>Complete the online version of Form 7-R, the Firm Application;</w:t>
      </w:r>
    </w:p>
    <w:p>
      <w:pPr>
        <w:numPr>
          <w:ilvl w:val="0"/>
          <w:numId w:val="784"/>
        </w:numPr>
        <w:ind w:left="720" w:hanging="192"/>
        <w:jc w:val="left"/>
        <w:rPr>
          <w:rFonts w:eastAsia="Arial" w:cs="Arial"/>
          <w:sz w:val="20"/>
          <w:szCs w:val="20"/>
        </w:rPr>
      </w:pPr>
      <w:r>
        <w:rPr>
          <w:rFonts w:eastAsia="Arial" w:cs="Arial"/>
          <w:sz w:val="20"/>
          <w:szCs w:val="20"/>
        </w:rPr>
        <w:t>Submit a non-refundable application fee of $200; and</w:t>
      </w:r>
    </w:p>
    <w:p>
      <w:pPr>
        <w:numPr>
          <w:ilvl w:val="0"/>
          <w:numId w:val="784"/>
        </w:numPr>
        <w:spacing w:after="200"/>
        <w:ind w:left="720" w:hanging="192"/>
        <w:jc w:val="left"/>
        <w:rPr>
          <w:rFonts w:eastAsia="Arial" w:cs="Arial"/>
          <w:sz w:val="20"/>
          <w:szCs w:val="20"/>
        </w:rPr>
      </w:pPr>
      <w:r>
        <w:rPr>
          <w:rFonts w:eastAsia="Arial" w:cs="Arial"/>
          <w:sz w:val="20"/>
          <w:szCs w:val="20"/>
        </w:rPr>
        <w:t>Pay NFA-mandated CTA membership dues of $750.</w:t>
      </w:r>
    </w:p>
    <w:p>
      <w:pPr>
        <w:pStyle w:val="normal0"/>
        <w:spacing w:before="200" w:after="200"/>
        <w:rPr>
          <w:rFonts w:eastAsia="Arial" w:cs="Arial"/>
          <w:sz w:val="20"/>
          <w:szCs w:val="20"/>
        </w:rPr>
      </w:pPr>
      <w:r>
        <w:rPr>
          <w:rFonts w:eastAsia="Arial" w:cs="Arial"/>
          <w:sz w:val="20"/>
          <w:szCs w:val="20"/>
        </w:rPr>
        <w:t xml:space="preserve">KCD will also apply for membership of the NFA. </w:t>
      </w:r>
    </w:p>
    <w:p>
      <w:bookmarkEnd w:id="889"/>
      <w:bookmarkStart w:id="890" w:name="Sec_Chp_061016102257046_113733"/>
    </w:p>
    <w:p>
      <w:pPr>
        <w:pStyle w:val="Heading5"/>
      </w:pPr>
      <w:r>
        <w:t>11.3.9.3.3 CTA Principal Registration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registered as a CTA, the CCO shall determine whether firm personnel or any entities related to KCD must be registered as principals. Persons and entities who may have to register as principals include:</w:t>
      </w:r>
    </w:p>
    <w:p>
      <w:pPr>
        <w:numPr>
          <w:ilvl w:val="0"/>
          <w:numId w:val="785"/>
        </w:numPr>
        <w:spacing w:before="200"/>
        <w:ind w:left="720" w:hanging="192"/>
        <w:jc w:val="left"/>
        <w:rPr>
          <w:rFonts w:eastAsia="Arial" w:cs="Arial"/>
          <w:sz w:val="20"/>
          <w:szCs w:val="20"/>
        </w:rPr>
      </w:pPr>
      <w:r>
        <w:rPr>
          <w:rFonts w:eastAsia="Arial" w:cs="Arial"/>
          <w:sz w:val="20"/>
          <w:szCs w:val="20"/>
        </w:rPr>
        <w:t>Persons with certain titles:</w:t>
      </w:r>
    </w:p>
    <w:p>
      <w:pPr>
        <w:numPr>
          <w:ilvl w:val="1"/>
          <w:numId w:val="785"/>
        </w:numPr>
        <w:ind w:left="1440" w:hanging="220"/>
        <w:jc w:val="left"/>
        <w:rPr>
          <w:rFonts w:eastAsia="Arial" w:cs="Arial"/>
          <w:sz w:val="20"/>
          <w:szCs w:val="20"/>
        </w:rPr>
      </w:pPr>
      <w:r>
        <w:rPr>
          <w:rFonts w:eastAsia="Arial" w:cs="Arial"/>
          <w:sz w:val="20"/>
          <w:szCs w:val="20"/>
        </w:rPr>
        <w:t>LLC: director, president, CEO, COO, CFO, CCO, a person in charge of a business unit or division subject to regulation by the CFTC, manager, managing member or member with management authority.</w:t>
      </w:r>
    </w:p>
    <w:p>
      <w:pPr>
        <w:numPr>
          <w:ilvl w:val="0"/>
          <w:numId w:val="785"/>
        </w:numPr>
        <w:ind w:left="720" w:hanging="192"/>
        <w:jc w:val="left"/>
        <w:rPr>
          <w:rFonts w:eastAsia="Arial" w:cs="Arial"/>
          <w:sz w:val="20"/>
          <w:szCs w:val="20"/>
        </w:rPr>
      </w:pPr>
      <w:r>
        <w:rPr>
          <w:rFonts w:eastAsia="Arial" w:cs="Arial"/>
          <w:sz w:val="20"/>
          <w:szCs w:val="20"/>
        </w:rPr>
        <w:t>Corporation: director, president, CEO, COO, CFO, CCO, a person in charge of a business unit or division subject to regulation by the CFTC.</w:t>
      </w:r>
    </w:p>
    <w:p>
      <w:pPr>
        <w:numPr>
          <w:ilvl w:val="0"/>
          <w:numId w:val="785"/>
        </w:numPr>
        <w:ind w:left="720" w:hanging="192"/>
        <w:jc w:val="left"/>
        <w:rPr>
          <w:rFonts w:eastAsia="Arial" w:cs="Arial"/>
          <w:sz w:val="20"/>
          <w:szCs w:val="20"/>
        </w:rPr>
      </w:pPr>
      <w:r>
        <w:rPr>
          <w:rFonts w:eastAsia="Arial" w:cs="Arial"/>
          <w:sz w:val="20"/>
          <w:szCs w:val="20"/>
        </w:rPr>
        <w:t>Partnership: general partner.</w:t>
      </w:r>
    </w:p>
    <w:p>
      <w:pPr>
        <w:numPr>
          <w:ilvl w:val="0"/>
          <w:numId w:val="785"/>
        </w:numPr>
        <w:ind w:left="720" w:hanging="192"/>
        <w:jc w:val="left"/>
        <w:rPr>
          <w:rFonts w:eastAsia="Arial" w:cs="Arial"/>
          <w:sz w:val="20"/>
          <w:szCs w:val="20"/>
        </w:rPr>
      </w:pPr>
      <w:r>
        <w:rPr>
          <w:rFonts w:eastAsia="Arial" w:cs="Arial"/>
          <w:sz w:val="20"/>
          <w:szCs w:val="20"/>
        </w:rPr>
        <w:t>Sole Proprietorship: sole proprietor.</w:t>
      </w:r>
    </w:p>
    <w:p>
      <w:pPr>
        <w:numPr>
          <w:ilvl w:val="0"/>
          <w:numId w:val="785"/>
        </w:numPr>
        <w:ind w:left="720" w:hanging="192"/>
        <w:jc w:val="left"/>
        <w:rPr>
          <w:rFonts w:eastAsia="Arial" w:cs="Arial"/>
          <w:sz w:val="20"/>
          <w:szCs w:val="20"/>
        </w:rPr>
      </w:pPr>
      <w:r>
        <w:rPr>
          <w:rFonts w:eastAsia="Arial" w:cs="Arial"/>
          <w:sz w:val="20"/>
          <w:szCs w:val="20"/>
        </w:rPr>
        <w:t>Persons with certain ownership interests:</w:t>
      </w:r>
    </w:p>
    <w:p>
      <w:pPr>
        <w:numPr>
          <w:ilvl w:val="1"/>
          <w:numId w:val="785"/>
        </w:numPr>
        <w:ind w:left="1440" w:hanging="220"/>
        <w:jc w:val="left"/>
        <w:rPr>
          <w:rFonts w:eastAsia="Arial" w:cs="Arial"/>
          <w:sz w:val="20"/>
          <w:szCs w:val="20"/>
        </w:rPr>
      </w:pPr>
      <w:r>
        <w:rPr>
          <w:rFonts w:eastAsia="Arial" w:cs="Arial"/>
          <w:sz w:val="20"/>
          <w:szCs w:val="20"/>
        </w:rPr>
        <w:t>Persons who own 10% of more of the outstanding shares of any class of the stock of the CTA;</w:t>
      </w:r>
    </w:p>
    <w:p>
      <w:pPr>
        <w:numPr>
          <w:ilvl w:val="1"/>
          <w:numId w:val="785"/>
        </w:numPr>
        <w:ind w:left="1440" w:hanging="220"/>
        <w:jc w:val="left"/>
        <w:rPr>
          <w:rFonts w:eastAsia="Arial" w:cs="Arial"/>
          <w:sz w:val="20"/>
          <w:szCs w:val="20"/>
        </w:rPr>
      </w:pPr>
      <w:r>
        <w:rPr>
          <w:rFonts w:eastAsia="Arial" w:cs="Arial"/>
          <w:sz w:val="20"/>
          <w:szCs w:val="20"/>
        </w:rPr>
        <w:t>Persons who are entitled to vote 10% or more of any class of the voting securities of the CTA;</w:t>
      </w:r>
    </w:p>
    <w:p>
      <w:pPr>
        <w:numPr>
          <w:ilvl w:val="1"/>
          <w:numId w:val="785"/>
        </w:numPr>
        <w:ind w:left="1440" w:hanging="220"/>
        <w:jc w:val="left"/>
        <w:rPr>
          <w:rFonts w:eastAsia="Arial" w:cs="Arial"/>
          <w:sz w:val="20"/>
          <w:szCs w:val="20"/>
        </w:rPr>
      </w:pPr>
      <w:r>
        <w:rPr>
          <w:rFonts w:eastAsia="Arial" w:cs="Arial"/>
          <w:sz w:val="20"/>
          <w:szCs w:val="20"/>
        </w:rPr>
        <w:t>Persons who have the power to sell or direct the sale of 10% or more of any class of the voting securities of the CTA;</w:t>
      </w:r>
    </w:p>
    <w:p>
      <w:pPr>
        <w:numPr>
          <w:ilvl w:val="1"/>
          <w:numId w:val="785"/>
        </w:numPr>
        <w:ind w:left="1440" w:hanging="220"/>
        <w:jc w:val="left"/>
        <w:rPr>
          <w:rFonts w:eastAsia="Arial" w:cs="Arial"/>
          <w:sz w:val="20"/>
          <w:szCs w:val="20"/>
        </w:rPr>
      </w:pPr>
      <w:r>
        <w:rPr>
          <w:rFonts w:eastAsia="Arial" w:cs="Arial"/>
          <w:sz w:val="20"/>
          <w:szCs w:val="20"/>
        </w:rPr>
        <w:t>Persons who have contributed 10% or more of the capital of the CTA;</w:t>
      </w:r>
    </w:p>
    <w:p>
      <w:pPr>
        <w:numPr>
          <w:ilvl w:val="1"/>
          <w:numId w:val="785"/>
        </w:numPr>
        <w:ind w:left="1440" w:hanging="220"/>
        <w:jc w:val="left"/>
        <w:rPr>
          <w:rFonts w:eastAsia="Arial" w:cs="Arial"/>
          <w:sz w:val="20"/>
          <w:szCs w:val="20"/>
        </w:rPr>
      </w:pPr>
      <w:r>
        <w:rPr>
          <w:rFonts w:eastAsia="Arial" w:cs="Arial"/>
          <w:sz w:val="20"/>
          <w:szCs w:val="20"/>
        </w:rPr>
        <w:t>Persons who are entitled to receive 10% or more of the net profits of the CTA</w:t>
      </w:r>
    </w:p>
    <w:p>
      <w:pPr>
        <w:numPr>
          <w:ilvl w:val="0"/>
          <w:numId w:val="785"/>
        </w:numPr>
        <w:ind w:left="720" w:hanging="192"/>
        <w:jc w:val="left"/>
        <w:rPr>
          <w:rFonts w:eastAsia="Arial" w:cs="Arial"/>
          <w:sz w:val="20"/>
          <w:szCs w:val="20"/>
        </w:rPr>
      </w:pPr>
      <w:r>
        <w:rPr>
          <w:rFonts w:eastAsia="Arial" w:cs="Arial"/>
          <w:sz w:val="20"/>
          <w:szCs w:val="20"/>
        </w:rPr>
        <w:t>Entities with certain control:</w:t>
      </w:r>
    </w:p>
    <w:p>
      <w:pPr>
        <w:numPr>
          <w:ilvl w:val="1"/>
          <w:numId w:val="785"/>
        </w:numPr>
        <w:ind w:left="1440" w:hanging="220"/>
        <w:jc w:val="left"/>
        <w:rPr>
          <w:rFonts w:eastAsia="Arial" w:cs="Arial"/>
          <w:sz w:val="20"/>
          <w:szCs w:val="20"/>
        </w:rPr>
      </w:pPr>
      <w:r>
        <w:rPr>
          <w:rFonts w:eastAsia="Arial" w:cs="Arial"/>
          <w:sz w:val="20"/>
          <w:szCs w:val="20"/>
        </w:rPr>
        <w:t>Entities that are the general partner of a CTA formed as a partnership;</w:t>
      </w:r>
    </w:p>
    <w:p>
      <w:pPr>
        <w:numPr>
          <w:ilvl w:val="1"/>
          <w:numId w:val="785"/>
        </w:numPr>
        <w:ind w:left="1440" w:hanging="220"/>
        <w:jc w:val="left"/>
        <w:rPr>
          <w:rFonts w:eastAsia="Arial" w:cs="Arial"/>
          <w:sz w:val="20"/>
          <w:szCs w:val="20"/>
        </w:rPr>
      </w:pPr>
      <w:r>
        <w:rPr>
          <w:rFonts w:eastAsia="Arial" w:cs="Arial"/>
          <w:sz w:val="20"/>
          <w:szCs w:val="20"/>
        </w:rPr>
        <w:t>Entities that own 10% or more of any class of securities of the CTA;</w:t>
      </w:r>
    </w:p>
    <w:p>
      <w:pPr>
        <w:numPr>
          <w:ilvl w:val="1"/>
          <w:numId w:val="785"/>
        </w:numPr>
        <w:spacing w:after="200"/>
        <w:ind w:left="1440" w:hanging="220"/>
        <w:jc w:val="left"/>
        <w:rPr>
          <w:rFonts w:eastAsia="Arial" w:cs="Arial"/>
          <w:sz w:val="20"/>
          <w:szCs w:val="20"/>
        </w:rPr>
      </w:pPr>
      <w:r>
        <w:rPr>
          <w:rFonts w:eastAsia="Arial" w:cs="Arial"/>
          <w:sz w:val="20"/>
          <w:szCs w:val="20"/>
        </w:rPr>
        <w:t>Entities that have directly contributed 10% or more of the capital of the CTA.</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If KCD is a registered CTA, at least one employee of KCD must be a Principal who is registered as an Associated Person.</w:t>
            </w:r>
          </w:p>
        </w:tc>
      </w:tr>
    </w:tbl>
    <w:p>
      <w:pPr>
        <w:rPr>
          <w:rFonts w:eastAsia="Arial" w:cs="Arial"/>
          <w:sz w:val="20"/>
          <w:szCs w:val="20"/>
        </w:rPr>
      </w:pPr>
    </w:p>
    <w:p>
      <w:pPr>
        <w:pStyle w:val="normal0"/>
        <w:spacing w:before="200" w:after="200"/>
        <w:rPr>
          <w:rFonts w:eastAsia="Arial" w:cs="Arial"/>
          <w:sz w:val="20"/>
          <w:szCs w:val="20"/>
        </w:rPr>
      </w:pPr>
      <w:r>
        <w:rPr>
          <w:rFonts w:eastAsia="Arial" w:cs="Arial"/>
          <w:b/>
          <w:bCs/>
          <w:sz w:val="20"/>
          <w:szCs w:val="20"/>
        </w:rPr>
        <w:t>CTA Associated Person Registration</w:t>
      </w:r>
    </w:p>
    <w:p>
      <w:pPr>
        <w:pStyle w:val="normal0"/>
        <w:spacing w:before="200" w:after="200"/>
        <w:rPr>
          <w:rFonts w:eastAsia="Arial" w:cs="Arial"/>
          <w:sz w:val="20"/>
          <w:szCs w:val="20"/>
        </w:rPr>
      </w:pPr>
      <w:r>
        <w:rPr>
          <w:rFonts w:eastAsia="Arial" w:cs="Arial"/>
          <w:sz w:val="20"/>
          <w:szCs w:val="20"/>
        </w:rPr>
        <w:t>If KCD is registered as a CTA, the following persons must be registered as an associated person unless an exemption is available:</w:t>
      </w:r>
    </w:p>
    <w:p>
      <w:pPr>
        <w:numPr>
          <w:ilvl w:val="0"/>
          <w:numId w:val="786"/>
        </w:numPr>
        <w:spacing w:before="200"/>
        <w:ind w:left="720" w:hanging="192"/>
        <w:jc w:val="left"/>
        <w:rPr>
          <w:rFonts w:eastAsia="Arial" w:cs="Arial"/>
          <w:sz w:val="20"/>
          <w:szCs w:val="20"/>
        </w:rPr>
      </w:pPr>
      <w:r>
        <w:rPr>
          <w:rFonts w:eastAsia="Arial" w:cs="Arial"/>
          <w:sz w:val="20"/>
          <w:szCs w:val="20"/>
        </w:rPr>
        <w:t>each individual at KCD who solicits orders, customers or customer funds on behalf of KCD in its capacity as a CTA; and</w:t>
      </w:r>
    </w:p>
    <w:p>
      <w:pPr>
        <w:numPr>
          <w:ilvl w:val="0"/>
          <w:numId w:val="786"/>
        </w:numPr>
        <w:spacing w:after="200"/>
        <w:ind w:left="720" w:hanging="192"/>
        <w:jc w:val="left"/>
        <w:rPr>
          <w:rFonts w:eastAsia="Arial" w:cs="Arial"/>
          <w:sz w:val="20"/>
          <w:szCs w:val="20"/>
        </w:rPr>
      </w:pPr>
      <w:r>
        <w:rPr>
          <w:rFonts w:eastAsia="Arial" w:cs="Arial"/>
          <w:sz w:val="20"/>
          <w:szCs w:val="20"/>
        </w:rPr>
        <w:t>each individual who is in the supervising chain-of-command who supervises such persons.</w:t>
      </w:r>
    </w:p>
    <w:p>
      <w:pPr>
        <w:pStyle w:val="normal0"/>
        <w:spacing w:before="200" w:after="200"/>
        <w:rPr>
          <w:rFonts w:eastAsia="Arial" w:cs="Arial"/>
          <w:sz w:val="20"/>
          <w:szCs w:val="20"/>
        </w:rPr>
      </w:pPr>
      <w:r>
        <w:rPr>
          <w:rFonts w:eastAsia="Arial" w:cs="Arial"/>
          <w:sz w:val="20"/>
          <w:szCs w:val="20"/>
        </w:rPr>
        <w:t>As required by CFTC rules, the CCO shall treat both immediate supervisors and everyone in line of the supervisory authority as being in the chain of command. This potentially includes the CEO, President or other most senior person at KCD.</w:t>
      </w:r>
    </w:p>
    <w:p>
      <w:pPr>
        <w:pStyle w:val="normal0"/>
        <w:spacing w:before="200" w:after="200"/>
        <w:rPr>
          <w:rFonts w:eastAsia="Arial" w:cs="Arial"/>
          <w:sz w:val="20"/>
          <w:szCs w:val="20"/>
        </w:rPr>
      </w:pPr>
      <w:r>
        <w:rPr>
          <w:rFonts w:eastAsia="Arial" w:cs="Arial"/>
          <w:b/>
          <w:bCs/>
          <w:sz w:val="20"/>
          <w:szCs w:val="20"/>
        </w:rPr>
        <w:t>Exemptions from Associated Person Definition</w:t>
      </w:r>
    </w:p>
    <w:p>
      <w:pPr>
        <w:pStyle w:val="normal0"/>
        <w:spacing w:before="200" w:after="200"/>
        <w:rPr>
          <w:rFonts w:eastAsia="Arial" w:cs="Arial"/>
          <w:sz w:val="20"/>
          <w:szCs w:val="20"/>
        </w:rPr>
      </w:pPr>
      <w:r>
        <w:rPr>
          <w:rFonts w:eastAsia="Arial" w:cs="Arial"/>
          <w:sz w:val="20"/>
          <w:szCs w:val="20"/>
        </w:rPr>
        <w:t>Prior to registering an employee of KCD as an associated person of a CTA, the CCO will determine whether any exemptions from that status are available. These exemptions include:</w:t>
      </w:r>
    </w:p>
    <w:p>
      <w:pPr>
        <w:numPr>
          <w:ilvl w:val="0"/>
          <w:numId w:val="787"/>
        </w:numPr>
        <w:spacing w:before="200"/>
        <w:ind w:left="720" w:hanging="192"/>
        <w:jc w:val="left"/>
        <w:rPr>
          <w:rFonts w:eastAsia="Arial" w:cs="Arial"/>
          <w:sz w:val="20"/>
          <w:szCs w:val="20"/>
        </w:rPr>
      </w:pPr>
      <w:r>
        <w:rPr>
          <w:rFonts w:eastAsia="Arial" w:cs="Arial"/>
          <w:sz w:val="20"/>
          <w:szCs w:val="20"/>
        </w:rPr>
        <w:t>Rule 3.12(h)(1)(ii): a person engaged only in the solicitation of interests in a commodity pool as a FINRA registered representative who does not engage in any other activity subject to CFTC regulation.</w:t>
      </w:r>
    </w:p>
    <w:p>
      <w:pPr>
        <w:numPr>
          <w:ilvl w:val="0"/>
          <w:numId w:val="787"/>
        </w:numPr>
        <w:ind w:left="720" w:hanging="192"/>
        <w:jc w:val="left"/>
        <w:rPr>
          <w:rFonts w:eastAsia="Arial" w:cs="Arial"/>
          <w:sz w:val="20"/>
          <w:szCs w:val="20"/>
        </w:rPr>
      </w:pPr>
      <w:r>
        <w:rPr>
          <w:rFonts w:eastAsia="Arial" w:cs="Arial"/>
          <w:sz w:val="20"/>
          <w:szCs w:val="20"/>
        </w:rPr>
        <w:t>Rule 3.12(h)(1)(iii): a COO, general partner or other person in the supervisory chain-of-command of an entity that makes no more than 10% of its annual revenue from commodity interest related activity, provided that the person engages in no solicitation activities and delegates its supervisory authority to another registered Associated Person.</w:t>
      </w:r>
    </w:p>
    <w:p>
      <w:pPr>
        <w:numPr>
          <w:ilvl w:val="0"/>
          <w:numId w:val="787"/>
        </w:numPr>
        <w:spacing w:after="200"/>
        <w:ind w:left="720" w:hanging="192"/>
        <w:jc w:val="left"/>
        <w:rPr>
          <w:rFonts w:eastAsia="Arial" w:cs="Arial"/>
          <w:sz w:val="20"/>
          <w:szCs w:val="20"/>
        </w:rPr>
      </w:pPr>
      <w:r>
        <w:rPr>
          <w:rFonts w:eastAsia="Arial" w:cs="Arial"/>
          <w:sz w:val="20"/>
          <w:szCs w:val="20"/>
        </w:rPr>
        <w:t>Rule 3.12(h)(1)(iv): a person whose activities are limited to soliciting: (i) non-U.S. investors, (ii) for non-U.S. funds from (iii) outside the U.S.</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Only natural persons may be Associated Persons.</w:t>
            </w:r>
          </w:p>
        </w:tc>
      </w:tr>
    </w:tbl>
    <w:p>
      <w:pPr>
        <w:rPr>
          <w:rFonts w:eastAsia="Arial" w:cs="Arial"/>
          <w:sz w:val="20"/>
          <w:szCs w:val="20"/>
        </w:rPr>
      </w:pPr>
    </w:p>
    <w:p>
      <w:pPr>
        <w:pStyle w:val="normal0"/>
        <w:spacing w:before="200" w:after="200"/>
        <w:rPr>
          <w:rFonts w:eastAsia="Arial" w:cs="Arial"/>
          <w:sz w:val="20"/>
          <w:szCs w:val="20"/>
        </w:rPr>
      </w:pPr>
      <w:r>
        <w:rPr>
          <w:rFonts w:eastAsia="Arial" w:cs="Arial"/>
          <w:b/>
          <w:bCs/>
          <w:sz w:val="20"/>
          <w:szCs w:val="20"/>
        </w:rPr>
        <w:t>CTA Associated Person/Principal Registration Process</w:t>
      </w:r>
    </w:p>
    <w:p>
      <w:pPr>
        <w:pStyle w:val="normal0"/>
        <w:spacing w:before="200" w:after="200"/>
        <w:rPr>
          <w:rFonts w:eastAsia="Arial" w:cs="Arial"/>
          <w:sz w:val="20"/>
          <w:szCs w:val="20"/>
        </w:rPr>
      </w:pPr>
      <w:r>
        <w:rPr>
          <w:rFonts w:eastAsia="Arial" w:cs="Arial"/>
          <w:sz w:val="20"/>
          <w:szCs w:val="20"/>
        </w:rPr>
        <w:t>To register an individual as a Principal or Associated Person of KCD, the CCO will:</w:t>
      </w:r>
    </w:p>
    <w:p>
      <w:pPr>
        <w:numPr>
          <w:ilvl w:val="0"/>
          <w:numId w:val="788"/>
        </w:numPr>
        <w:spacing w:before="200"/>
        <w:ind w:left="720" w:hanging="192"/>
        <w:jc w:val="left"/>
        <w:rPr>
          <w:rFonts w:eastAsia="Arial" w:cs="Arial"/>
          <w:sz w:val="20"/>
          <w:szCs w:val="20"/>
        </w:rPr>
      </w:pPr>
      <w:r>
        <w:rPr>
          <w:rFonts w:eastAsia="Arial" w:cs="Arial"/>
          <w:sz w:val="20"/>
          <w:szCs w:val="20"/>
        </w:rPr>
        <w:t>confirm that the individual passed the Series 3 exam within the past two years unless the person is currently registered as a Principal or an Associated Person of another CTA or the person has obtained a waiver from the CFTC or NFA;</w:t>
      </w:r>
    </w:p>
    <w:p>
      <w:pPr>
        <w:numPr>
          <w:ilvl w:val="0"/>
          <w:numId w:val="788"/>
        </w:numPr>
        <w:ind w:left="720" w:hanging="192"/>
        <w:jc w:val="left"/>
        <w:rPr>
          <w:rFonts w:eastAsia="Arial" w:cs="Arial"/>
          <w:sz w:val="20"/>
          <w:szCs w:val="20"/>
        </w:rPr>
      </w:pPr>
      <w:r>
        <w:rPr>
          <w:rFonts w:eastAsia="Arial" w:cs="Arial"/>
          <w:sz w:val="20"/>
          <w:szCs w:val="20"/>
        </w:rPr>
        <w:t>file a Form 8-R through the NFA's Online Registration System; and</w:t>
      </w:r>
    </w:p>
    <w:p>
      <w:pPr>
        <w:numPr>
          <w:ilvl w:val="0"/>
          <w:numId w:val="788"/>
        </w:numPr>
        <w:spacing w:after="200"/>
        <w:ind w:left="720" w:hanging="192"/>
        <w:jc w:val="left"/>
        <w:rPr>
          <w:rFonts w:eastAsia="Arial" w:cs="Arial"/>
          <w:sz w:val="20"/>
          <w:szCs w:val="20"/>
        </w:rPr>
      </w:pPr>
      <w:r>
        <w:rPr>
          <w:rFonts w:eastAsia="Arial" w:cs="Arial"/>
          <w:sz w:val="20"/>
          <w:szCs w:val="20"/>
        </w:rPr>
        <w:t>send a completed fingerprint card to the NFA for each Principal and Associated Person to be registered.</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Outside individual directors of the CTA are not subject to the fingerprinting requirement. Certain waivers to the exam requirement may be available. See CFTC Rule 402.</w:t>
            </w:r>
          </w:p>
        </w:tc>
      </w:tr>
    </w:tbl>
    <w:p>
      <w:bookmarkEnd w:id="890"/>
      <w:bookmarkStart w:id="891" w:name="Sec_Chp_061016102257046_113734"/>
    </w:p>
    <w:p>
      <w:pPr>
        <w:pStyle w:val="Heading5"/>
      </w:pPr>
      <w:r>
        <w:t>11.3.9.3.4 CTA Supervisory Procedures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registers as a CTA, it will adopt supervisory procedures that cover, among other things:</w:t>
      </w:r>
    </w:p>
    <w:p>
      <w:pPr>
        <w:numPr>
          <w:ilvl w:val="0"/>
          <w:numId w:val="789"/>
        </w:numPr>
        <w:spacing w:before="200"/>
        <w:ind w:left="720" w:hanging="192"/>
        <w:jc w:val="left"/>
        <w:rPr>
          <w:rFonts w:eastAsia="Arial" w:cs="Arial"/>
          <w:sz w:val="20"/>
          <w:szCs w:val="20"/>
        </w:rPr>
      </w:pPr>
      <w:r>
        <w:rPr>
          <w:rFonts w:eastAsia="Arial" w:cs="Arial"/>
          <w:sz w:val="20"/>
          <w:szCs w:val="20"/>
        </w:rPr>
        <w:t>Supervision</w:t>
      </w:r>
    </w:p>
    <w:p>
      <w:pPr>
        <w:numPr>
          <w:ilvl w:val="0"/>
          <w:numId w:val="789"/>
        </w:numPr>
        <w:ind w:left="720" w:hanging="192"/>
        <w:jc w:val="left"/>
        <w:rPr>
          <w:rFonts w:eastAsia="Arial" w:cs="Arial"/>
          <w:sz w:val="20"/>
          <w:szCs w:val="20"/>
        </w:rPr>
      </w:pPr>
      <w:r>
        <w:rPr>
          <w:rFonts w:eastAsia="Arial" w:cs="Arial"/>
          <w:sz w:val="20"/>
          <w:szCs w:val="20"/>
        </w:rPr>
        <w:t>Privacy</w:t>
      </w:r>
    </w:p>
    <w:p>
      <w:pPr>
        <w:numPr>
          <w:ilvl w:val="0"/>
          <w:numId w:val="789"/>
        </w:numPr>
        <w:ind w:left="720" w:hanging="192"/>
        <w:jc w:val="left"/>
        <w:rPr>
          <w:rFonts w:eastAsia="Arial" w:cs="Arial"/>
          <w:sz w:val="20"/>
          <w:szCs w:val="20"/>
        </w:rPr>
      </w:pPr>
      <w:r>
        <w:rPr>
          <w:rFonts w:eastAsia="Arial" w:cs="Arial"/>
          <w:sz w:val="20"/>
          <w:szCs w:val="20"/>
        </w:rPr>
        <w:t>Ethics training</w:t>
      </w:r>
    </w:p>
    <w:p>
      <w:pPr>
        <w:numPr>
          <w:ilvl w:val="0"/>
          <w:numId w:val="789"/>
        </w:numPr>
        <w:ind w:left="720" w:hanging="192"/>
        <w:jc w:val="left"/>
        <w:rPr>
          <w:rFonts w:eastAsia="Arial" w:cs="Arial"/>
          <w:sz w:val="20"/>
          <w:szCs w:val="20"/>
        </w:rPr>
      </w:pPr>
      <w:r>
        <w:rPr>
          <w:rFonts w:eastAsia="Arial" w:cs="Arial"/>
          <w:sz w:val="20"/>
          <w:szCs w:val="20"/>
        </w:rPr>
        <w:t>Disaster Recovery</w:t>
      </w:r>
    </w:p>
    <w:p>
      <w:pPr>
        <w:numPr>
          <w:ilvl w:val="0"/>
          <w:numId w:val="789"/>
        </w:numPr>
        <w:ind w:left="720" w:hanging="192"/>
        <w:jc w:val="left"/>
        <w:rPr>
          <w:rFonts w:eastAsia="Arial" w:cs="Arial"/>
          <w:sz w:val="20"/>
          <w:szCs w:val="20"/>
        </w:rPr>
      </w:pPr>
      <w:r>
        <w:rPr>
          <w:rFonts w:eastAsia="Arial" w:cs="Arial"/>
          <w:sz w:val="20"/>
          <w:szCs w:val="20"/>
        </w:rPr>
        <w:t>Marketing</w:t>
      </w:r>
    </w:p>
    <w:p>
      <w:pPr>
        <w:numPr>
          <w:ilvl w:val="0"/>
          <w:numId w:val="789"/>
        </w:numPr>
        <w:ind w:left="720" w:hanging="192"/>
        <w:jc w:val="left"/>
        <w:rPr>
          <w:rFonts w:eastAsia="Arial" w:cs="Arial"/>
          <w:sz w:val="20"/>
          <w:szCs w:val="20"/>
        </w:rPr>
      </w:pPr>
      <w:r>
        <w:rPr>
          <w:rFonts w:eastAsia="Arial" w:cs="Arial"/>
          <w:sz w:val="20"/>
          <w:szCs w:val="20"/>
        </w:rPr>
        <w:t>Business with non-members</w:t>
      </w:r>
    </w:p>
    <w:p>
      <w:pPr>
        <w:numPr>
          <w:ilvl w:val="0"/>
          <w:numId w:val="789"/>
        </w:numPr>
        <w:ind w:left="720" w:hanging="192"/>
        <w:jc w:val="left"/>
        <w:rPr>
          <w:rFonts w:eastAsia="Arial" w:cs="Arial"/>
          <w:sz w:val="20"/>
          <w:szCs w:val="20"/>
        </w:rPr>
      </w:pPr>
      <w:r>
        <w:rPr>
          <w:rFonts w:eastAsia="Arial" w:cs="Arial"/>
          <w:sz w:val="20"/>
          <w:szCs w:val="20"/>
        </w:rPr>
        <w:t>NFA audits</w:t>
      </w:r>
    </w:p>
    <w:p>
      <w:pPr>
        <w:numPr>
          <w:ilvl w:val="0"/>
          <w:numId w:val="789"/>
        </w:numPr>
        <w:ind w:left="720" w:hanging="192"/>
        <w:jc w:val="left"/>
        <w:rPr>
          <w:rFonts w:eastAsia="Arial" w:cs="Arial"/>
          <w:sz w:val="20"/>
          <w:szCs w:val="20"/>
        </w:rPr>
      </w:pPr>
      <w:r>
        <w:rPr>
          <w:rFonts w:eastAsia="Arial" w:cs="Arial"/>
          <w:sz w:val="20"/>
          <w:szCs w:val="20"/>
        </w:rPr>
        <w:t>CFTC/NFA filings</w:t>
      </w:r>
    </w:p>
    <w:p>
      <w:pPr>
        <w:numPr>
          <w:ilvl w:val="0"/>
          <w:numId w:val="789"/>
        </w:numPr>
        <w:ind w:left="720" w:hanging="192"/>
        <w:jc w:val="left"/>
        <w:rPr>
          <w:rFonts w:eastAsia="Arial" w:cs="Arial"/>
          <w:sz w:val="20"/>
          <w:szCs w:val="20"/>
        </w:rPr>
      </w:pPr>
      <w:r>
        <w:rPr>
          <w:rFonts w:eastAsia="Arial" w:cs="Arial"/>
          <w:sz w:val="20"/>
          <w:szCs w:val="20"/>
        </w:rPr>
        <w:t>Branch offices</w:t>
      </w:r>
    </w:p>
    <w:p>
      <w:pPr>
        <w:numPr>
          <w:ilvl w:val="0"/>
          <w:numId w:val="789"/>
        </w:numPr>
        <w:ind w:left="720" w:hanging="192"/>
        <w:jc w:val="left"/>
        <w:rPr>
          <w:rFonts w:eastAsia="Arial" w:cs="Arial"/>
          <w:sz w:val="20"/>
          <w:szCs w:val="20"/>
        </w:rPr>
      </w:pPr>
      <w:r>
        <w:rPr>
          <w:rFonts w:eastAsia="Arial" w:cs="Arial"/>
          <w:sz w:val="20"/>
          <w:szCs w:val="20"/>
        </w:rPr>
        <w:t>Disclosure documents</w:t>
      </w:r>
    </w:p>
    <w:p>
      <w:pPr>
        <w:numPr>
          <w:ilvl w:val="0"/>
          <w:numId w:val="789"/>
        </w:numPr>
        <w:spacing w:after="200"/>
        <w:ind w:left="720" w:hanging="192"/>
        <w:jc w:val="left"/>
        <w:rPr>
          <w:rFonts w:eastAsia="Arial" w:cs="Arial"/>
          <w:sz w:val="20"/>
          <w:szCs w:val="20"/>
        </w:rPr>
      </w:pPr>
      <w:r>
        <w:rPr>
          <w:rFonts w:eastAsia="Arial" w:cs="Arial"/>
          <w:sz w:val="20"/>
          <w:szCs w:val="20"/>
        </w:rPr>
        <w:t>Recordkeeping.</w:t>
      </w:r>
    </w:p>
    <w:p>
      <w:bookmarkEnd w:id="891"/>
      <w:bookmarkStart w:id="892" w:name="Sec_Chp_061016102257046_1137311374"/>
    </w:p>
    <w:p>
      <w:pPr>
        <w:pStyle w:val="Heading4"/>
      </w:pPr>
      <w:r>
        <w:t>11.3.9.4 SIFI</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monitor Federal Reserve Board (FRB) rulemaking to determine whether it might be designated as a significantly important financial institution (SIFI). The FRB is responsible for issuing a number of rules under the Dodd-Frank Wall Street Reform and Consumer Protection Act, sometimes in conjunction with other government agencies. On April 3, 2013, the FRB issued a final rule that establishes the requirements for determining when a company is "predominantly engaged in financial activities." The requirements will be used by the Financial Stability Oversight Council (FSOC) when it considers the potential designation of a nonbank financial company, which may include an investment adviser (such as KCD) or a fund it advises (Nonbank). Designation of KCD as a SIFI could require it to alter dramatically the way it conducts its business and manages its clients through the application of heightened regulatory standards promulgated by the FRB.</w:t>
      </w:r>
    </w:p>
    <w:p>
      <w:pPr>
        <w:pStyle w:val="normal0"/>
        <w:spacing w:before="200" w:after="200"/>
        <w:rPr>
          <w:rFonts w:eastAsia="Arial" w:cs="Arial"/>
          <w:sz w:val="20"/>
          <w:szCs w:val="20"/>
        </w:rPr>
      </w:pPr>
      <w:r>
        <w:rPr>
          <w:rFonts w:eastAsia="Arial" w:cs="Arial"/>
          <w:sz w:val="20"/>
          <w:szCs w:val="20"/>
        </w:rPr>
        <w:t xml:space="preserve">To determine which Nonbanks such as KCD are to be subjected to heightened supervision, FSOC developed an analytical framework. This three-stage screening is as follows: </w:t>
      </w:r>
    </w:p>
    <w:p>
      <w:pPr>
        <w:numPr>
          <w:ilvl w:val="0"/>
          <w:numId w:val="790"/>
        </w:numPr>
        <w:spacing w:before="200"/>
        <w:ind w:left="720" w:hanging="267"/>
        <w:jc w:val="left"/>
        <w:rPr>
          <w:rFonts w:eastAsia="Arial" w:cs="Arial"/>
          <w:sz w:val="20"/>
          <w:szCs w:val="20"/>
        </w:rPr>
      </w:pPr>
      <w:r>
        <w:rPr>
          <w:rFonts w:eastAsia="Arial" w:cs="Arial"/>
          <w:b/>
          <w:bCs/>
          <w:sz w:val="20"/>
          <w:szCs w:val="20"/>
        </w:rPr>
        <w:t>Quantitative Screening:</w:t>
      </w:r>
      <w:r>
        <w:rPr>
          <w:rFonts w:eastAsia="Arial" w:cs="Arial"/>
          <w:sz w:val="20"/>
          <w:szCs w:val="20"/>
        </w:rPr>
        <w:t xml:space="preserve"> Based on public and regulatory sources, FSOC will establish quantitative thresholds to determine who it will continue to screen. FSOC will use six categories in its evaluation of whether a particular Nonbank meets either determination standard.</w:t>
      </w:r>
    </w:p>
    <w:p>
      <w:pPr>
        <w:numPr>
          <w:ilvl w:val="0"/>
          <w:numId w:val="790"/>
        </w:numPr>
        <w:ind w:left="720" w:hanging="267"/>
        <w:jc w:val="left"/>
        <w:rPr>
          <w:rFonts w:eastAsia="Arial" w:cs="Arial"/>
          <w:sz w:val="20"/>
          <w:szCs w:val="20"/>
        </w:rPr>
      </w:pPr>
      <w:r>
        <w:rPr>
          <w:rFonts w:eastAsia="Arial" w:cs="Arial"/>
          <w:b/>
          <w:bCs/>
          <w:sz w:val="20"/>
          <w:szCs w:val="20"/>
        </w:rPr>
        <w:t>Qualitative and Quantitative Assessment:</w:t>
      </w:r>
      <w:r>
        <w:rPr>
          <w:rFonts w:eastAsia="Arial" w:cs="Arial"/>
          <w:sz w:val="20"/>
          <w:szCs w:val="20"/>
        </w:rPr>
        <w:t xml:space="preserve"> Through voluntary requests, and public and regulatory sources, FSOC will conduct a qualitative and quantitative factor analysis of Nonbanks selected during Stage 1. Based on this analysis, FSOC will contact those Nonbanks that FSOC believes merit further evaluation in Stage 3.</w:t>
      </w:r>
    </w:p>
    <w:p>
      <w:pPr>
        <w:numPr>
          <w:ilvl w:val="0"/>
          <w:numId w:val="790"/>
        </w:numPr>
        <w:spacing w:after="200"/>
        <w:ind w:left="720" w:hanging="267"/>
        <w:jc w:val="left"/>
        <w:rPr>
          <w:rFonts w:eastAsia="Arial" w:cs="Arial"/>
          <w:sz w:val="20"/>
          <w:szCs w:val="20"/>
        </w:rPr>
      </w:pPr>
      <w:r>
        <w:rPr>
          <w:rFonts w:eastAsia="Arial" w:cs="Arial"/>
          <w:b/>
          <w:bCs/>
          <w:sz w:val="20"/>
          <w:szCs w:val="20"/>
        </w:rPr>
        <w:t>In-Depth Analysis:</w:t>
      </w:r>
      <w:r>
        <w:rPr>
          <w:rFonts w:eastAsia="Arial" w:cs="Arial"/>
          <w:sz w:val="20"/>
          <w:szCs w:val="20"/>
        </w:rPr>
        <w:t xml:space="preserve"> With information from Stages 1 and 2, along with data obtained from the Nonbank under consideration, FSOC will perform additional in-depth analysis on whether the Nonbank should be designated a SIFI. </w:t>
      </w:r>
    </w:p>
    <w:p>
      <w:pPr>
        <w:pStyle w:val="normal0"/>
        <w:spacing w:before="200" w:after="200"/>
        <w:rPr>
          <w:rFonts w:eastAsia="Arial" w:cs="Arial"/>
          <w:sz w:val="20"/>
          <w:szCs w:val="20"/>
        </w:rPr>
      </w:pPr>
      <w:r>
        <w:rPr>
          <w:rFonts w:eastAsia="Arial" w:cs="Arial"/>
          <w:sz w:val="20"/>
          <w:szCs w:val="20"/>
        </w:rPr>
        <w:t>With respect to Stage 3, FSOC will examine factors that help predict the magnitude of the impact on the broader economy of the failure of a particular Nonbank and factors that indicate how likely that Nonbank is to fail (the vulnerability factors). These factors are as follows:</w:t>
      </w:r>
    </w:p>
    <w:p>
      <w:pPr>
        <w:numPr>
          <w:ilvl w:val="0"/>
          <w:numId w:val="791"/>
        </w:numPr>
        <w:spacing w:before="200"/>
        <w:ind w:left="720" w:hanging="192"/>
        <w:jc w:val="left"/>
        <w:rPr>
          <w:rFonts w:eastAsia="Arial" w:cs="Arial"/>
          <w:sz w:val="20"/>
          <w:szCs w:val="20"/>
        </w:rPr>
      </w:pPr>
      <w:r>
        <w:rPr>
          <w:rFonts w:eastAsia="Arial" w:cs="Arial"/>
          <w:sz w:val="20"/>
          <w:szCs w:val="20"/>
        </w:rPr>
        <w:t>Size</w:t>
      </w:r>
    </w:p>
    <w:p>
      <w:pPr>
        <w:numPr>
          <w:ilvl w:val="0"/>
          <w:numId w:val="791"/>
        </w:numPr>
        <w:ind w:left="720" w:hanging="192"/>
        <w:jc w:val="left"/>
        <w:rPr>
          <w:rFonts w:eastAsia="Arial" w:cs="Arial"/>
          <w:sz w:val="20"/>
          <w:szCs w:val="20"/>
        </w:rPr>
      </w:pPr>
      <w:r>
        <w:rPr>
          <w:rFonts w:eastAsia="Arial" w:cs="Arial"/>
          <w:sz w:val="20"/>
          <w:szCs w:val="20"/>
        </w:rPr>
        <w:t>Interconnectedness</w:t>
      </w:r>
    </w:p>
    <w:p>
      <w:pPr>
        <w:numPr>
          <w:ilvl w:val="0"/>
          <w:numId w:val="791"/>
        </w:numPr>
        <w:ind w:left="720" w:hanging="192"/>
        <w:jc w:val="left"/>
        <w:rPr>
          <w:rFonts w:eastAsia="Arial" w:cs="Arial"/>
          <w:sz w:val="20"/>
          <w:szCs w:val="20"/>
        </w:rPr>
      </w:pPr>
      <w:r>
        <w:rPr>
          <w:rFonts w:eastAsia="Arial" w:cs="Arial"/>
          <w:sz w:val="20"/>
          <w:szCs w:val="20"/>
        </w:rPr>
        <w:t>Substitutability</w:t>
      </w:r>
    </w:p>
    <w:p>
      <w:pPr>
        <w:numPr>
          <w:ilvl w:val="0"/>
          <w:numId w:val="791"/>
        </w:numPr>
        <w:ind w:left="720" w:hanging="192"/>
        <w:jc w:val="left"/>
        <w:rPr>
          <w:rFonts w:eastAsia="Arial" w:cs="Arial"/>
          <w:sz w:val="20"/>
          <w:szCs w:val="20"/>
        </w:rPr>
      </w:pPr>
      <w:r>
        <w:rPr>
          <w:rFonts w:eastAsia="Arial" w:cs="Arial"/>
          <w:sz w:val="20"/>
          <w:szCs w:val="20"/>
        </w:rPr>
        <w:t>Leverage</w:t>
      </w:r>
    </w:p>
    <w:p>
      <w:pPr>
        <w:numPr>
          <w:ilvl w:val="0"/>
          <w:numId w:val="791"/>
        </w:numPr>
        <w:ind w:left="720" w:hanging="192"/>
        <w:jc w:val="left"/>
        <w:rPr>
          <w:rFonts w:eastAsia="Arial" w:cs="Arial"/>
          <w:sz w:val="20"/>
          <w:szCs w:val="20"/>
        </w:rPr>
      </w:pPr>
      <w:r>
        <w:rPr>
          <w:rFonts w:eastAsia="Arial" w:cs="Arial"/>
          <w:sz w:val="20"/>
          <w:szCs w:val="20"/>
        </w:rPr>
        <w:t>Liquidity Risk and Maturity Mismatch</w:t>
      </w:r>
    </w:p>
    <w:p>
      <w:pPr>
        <w:numPr>
          <w:ilvl w:val="0"/>
          <w:numId w:val="791"/>
        </w:numPr>
        <w:spacing w:after="200"/>
        <w:ind w:left="720" w:hanging="192"/>
        <w:jc w:val="left"/>
        <w:rPr>
          <w:rFonts w:eastAsia="Arial" w:cs="Arial"/>
          <w:sz w:val="20"/>
          <w:szCs w:val="20"/>
        </w:rPr>
      </w:pPr>
      <w:r>
        <w:rPr>
          <w:rFonts w:eastAsia="Arial" w:cs="Arial"/>
          <w:sz w:val="20"/>
          <w:szCs w:val="20"/>
        </w:rPr>
        <w:t>Existing Regulatory Oversight</w:t>
      </w:r>
    </w:p>
    <w:p>
      <w:pPr>
        <w:pStyle w:val="normal0"/>
        <w:spacing w:before="200" w:after="200"/>
        <w:rPr>
          <w:rFonts w:eastAsia="Arial" w:cs="Arial"/>
          <w:sz w:val="20"/>
          <w:szCs w:val="20"/>
        </w:rPr>
      </w:pPr>
      <w:r>
        <w:rPr>
          <w:rFonts w:eastAsia="Arial" w:cs="Arial"/>
          <w:sz w:val="20"/>
          <w:szCs w:val="20"/>
        </w:rPr>
        <w:t>The potential impact factors are likely to be the primary drivers in any SIFI designation decision. For example, even if a Nonbank is very vulnerable to failure, it would not likely be designated as a SIFI if its failure would have an insignificant effect on the broader economy.</w:t>
      </w:r>
    </w:p>
    <w:p>
      <w:pPr>
        <w:pStyle w:val="normal0"/>
        <w:spacing w:before="200" w:after="200"/>
        <w:rPr>
          <w:rFonts w:eastAsia="Arial" w:cs="Arial"/>
          <w:sz w:val="20"/>
          <w:szCs w:val="20"/>
        </w:rPr>
      </w:pPr>
      <w:r>
        <w:rPr>
          <w:rFonts w:eastAsia="Arial" w:cs="Arial"/>
          <w:sz w:val="20"/>
          <w:szCs w:val="20"/>
        </w:rPr>
        <w:t>FSOC must consult with existing regulators before making a determination. But once a determination is made and the Nonbank is notified, it has 30 days to respond and request a review hearing. FSOC has a further 60 days to reach a final determination of SIFI status.</w:t>
      </w:r>
    </w:p>
    <w:p>
      <w:pPr>
        <w:pStyle w:val="normal0"/>
        <w:spacing w:before="200" w:after="200"/>
        <w:rPr>
          <w:rFonts w:eastAsia="Arial" w:cs="Arial"/>
          <w:sz w:val="20"/>
          <w:szCs w:val="20"/>
        </w:rPr>
      </w:pPr>
      <w:r>
        <w:rPr>
          <w:rFonts w:eastAsia="Arial" w:cs="Arial"/>
          <w:sz w:val="20"/>
          <w:szCs w:val="20"/>
        </w:rPr>
        <w:t>FSOC will, at least annually, reevaluate each determination and rescind such determination if the Nonbank no longer meets the SIFI standard. FSOC will provide written notice to the Nonbank's subject to a determination that its designation is being reviewed prior to reevaluation and will provide an opportunity for such companies to submit written materials to contest the determination within the time it decides appropriate (not less than 30 days after the date of receipt of notice). If FSOC rescinds the determination, FSOC will notify the Nonbank in writing and publicly announce its decision.</w:t>
      </w:r>
    </w:p>
    <w:p>
      <w:bookmarkEnd w:id="892"/>
      <w:bookmarkStart w:id="893" w:name="Sec_Chp_061016102257046_0610161137"/>
    </w:p>
    <w:p>
      <w:pPr>
        <w:pStyle w:val="Heading3"/>
      </w:pPr>
      <w:bookmarkStart w:id="894" w:name="_Toc256000224"/>
      <w:r>
        <w:t>11.3.10 Large Traders</w:t>
      </w:r>
      <w:bookmarkEnd w:id="894"/>
    </w:p>
    <w:p/>
    <w:p>
      <w:pPr>
        <w:rPr>
          <w:rFonts w:eastAsia="Arial" w:cs="Arial"/>
          <w:sz w:val="16"/>
          <w:szCs w:val="16"/>
        </w:rPr>
      </w:pPr>
      <w:r>
        <w:rPr>
          <w:rFonts w:eastAsia="Arial" w:cs="Arial"/>
          <w:sz w:val="16"/>
          <w:szCs w:val="16"/>
        </w:rPr>
        <w:t>[SEC Securities Exchange Act of 1934 Rule 13h-1]</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The purpose of Rule 13h-1 and Form 13H under Section 13(h) of the Securities Exchange Act of 1934 is to assist the SEC in both identifying, and obtaining trading information on, market participants that conduct a substantial amount of trading activity, as measured by volume or market value, in the U.S. securities markets. Rule 13h-1 requires a "large trader" to identify itself to the SEC and make certain disclosures to the SEC on Form 13H. Upon receipt of Form 13H, the SEC assigns to each large trader an identification number that uniquely and uniformly identifies the trader, which the large trader must then provide to its registered broker-dealers that execute trades on its or its clients' behalf. Such registered broker-dealers are required to maintain records of two additional data elements in connection with transactions effected through accounts of such large traders: the large trader identification number, and the time transactions in the account are executed. In addition, such broker-dealers must report large trader transaction information to the SEC upon request through the Electronic Blue Sheets systems used by broker-dealers for reporting trade information. Certain registered broker-dealers subject to the Rule are required to perform limited monitoring of their customers' accounts for activity that may trigger the large trader identification requirements of Rule 13h-1.</w:t>
            </w:r>
          </w:p>
        </w:tc>
      </w:tr>
    </w:tbl>
    <w:p>
      <w:pPr>
        <w:pStyle w:val="normal0"/>
        <w:spacing w:before="200" w:after="200"/>
        <w:rPr>
          <w:rFonts w:eastAsia="Arial" w:cs="Arial"/>
          <w:sz w:val="20"/>
          <w:szCs w:val="20"/>
        </w:rPr>
      </w:pPr>
      <w:r>
        <w:rPr>
          <w:rFonts w:eastAsia="Arial" w:cs="Arial"/>
          <w:sz w:val="20"/>
          <w:szCs w:val="20"/>
        </w:rPr>
        <w:t>The SEC has established a large trader reporting system designed to enhance the agency's ability to identify large market participants, collect information on their trading, and analyze their trading activity. Large traders who engage in a substantial level of trading activity are required to identify themselves to the SEC by electronically filing a Form 13H with the SEC. They can include investment advisers.</w:t>
      </w:r>
    </w:p>
    <w:p>
      <w:bookmarkEnd w:id="893"/>
      <w:bookmarkStart w:id="895" w:name="Sec_Chp_061016102257046_06101611371"/>
    </w:p>
    <w:p>
      <w:pPr>
        <w:pStyle w:val="Heading4"/>
      </w:pPr>
      <w:r>
        <w:t>11.3.10.1 Reporting Thresholds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periodically will monitor its status to determine whether it meets the definition of "large trader" (as defined in Rule 13h-1 under the Securities Exchange Act of 1934). KCD will be deemed a large trader if it directly or indirectly, including through other persons controlled by KCD, exercises investment discretion over one or more accounts and effects "aggregate transactions" for the purchase or sale of any NMS security for or on behalf of such accounts, by or through one or more registered broker-dealers, in an aggregate amount equal to or greater than:</w:t>
      </w:r>
    </w:p>
    <w:p>
      <w:pPr>
        <w:numPr>
          <w:ilvl w:val="0"/>
          <w:numId w:val="792"/>
        </w:numPr>
        <w:spacing w:before="200"/>
        <w:ind w:left="720" w:hanging="192"/>
        <w:jc w:val="left"/>
        <w:rPr>
          <w:rFonts w:eastAsia="Arial" w:cs="Arial"/>
          <w:sz w:val="20"/>
          <w:szCs w:val="20"/>
        </w:rPr>
      </w:pPr>
      <w:r>
        <w:rPr>
          <w:rFonts w:eastAsia="Arial" w:cs="Arial"/>
          <w:sz w:val="20"/>
          <w:szCs w:val="20"/>
        </w:rPr>
        <w:t>During a calendar day, either 2 million shares or shares with a fair market value of $20 million; or</w:t>
      </w:r>
    </w:p>
    <w:p>
      <w:pPr>
        <w:numPr>
          <w:ilvl w:val="0"/>
          <w:numId w:val="792"/>
        </w:numPr>
        <w:spacing w:after="200"/>
        <w:ind w:left="720" w:hanging="192"/>
        <w:jc w:val="left"/>
        <w:rPr>
          <w:rFonts w:eastAsia="Arial" w:cs="Arial"/>
          <w:sz w:val="20"/>
          <w:szCs w:val="20"/>
        </w:rPr>
      </w:pPr>
      <w:r>
        <w:rPr>
          <w:rFonts w:eastAsia="Arial" w:cs="Arial"/>
          <w:sz w:val="20"/>
          <w:szCs w:val="20"/>
        </w:rPr>
        <w:t xml:space="preserve">During a calendar month, either 20 million shares or shares with a fair market value of $200 million. </w:t>
      </w:r>
    </w:p>
    <w:p>
      <w:pPr>
        <w:pStyle w:val="normal0"/>
        <w:spacing w:before="200" w:after="200"/>
        <w:rPr>
          <w:rFonts w:eastAsia="Arial" w:cs="Arial"/>
          <w:sz w:val="20"/>
          <w:szCs w:val="20"/>
        </w:rPr>
      </w:pPr>
      <w:r>
        <w:rPr>
          <w:rFonts w:eastAsia="Arial" w:cs="Arial"/>
          <w:sz w:val="20"/>
          <w:szCs w:val="20"/>
        </w:rPr>
        <w:t>An "NMS" security is any security or class of securities for which transaction reports are collected, processed, and made available pursuant to an effective transaction reporting plan, or an effective national market system plan for reporting transactions in listed options.</w:t>
      </w:r>
    </w:p>
    <w:p>
      <w:pPr>
        <w:pStyle w:val="normal0"/>
        <w:spacing w:before="200" w:after="200"/>
        <w:rPr>
          <w:rFonts w:eastAsia="Arial" w:cs="Arial"/>
          <w:sz w:val="20"/>
          <w:szCs w:val="20"/>
        </w:rPr>
      </w:pPr>
      <w:r>
        <w:rPr>
          <w:rFonts w:eastAsia="Arial" w:cs="Arial"/>
          <w:sz w:val="20"/>
          <w:szCs w:val="20"/>
        </w:rPr>
        <w:t>The Chief Compliance Officer, when determining the large trader reporter status of KCD, will refer to Rule 13f-1(a)(6) under the Securities Exchange Act of 1934 to check whether certain transactions are excluded from the threshold calculations set forth above.</w:t>
      </w:r>
    </w:p>
    <w:p>
      <w:pPr>
        <w:pStyle w:val="normal0"/>
        <w:spacing w:before="200" w:after="200"/>
        <w:rPr>
          <w:rFonts w:eastAsia="Arial" w:cs="Arial"/>
          <w:sz w:val="20"/>
          <w:szCs w:val="20"/>
        </w:rPr>
      </w:pPr>
      <w:r>
        <w:rPr>
          <w:rFonts w:eastAsia="Arial" w:cs="Arial"/>
          <w:sz w:val="20"/>
          <w:szCs w:val="20"/>
        </w:rPr>
        <w:t>KCD may also voluntarily register with the SEC as a large trader.</w:t>
      </w:r>
    </w:p>
    <w:p>
      <w:pPr>
        <w:pStyle w:val="normal0"/>
        <w:spacing w:before="200" w:after="200"/>
        <w:rPr>
          <w:rFonts w:eastAsia="Arial" w:cs="Arial"/>
          <w:sz w:val="20"/>
          <w:szCs w:val="20"/>
        </w:rPr>
      </w:pPr>
      <w:r>
        <w:rPr>
          <w:rFonts w:eastAsia="Arial" w:cs="Arial"/>
          <w:sz w:val="20"/>
          <w:szCs w:val="20"/>
        </w:rPr>
        <w:t xml:space="preserve">If KCD meets the reporting threshold, it shall file for a Large Trader identification number (LTID) from the SEC. </w:t>
      </w:r>
    </w:p>
    <w:p>
      <w:bookmarkEnd w:id="895"/>
      <w:bookmarkStart w:id="896" w:name="Sec_Chp_061016102257046_06101611372"/>
    </w:p>
    <w:p>
      <w:pPr>
        <w:pStyle w:val="Heading4"/>
      </w:pPr>
      <w:r>
        <w:t>11.3.10.2 Parent Company and Aggregation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ultimate parent company of KCD shall have the filing obligation for purposes of Form 13H, which shall file on behalf of itself and all other entities that it controls. Control means the direct or indirect power to direct, or cause the direction of, the management and policies of a person. An entity that owns 25% or more of another entity is presumed to control such entity.</w:t>
      </w:r>
    </w:p>
    <w:p>
      <w:pPr>
        <w:pStyle w:val="normal0"/>
        <w:spacing w:before="200" w:after="200"/>
        <w:rPr>
          <w:rFonts w:eastAsia="Arial" w:cs="Arial"/>
          <w:sz w:val="20"/>
          <w:szCs w:val="20"/>
        </w:rPr>
      </w:pPr>
      <w:r>
        <w:rPr>
          <w:rFonts w:eastAsia="Arial" w:cs="Arial"/>
          <w:sz w:val="20"/>
          <w:szCs w:val="20"/>
        </w:rPr>
        <w:t xml:space="preserve">For purposes of determining whether KCD is a large trader, the aggregate trading activity of all controlled entities shall be collected and added together in accordance with the following: </w:t>
      </w:r>
    </w:p>
    <w:p>
      <w:pPr>
        <w:numPr>
          <w:ilvl w:val="0"/>
          <w:numId w:val="793"/>
        </w:numPr>
        <w:spacing w:before="200"/>
        <w:ind w:left="720" w:hanging="192"/>
        <w:jc w:val="left"/>
        <w:rPr>
          <w:rFonts w:eastAsia="Arial" w:cs="Arial"/>
          <w:sz w:val="20"/>
          <w:szCs w:val="20"/>
        </w:rPr>
      </w:pPr>
      <w:r>
        <w:rPr>
          <w:rFonts w:eastAsia="Arial" w:cs="Arial"/>
          <w:sz w:val="20"/>
          <w:szCs w:val="20"/>
        </w:rPr>
        <w:t>The volume or fair market value of transactions in equity securities and the volume or fair market value of the equity securities underlying transactions in options on equity securities, purchased and sold, shall be aggregated; and</w:t>
      </w:r>
    </w:p>
    <w:p>
      <w:pPr>
        <w:numPr>
          <w:ilvl w:val="0"/>
          <w:numId w:val="793"/>
        </w:numPr>
        <w:spacing w:after="200"/>
        <w:ind w:left="720" w:hanging="192"/>
        <w:jc w:val="left"/>
        <w:rPr>
          <w:rFonts w:eastAsia="Arial" w:cs="Arial"/>
          <w:sz w:val="20"/>
          <w:szCs w:val="20"/>
        </w:rPr>
      </w:pPr>
      <w:r>
        <w:rPr>
          <w:rFonts w:eastAsia="Arial" w:cs="Arial"/>
          <w:sz w:val="20"/>
          <w:szCs w:val="20"/>
        </w:rPr>
        <w:t>The fair market value of transactions in options on a group or index of equity securities (or based on the value thereof), purchased and sold, shall be aggregated.</w:t>
      </w:r>
    </w:p>
    <w:p>
      <w:pPr>
        <w:pStyle w:val="normal0"/>
        <w:spacing w:before="200" w:after="200"/>
        <w:rPr>
          <w:rFonts w:eastAsia="Arial" w:cs="Arial"/>
          <w:sz w:val="20"/>
          <w:szCs w:val="20"/>
        </w:rPr>
      </w:pPr>
      <w:r>
        <w:rPr>
          <w:rFonts w:eastAsia="Arial" w:cs="Arial"/>
          <w:sz w:val="20"/>
          <w:szCs w:val="20"/>
        </w:rPr>
        <w:t>KCD may not subtract, offset, or net purchase and sale transactions, in equity securities or option contracts, and among or within accounts, when aggregating the volume or fair market value of transactions.</w:t>
      </w:r>
    </w:p>
    <w:p>
      <w:bookmarkEnd w:id="896"/>
      <w:bookmarkStart w:id="897" w:name="Sec_Chp_061016102257046_06101611373"/>
    </w:p>
    <w:p>
      <w:pPr>
        <w:pStyle w:val="Heading4"/>
      </w:pPr>
      <w:r>
        <w:t>11.3.10.3 Form 13H Filing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meets the definition of "large trader," it will electronically file Form 13H with the SEC: </w:t>
      </w:r>
    </w:p>
    <w:p>
      <w:pPr>
        <w:numPr>
          <w:ilvl w:val="0"/>
          <w:numId w:val="794"/>
        </w:numPr>
        <w:spacing w:before="200"/>
        <w:ind w:left="720" w:hanging="192"/>
        <w:jc w:val="left"/>
        <w:rPr>
          <w:rFonts w:eastAsia="Arial" w:cs="Arial"/>
          <w:sz w:val="20"/>
          <w:szCs w:val="20"/>
        </w:rPr>
      </w:pPr>
      <w:r>
        <w:rPr>
          <w:rFonts w:eastAsia="Arial" w:cs="Arial"/>
          <w:b/>
          <w:bCs/>
          <w:sz w:val="20"/>
          <w:szCs w:val="20"/>
        </w:rPr>
        <w:t>Initial:</w:t>
      </w:r>
      <w:r>
        <w:rPr>
          <w:rFonts w:eastAsia="Arial" w:cs="Arial"/>
          <w:sz w:val="20"/>
          <w:szCs w:val="20"/>
        </w:rPr>
        <w:t xml:space="preserve"> promptly after first effecting aggregate transactions equal to or greater than the identifying activity level;</w:t>
      </w:r>
    </w:p>
    <w:p>
      <w:pPr>
        <w:numPr>
          <w:ilvl w:val="0"/>
          <w:numId w:val="794"/>
        </w:numPr>
        <w:ind w:left="720" w:hanging="192"/>
        <w:jc w:val="left"/>
        <w:rPr>
          <w:rFonts w:eastAsia="Arial" w:cs="Arial"/>
          <w:sz w:val="20"/>
          <w:szCs w:val="20"/>
        </w:rPr>
      </w:pPr>
      <w:r>
        <w:rPr>
          <w:rFonts w:eastAsia="Arial" w:cs="Arial"/>
          <w:b/>
          <w:bCs/>
          <w:sz w:val="20"/>
          <w:szCs w:val="20"/>
        </w:rPr>
        <w:t>Annual:</w:t>
      </w:r>
      <w:r>
        <w:rPr>
          <w:rFonts w:eastAsia="Arial" w:cs="Arial"/>
          <w:sz w:val="20"/>
          <w:szCs w:val="20"/>
        </w:rPr>
        <w:t xml:space="preserve"> within 45 days after the end of each full calendar year; and</w:t>
      </w:r>
    </w:p>
    <w:p>
      <w:pPr>
        <w:numPr>
          <w:ilvl w:val="0"/>
          <w:numId w:val="794"/>
        </w:numPr>
        <w:spacing w:after="200"/>
        <w:ind w:left="720" w:hanging="192"/>
        <w:jc w:val="left"/>
        <w:rPr>
          <w:rFonts w:eastAsia="Arial" w:cs="Arial"/>
          <w:sz w:val="20"/>
          <w:szCs w:val="20"/>
        </w:rPr>
      </w:pPr>
      <w:r>
        <w:rPr>
          <w:rFonts w:eastAsia="Arial" w:cs="Arial"/>
          <w:b/>
          <w:bCs/>
          <w:sz w:val="20"/>
          <w:szCs w:val="20"/>
        </w:rPr>
        <w:t>Amendment:</w:t>
      </w:r>
      <w:r>
        <w:rPr>
          <w:rFonts w:eastAsia="Arial" w:cs="Arial"/>
          <w:sz w:val="20"/>
          <w:szCs w:val="20"/>
        </w:rPr>
        <w:t xml:space="preserve"> promptly following the end of a calendar quarter in the event that any of the information contained in a Form 13H filing becomes inaccurate for any reason.</w:t>
      </w:r>
    </w:p>
    <w:p>
      <w:bookmarkEnd w:id="897"/>
      <w:bookmarkStart w:id="898" w:name="Sec_Chp_061016102257046_06101611374"/>
    </w:p>
    <w:p>
      <w:pPr>
        <w:pStyle w:val="Heading4"/>
      </w:pPr>
      <w:r>
        <w:t>11.3.10.4 Broker-Dealer Disclosure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a large trader, it will disclose to the registered broker-dealers, effecting transactions on its behalf, its large trader identification number and each account to which it applies.</w:t>
      </w:r>
    </w:p>
    <w:p>
      <w:bookmarkEnd w:id="898"/>
      <w:bookmarkStart w:id="899" w:name="Sec_Chp_061016102257046_06101611375"/>
    </w:p>
    <w:p>
      <w:pPr>
        <w:pStyle w:val="Heading4"/>
      </w:pPr>
      <w:r>
        <w:t>11.3.10.5 Inactive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currently reporting as a large trader but has not effected aggregate transactions at any time during the previous full calendar year in an amount equal to or greater than the "identifying activity level," it will file an amended Form 13H and deem itself inactive on that form.</w:t>
      </w:r>
    </w:p>
    <w:p>
      <w:bookmarkEnd w:id="899"/>
      <w:bookmarkStart w:id="900" w:name="Sec_Chp_061016102257046_0610161138"/>
    </w:p>
    <w:p>
      <w:pPr>
        <w:pStyle w:val="Heading3"/>
      </w:pPr>
      <w:bookmarkStart w:id="901" w:name="_Toc256000225"/>
      <w:r>
        <w:t>11.3.11 Hedge Fund Adviser Filings</w:t>
      </w:r>
      <w:bookmarkEnd w:id="901"/>
    </w:p>
    <w:p/>
    <w:p>
      <w:pPr>
        <w:rPr>
          <w:rFonts w:eastAsia="Arial" w:cs="Arial"/>
          <w:sz w:val="16"/>
          <w:szCs w:val="16"/>
        </w:rPr>
      </w:pPr>
      <w:r>
        <w:rPr>
          <w:rFonts w:eastAsia="Arial" w:cs="Arial"/>
          <w:sz w:val="16"/>
          <w:szCs w:val="16"/>
        </w:rPr>
        <w:t>[Investment Advisers Act of 1940 Rule 204(b)-1]</w:t>
      </w:r>
    </w:p>
    <w:p/>
    <w:p>
      <w:pPr>
        <w:pStyle w:val="normal0"/>
        <w:spacing w:after="200"/>
        <w:rPr>
          <w:rFonts w:eastAsia="Arial" w:cs="Arial"/>
          <w:sz w:val="20"/>
          <w:szCs w:val="20"/>
        </w:rPr>
      </w:pPr>
      <w:r>
        <w:rPr>
          <w:rFonts w:eastAsia="Arial" w:cs="Arial"/>
          <w:sz w:val="20"/>
          <w:szCs w:val="20"/>
        </w:rPr>
        <w:t>Form PF and Rule 204(b)-1 require SEC-registered investment advisers with at least $150 million in private fund assets under management to periodically file a new reporting form (Form PF). Private fund advisers are divided by size into two broad groups - large advisers and smaller advisers. The amount of information reported and the frequency of reporting depends on the group to which the adviser belongs.</w:t>
      </w:r>
    </w:p>
    <w:p>
      <w:pPr>
        <w:pStyle w:val="normal0"/>
        <w:spacing w:before="200" w:after="200"/>
        <w:rPr>
          <w:rFonts w:eastAsia="Arial" w:cs="Arial"/>
          <w:sz w:val="20"/>
          <w:szCs w:val="20"/>
        </w:rPr>
      </w:pPr>
      <w:r>
        <w:rPr>
          <w:rFonts w:eastAsia="Arial" w:cs="Arial"/>
          <w:sz w:val="20"/>
          <w:szCs w:val="20"/>
        </w:rPr>
        <w:t>On June 11, 2025, the SEC extended the compliance date for Form PF amendments adopted on February 8, 2024. The new compliance date is October 1, 2025, which represents an over 6-month extension of the original deadline set for March 12, 2025. KCD will comply by using the amended Form PF for all filings on or after October 1, 2025.</w:t>
      </w:r>
    </w:p>
    <w:p>
      <w:bookmarkEnd w:id="900"/>
      <w:bookmarkStart w:id="902" w:name="Sec_Chp_061016102257046_06101611381"/>
    </w:p>
    <w:p>
      <w:pPr>
        <w:pStyle w:val="Heading4"/>
      </w:pPr>
      <w:r>
        <w:t>11.3.11.1 Form PF Filer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will monitor whether KCD is a Form PF filer. KCD is required to file Form PF if:</w:t>
      </w:r>
    </w:p>
    <w:p>
      <w:pPr>
        <w:numPr>
          <w:ilvl w:val="0"/>
          <w:numId w:val="795"/>
        </w:numPr>
        <w:spacing w:before="200"/>
        <w:ind w:left="720" w:hanging="192"/>
        <w:jc w:val="left"/>
        <w:rPr>
          <w:rFonts w:eastAsia="Arial" w:cs="Arial"/>
          <w:sz w:val="20"/>
          <w:szCs w:val="20"/>
        </w:rPr>
      </w:pPr>
      <w:r>
        <w:rPr>
          <w:rFonts w:eastAsia="Arial" w:cs="Arial"/>
          <w:sz w:val="20"/>
          <w:szCs w:val="20"/>
        </w:rPr>
        <w:t>It is registered or required to register with the SEC as an investment adviser or it is registered or required to register with the CFTC as a CPO or CTA and it is also registered or required to register with the SEC as an investment adviser;</w:t>
      </w:r>
    </w:p>
    <w:p>
      <w:pPr>
        <w:numPr>
          <w:ilvl w:val="0"/>
          <w:numId w:val="795"/>
        </w:numPr>
        <w:ind w:left="720" w:hanging="192"/>
        <w:jc w:val="left"/>
        <w:rPr>
          <w:rFonts w:eastAsia="Arial" w:cs="Arial"/>
          <w:sz w:val="20"/>
          <w:szCs w:val="20"/>
        </w:rPr>
      </w:pPr>
      <w:r>
        <w:rPr>
          <w:rFonts w:eastAsia="Arial" w:cs="Arial"/>
          <w:sz w:val="20"/>
          <w:szCs w:val="20"/>
        </w:rPr>
        <w:t>KCD manages one or more private funds; and</w:t>
      </w:r>
    </w:p>
    <w:p>
      <w:pPr>
        <w:numPr>
          <w:ilvl w:val="0"/>
          <w:numId w:val="795"/>
        </w:numPr>
        <w:spacing w:after="200"/>
        <w:ind w:left="720" w:hanging="192"/>
        <w:jc w:val="left"/>
        <w:rPr>
          <w:rFonts w:eastAsia="Arial" w:cs="Arial"/>
          <w:sz w:val="20"/>
          <w:szCs w:val="20"/>
        </w:rPr>
      </w:pPr>
      <w:r>
        <w:rPr>
          <w:rFonts w:eastAsia="Arial" w:cs="Arial"/>
          <w:sz w:val="20"/>
          <w:szCs w:val="20"/>
        </w:rPr>
        <w:t>KCD and related persons, collectively, had at least $150 million in private fund assets under management as of the last day of KCD's most recently completed fiscal year.</w:t>
      </w:r>
    </w:p>
    <w:p>
      <w:bookmarkEnd w:id="902"/>
      <w:bookmarkStart w:id="903" w:name="Sec_Chp_061016102257046_06101611382"/>
    </w:p>
    <w:p>
      <w:pPr>
        <w:pStyle w:val="Heading4"/>
      </w:pPr>
      <w:r>
        <w:t>11.3.11.2 Filer Type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the CCO will determine what type of Form PF Filer KCD is:</w:t>
      </w:r>
    </w:p>
    <w:p>
      <w:pPr>
        <w:numPr>
          <w:ilvl w:val="0"/>
          <w:numId w:val="796"/>
        </w:numPr>
        <w:spacing w:before="200"/>
        <w:ind w:left="720" w:hanging="267"/>
        <w:jc w:val="left"/>
        <w:rPr>
          <w:rFonts w:eastAsia="Arial" w:cs="Arial"/>
          <w:sz w:val="20"/>
          <w:szCs w:val="20"/>
        </w:rPr>
      </w:pPr>
      <w:r>
        <w:rPr>
          <w:rFonts w:eastAsia="Arial" w:cs="Arial"/>
          <w:b/>
          <w:bCs/>
          <w:sz w:val="20"/>
          <w:szCs w:val="20"/>
        </w:rPr>
        <w:t>Large Hedge Fund Adviser:</w:t>
      </w:r>
      <w:r>
        <w:rPr>
          <w:rFonts w:eastAsia="Arial" w:cs="Arial"/>
          <w:sz w:val="20"/>
          <w:szCs w:val="20"/>
        </w:rPr>
        <w:t xml:space="preserve"> The Firm and its Related Persons collectively had at least $1.5 billion in hedge fund assets under management as of the last day of any month in the fiscal quarter immediately preceding KCD's most recently completed fiscal quarter. KCD is not required to include the regulatory assets under management of any Related Person that is separately operated.</w:t>
      </w:r>
    </w:p>
    <w:p>
      <w:pPr>
        <w:numPr>
          <w:ilvl w:val="0"/>
          <w:numId w:val="796"/>
        </w:numPr>
        <w:ind w:left="720" w:hanging="267"/>
        <w:jc w:val="left"/>
        <w:rPr>
          <w:rFonts w:eastAsia="Arial" w:cs="Arial"/>
          <w:sz w:val="20"/>
          <w:szCs w:val="20"/>
        </w:rPr>
      </w:pPr>
      <w:r>
        <w:rPr>
          <w:rFonts w:eastAsia="Arial" w:cs="Arial"/>
          <w:b/>
          <w:bCs/>
          <w:sz w:val="20"/>
          <w:szCs w:val="20"/>
        </w:rPr>
        <w:t>Large Liquidity Fund Adviser:</w:t>
      </w:r>
      <w:r>
        <w:rPr>
          <w:rFonts w:eastAsia="Arial" w:cs="Arial"/>
          <w:sz w:val="20"/>
          <w:szCs w:val="20"/>
        </w:rPr>
        <w:t xml:space="preserve"> The Firm advises one or more Liquidity Funds and as of the last day of any month in the fiscal quarter immediately preceding its most recently completed fiscal quarter, KCD and its Related Persons, collectively, had at least $1 billion in combined money market and Liquidity Fund assets under management. KCD is not required to include the regulatory assets under management of any Related Person that is separately operated.</w:t>
      </w:r>
    </w:p>
    <w:p>
      <w:pPr>
        <w:numPr>
          <w:ilvl w:val="0"/>
          <w:numId w:val="796"/>
        </w:numPr>
        <w:spacing w:after="200"/>
        <w:ind w:left="720" w:hanging="267"/>
        <w:jc w:val="left"/>
        <w:rPr>
          <w:rFonts w:eastAsia="Arial" w:cs="Arial"/>
          <w:sz w:val="20"/>
          <w:szCs w:val="20"/>
        </w:rPr>
      </w:pPr>
      <w:r>
        <w:rPr>
          <w:rFonts w:eastAsia="Arial" w:cs="Arial"/>
          <w:b/>
          <w:bCs/>
          <w:sz w:val="20"/>
          <w:szCs w:val="20"/>
        </w:rPr>
        <w:t>Large Private Equity Adviser:</w:t>
      </w:r>
      <w:r>
        <w:rPr>
          <w:rFonts w:eastAsia="Arial" w:cs="Arial"/>
          <w:sz w:val="20"/>
          <w:szCs w:val="20"/>
        </w:rPr>
        <w:t xml:space="preserve"> The Firm and its Related Persons, collectively, had at least $2 billion in Private Equity Fund assets under management as of the last day of its most recently completed fiscal year. KCD is not required to include the regulatory assets under management of any Related Person that is separately operated.</w:t>
      </w:r>
    </w:p>
    <w:p>
      <w:bookmarkEnd w:id="903"/>
      <w:bookmarkStart w:id="904" w:name="Sec_Chp_061016102257046_06101611383"/>
    </w:p>
    <w:p>
      <w:pPr>
        <w:pStyle w:val="Heading4"/>
      </w:pPr>
      <w:r>
        <w:t>11.3.11.3 Private Fund Identifier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obtain an identification number for each Private Fund for purposes of reporting on Form ADV and Form PF. Private fund identification numbers can only be obtained by filing Form ADV.</w:t>
      </w:r>
    </w:p>
    <w:p>
      <w:bookmarkEnd w:id="904"/>
      <w:bookmarkStart w:id="905" w:name="Sec_Chp_061016102257046_06101611384"/>
    </w:p>
    <w:p>
      <w:pPr>
        <w:pStyle w:val="Heading4"/>
      </w:pPr>
      <w:r>
        <w:t>11.3.11.4 Form PF Definitions</w:t>
      </w:r>
    </w:p>
    <w:p/>
    <w:p>
      <w:pPr>
        <w:rPr>
          <w:rFonts w:eastAsia="Arial" w:cs="Arial"/>
          <w:sz w:val="16"/>
          <w:szCs w:val="16"/>
        </w:rPr>
      </w:pPr>
    </w:p>
    <w:p>
      <w:pPr>
        <w:pStyle w:val="normal0"/>
        <w:spacing w:after="200"/>
        <w:rPr>
          <w:rFonts w:eastAsia="Arial" w:cs="Arial"/>
          <w:sz w:val="20"/>
          <w:szCs w:val="20"/>
        </w:rPr>
      </w:pPr>
      <w:r>
        <w:rPr>
          <w:rFonts w:eastAsia="Arial" w:cs="Arial"/>
          <w:b/>
          <w:bCs/>
          <w:sz w:val="20"/>
          <w:szCs w:val="20"/>
        </w:rPr>
        <w:t>Liquidity Fund:</w:t>
      </w:r>
      <w:r>
        <w:rPr>
          <w:rFonts w:eastAsia="Arial" w:cs="Arial"/>
          <w:sz w:val="20"/>
          <w:szCs w:val="20"/>
        </w:rPr>
        <w:t xml:space="preserve"> any private fund that seeks to generate income by investing in a portfolio of short term obligations in order to maintain a stable net asset value per unit or minimize principal volatility for investors.</w:t>
      </w:r>
    </w:p>
    <w:p>
      <w:pPr>
        <w:pStyle w:val="normal0"/>
        <w:spacing w:before="200" w:after="200"/>
        <w:rPr>
          <w:rFonts w:eastAsia="Arial" w:cs="Arial"/>
          <w:sz w:val="20"/>
          <w:szCs w:val="20"/>
        </w:rPr>
      </w:pPr>
      <w:r>
        <w:rPr>
          <w:rFonts w:eastAsia="Arial" w:cs="Arial"/>
          <w:b/>
          <w:bCs/>
          <w:sz w:val="20"/>
          <w:szCs w:val="20"/>
        </w:rPr>
        <w:t>Private Equity Fund:</w:t>
      </w:r>
      <w:r>
        <w:rPr>
          <w:rFonts w:eastAsia="Arial" w:cs="Arial"/>
          <w:sz w:val="20"/>
          <w:szCs w:val="20"/>
        </w:rPr>
        <w:t xml:space="preserve"> any private fund that is not a hedge fund, liquidity fund, real estate fund, securitized asset fund or venture capital fund and does not provide investors with redemption rights in the ordinary course.</w:t>
      </w:r>
    </w:p>
    <w:p>
      <w:pPr>
        <w:pStyle w:val="normal0"/>
        <w:spacing w:before="200" w:after="200"/>
        <w:rPr>
          <w:rFonts w:eastAsia="Arial" w:cs="Arial"/>
          <w:sz w:val="20"/>
          <w:szCs w:val="20"/>
        </w:rPr>
      </w:pPr>
      <w:r>
        <w:rPr>
          <w:rFonts w:eastAsia="Arial" w:cs="Arial"/>
          <w:b/>
          <w:bCs/>
          <w:sz w:val="20"/>
          <w:szCs w:val="20"/>
        </w:rPr>
        <w:t>Private Fund:</w:t>
      </w:r>
      <w:r>
        <w:rPr>
          <w:rFonts w:eastAsia="Arial" w:cs="Arial"/>
          <w:sz w:val="20"/>
          <w:szCs w:val="20"/>
        </w:rPr>
        <w:t xml:space="preserve"> any issuer that would be an investment company as defined in section 3 of the Investment Company Act of 1940 but for section 3(c)(1) or 3(c)(7) of that Act.</w:t>
      </w:r>
    </w:p>
    <w:p>
      <w:pPr>
        <w:pStyle w:val="normal0"/>
        <w:spacing w:before="200" w:after="200"/>
        <w:rPr>
          <w:rFonts w:eastAsia="Arial" w:cs="Arial"/>
          <w:sz w:val="20"/>
          <w:szCs w:val="20"/>
        </w:rPr>
      </w:pPr>
      <w:r>
        <w:rPr>
          <w:rFonts w:eastAsia="Arial" w:cs="Arial"/>
          <w:b/>
          <w:bCs/>
          <w:sz w:val="20"/>
          <w:szCs w:val="20"/>
        </w:rPr>
        <w:t>Related Persons:</w:t>
      </w:r>
      <w:r>
        <w:rPr>
          <w:rFonts w:eastAsia="Arial" w:cs="Arial"/>
          <w:sz w:val="20"/>
          <w:szCs w:val="20"/>
        </w:rPr>
        <w:t xml:space="preserve"> the persons KCD lists as such in its Form ADV.</w:t>
      </w:r>
    </w:p>
    <w:p>
      <w:bookmarkEnd w:id="905"/>
      <w:bookmarkStart w:id="906" w:name="Sec_Chp_061016102257046_06101611385"/>
    </w:p>
    <w:p>
      <w:pPr>
        <w:pStyle w:val="Heading4"/>
      </w:pPr>
      <w:r>
        <w:t>11.3.11.5 Form PF Sections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complete the applicable sections of Form PH:</w:t>
      </w:r>
    </w:p>
    <w:p>
      <w:pPr>
        <w:numPr>
          <w:ilvl w:val="0"/>
          <w:numId w:val="797"/>
        </w:numPr>
        <w:spacing w:before="200"/>
        <w:ind w:left="720" w:hanging="192"/>
        <w:jc w:val="left"/>
        <w:rPr>
          <w:rFonts w:eastAsia="Arial" w:cs="Arial"/>
          <w:sz w:val="20"/>
          <w:szCs w:val="20"/>
        </w:rPr>
      </w:pPr>
      <w:r>
        <w:rPr>
          <w:rFonts w:eastAsia="Arial" w:cs="Arial"/>
          <w:sz w:val="20"/>
          <w:szCs w:val="20"/>
        </w:rPr>
        <w:t>Section 1 - All Form PF filers</w:t>
      </w:r>
    </w:p>
    <w:p>
      <w:pPr>
        <w:numPr>
          <w:ilvl w:val="0"/>
          <w:numId w:val="797"/>
        </w:numPr>
        <w:ind w:left="720" w:hanging="192"/>
        <w:jc w:val="left"/>
        <w:rPr>
          <w:rFonts w:eastAsia="Arial" w:cs="Arial"/>
          <w:sz w:val="20"/>
          <w:szCs w:val="20"/>
        </w:rPr>
      </w:pPr>
      <w:r>
        <w:rPr>
          <w:rFonts w:eastAsia="Arial" w:cs="Arial"/>
          <w:sz w:val="20"/>
          <w:szCs w:val="20"/>
        </w:rPr>
        <w:t>Section 2 - Only Large Hedge Fund Advisers</w:t>
      </w:r>
    </w:p>
    <w:p>
      <w:pPr>
        <w:numPr>
          <w:ilvl w:val="0"/>
          <w:numId w:val="797"/>
        </w:numPr>
        <w:ind w:left="720" w:hanging="192"/>
        <w:jc w:val="left"/>
        <w:rPr>
          <w:rFonts w:eastAsia="Arial" w:cs="Arial"/>
          <w:sz w:val="20"/>
          <w:szCs w:val="20"/>
        </w:rPr>
      </w:pPr>
      <w:r>
        <w:rPr>
          <w:rFonts w:eastAsia="Arial" w:cs="Arial"/>
          <w:sz w:val="20"/>
          <w:szCs w:val="20"/>
        </w:rPr>
        <w:t>Section 3 - Large liquidity fund advisers</w:t>
      </w:r>
    </w:p>
    <w:p>
      <w:pPr>
        <w:numPr>
          <w:ilvl w:val="0"/>
          <w:numId w:val="797"/>
        </w:numPr>
        <w:spacing w:after="200"/>
        <w:ind w:left="720" w:hanging="192"/>
        <w:jc w:val="left"/>
        <w:rPr>
          <w:rFonts w:eastAsia="Arial" w:cs="Arial"/>
          <w:sz w:val="20"/>
          <w:szCs w:val="20"/>
        </w:rPr>
      </w:pPr>
      <w:r>
        <w:rPr>
          <w:rFonts w:eastAsia="Arial" w:cs="Arial"/>
          <w:sz w:val="20"/>
          <w:szCs w:val="20"/>
        </w:rPr>
        <w:t>Section 4 - Large private equity advisers</w:t>
      </w:r>
    </w:p>
    <w:p>
      <w:bookmarkEnd w:id="906"/>
      <w:bookmarkStart w:id="907" w:name="Sec_Chp_061016102257046_06101611386"/>
    </w:p>
    <w:p>
      <w:pPr>
        <w:pStyle w:val="Heading4"/>
      </w:pPr>
      <w:r>
        <w:t>11.3.11.6 Filing Requirements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file Form PF electronically through the Form PF filing system on the Investment Adviser Registration Depository website (www.iard.com). Questions regarding filing through the Form PF filing system will be addressed to the Financial Industry Regulatory Authority (FINRA) at 240-386-4848.</w:t>
      </w:r>
    </w:p>
    <w:p>
      <w:pPr>
        <w:pStyle w:val="normal0"/>
        <w:spacing w:before="200" w:after="200"/>
        <w:rPr>
          <w:rFonts w:eastAsia="Arial" w:cs="Arial"/>
          <w:sz w:val="20"/>
          <w:szCs w:val="20"/>
        </w:rPr>
      </w:pPr>
      <w:r>
        <w:rPr>
          <w:rFonts w:eastAsia="Arial" w:cs="Arial"/>
          <w:sz w:val="20"/>
          <w:szCs w:val="20"/>
        </w:rPr>
        <w:t xml:space="preserve">If KCD manages one or more large hedge funds (reporting hedge funds), it will comply with Section 5 of Form PF regarding its current reporting requirements. Specifically, KCD will comply with Items A through J. </w:t>
      </w:r>
    </w:p>
    <w:p>
      <w:pPr>
        <w:pStyle w:val="normal0"/>
        <w:spacing w:before="200" w:after="200"/>
        <w:rPr>
          <w:rFonts w:eastAsia="Arial" w:cs="Arial"/>
          <w:sz w:val="20"/>
          <w:szCs w:val="20"/>
        </w:rPr>
      </w:pPr>
      <w:r>
        <w:rPr>
          <w:rFonts w:eastAsia="Arial" w:cs="Arial"/>
          <w:sz w:val="20"/>
          <w:szCs w:val="20"/>
        </w:rPr>
        <w:t>If accurate, KCD as required by Item A will identify itself and the reporting hedge fund as a large hedge fund adviser, including providing the reporting hedge fund's:</w:t>
      </w:r>
    </w:p>
    <w:p>
      <w:pPr>
        <w:numPr>
          <w:ilvl w:val="0"/>
          <w:numId w:val="798"/>
        </w:numPr>
        <w:spacing w:before="200"/>
        <w:ind w:left="720" w:hanging="192"/>
        <w:jc w:val="left"/>
        <w:rPr>
          <w:rFonts w:eastAsia="Arial" w:cs="Arial"/>
          <w:sz w:val="20"/>
          <w:szCs w:val="20"/>
        </w:rPr>
      </w:pPr>
      <w:r>
        <w:rPr>
          <w:rFonts w:eastAsia="Arial" w:cs="Arial"/>
          <w:sz w:val="20"/>
          <w:szCs w:val="20"/>
        </w:rPr>
        <w:t>name</w:t>
      </w:r>
    </w:p>
    <w:p>
      <w:pPr>
        <w:numPr>
          <w:ilvl w:val="0"/>
          <w:numId w:val="798"/>
        </w:numPr>
        <w:ind w:left="720" w:hanging="192"/>
        <w:jc w:val="left"/>
        <w:rPr>
          <w:rFonts w:eastAsia="Arial" w:cs="Arial"/>
          <w:sz w:val="20"/>
          <w:szCs w:val="20"/>
        </w:rPr>
      </w:pPr>
      <w:r>
        <w:rPr>
          <w:rFonts w:eastAsia="Arial" w:cs="Arial"/>
          <w:sz w:val="20"/>
          <w:szCs w:val="20"/>
        </w:rPr>
        <w:t>private fund identification number</w:t>
      </w:r>
    </w:p>
    <w:p>
      <w:pPr>
        <w:numPr>
          <w:ilvl w:val="0"/>
          <w:numId w:val="798"/>
        </w:numPr>
        <w:ind w:left="720" w:hanging="192"/>
        <w:jc w:val="left"/>
        <w:rPr>
          <w:rFonts w:eastAsia="Arial" w:cs="Arial"/>
          <w:sz w:val="20"/>
          <w:szCs w:val="20"/>
        </w:rPr>
      </w:pPr>
      <w:r>
        <w:rPr>
          <w:rFonts w:eastAsia="Arial" w:cs="Arial"/>
          <w:sz w:val="20"/>
          <w:szCs w:val="20"/>
        </w:rPr>
        <w:t>National Futures Association identification number (if any), and</w:t>
      </w:r>
    </w:p>
    <w:p>
      <w:pPr>
        <w:numPr>
          <w:ilvl w:val="0"/>
          <w:numId w:val="798"/>
        </w:numPr>
        <w:spacing w:after="200"/>
        <w:ind w:left="720" w:hanging="192"/>
        <w:jc w:val="left"/>
        <w:rPr>
          <w:rFonts w:eastAsia="Arial" w:cs="Arial"/>
          <w:sz w:val="20"/>
          <w:szCs w:val="20"/>
        </w:rPr>
      </w:pPr>
      <w:r>
        <w:rPr>
          <w:rFonts w:eastAsia="Arial" w:cs="Arial"/>
          <w:sz w:val="20"/>
          <w:szCs w:val="20"/>
        </w:rPr>
        <w:t>Legal Entity Identifier (if any).</w:t>
      </w:r>
    </w:p>
    <w:p>
      <w:pPr>
        <w:pStyle w:val="normal0"/>
        <w:spacing w:before="200" w:after="200"/>
        <w:rPr>
          <w:rFonts w:eastAsia="Arial" w:cs="Arial"/>
          <w:sz w:val="20"/>
          <w:szCs w:val="20"/>
        </w:rPr>
      </w:pPr>
      <w:r>
        <w:rPr>
          <w:rFonts w:eastAsia="Arial" w:cs="Arial"/>
          <w:sz w:val="20"/>
          <w:szCs w:val="20"/>
        </w:rPr>
        <w:t>If a large hedge fund adviser to one or more qualifying hedge funds, KCD shall report as soon as practicable, but no later than 72 hours, upon the occurrence of any events specified in Form PF including:</w:t>
      </w:r>
    </w:p>
    <w:p>
      <w:pPr>
        <w:numPr>
          <w:ilvl w:val="0"/>
          <w:numId w:val="799"/>
        </w:numPr>
        <w:spacing w:before="200"/>
        <w:ind w:left="720" w:hanging="192"/>
        <w:jc w:val="left"/>
        <w:rPr>
          <w:rFonts w:eastAsia="Arial" w:cs="Arial"/>
          <w:sz w:val="20"/>
          <w:szCs w:val="20"/>
        </w:rPr>
      </w:pPr>
      <w:r>
        <w:rPr>
          <w:rFonts w:eastAsia="Arial" w:cs="Arial"/>
          <w:sz w:val="20"/>
          <w:szCs w:val="20"/>
        </w:rPr>
        <w:t xml:space="preserve">a reporting hedge fund experiencing extraordinary losses within a short period of time. An "extraordinary loss" is an investment loss equal to or greater than 20% of a reporting hedge fund's "reporting fund aggregate calculated value" or "RFACV." RFACV is every position in the reporting hedge fund's portfolio, including cash and cash equivalents, short positions and any fund borrowings, with the most recent price or value applied to the position for purposes of managing the investment portfolio. RFACV may be calculated using KCD's own methodologies and conventions of KCD's service providers (provided that these are consistent with information reported internally); </w:t>
      </w:r>
    </w:p>
    <w:p>
      <w:pPr>
        <w:numPr>
          <w:ilvl w:val="0"/>
          <w:numId w:val="799"/>
        </w:numPr>
        <w:ind w:left="720" w:hanging="192"/>
        <w:jc w:val="left"/>
        <w:rPr>
          <w:rFonts w:eastAsia="Arial" w:cs="Arial"/>
          <w:sz w:val="20"/>
          <w:szCs w:val="20"/>
        </w:rPr>
      </w:pPr>
      <w:r>
        <w:rPr>
          <w:rFonts w:eastAsia="Arial" w:cs="Arial"/>
          <w:sz w:val="20"/>
          <w:szCs w:val="20"/>
        </w:rPr>
        <w:t xml:space="preserve">a significant margin and default events that occur at a reporting hedge fund advised by KCD or at the reporting hedge fund's counterparties such as: </w:t>
      </w:r>
    </w:p>
    <w:p>
      <w:pPr>
        <w:numPr>
          <w:ilvl w:val="1"/>
          <w:numId w:val="799"/>
        </w:numPr>
        <w:ind w:left="1440" w:hanging="220"/>
        <w:jc w:val="left"/>
        <w:rPr>
          <w:rFonts w:eastAsia="Arial" w:cs="Arial"/>
          <w:sz w:val="20"/>
          <w:szCs w:val="20"/>
        </w:rPr>
      </w:pPr>
      <w:r>
        <w:rPr>
          <w:rFonts w:eastAsia="Arial" w:cs="Arial"/>
          <w:sz w:val="20"/>
          <w:szCs w:val="20"/>
        </w:rPr>
        <w:t xml:space="preserve">an increase in the dollar value of the margin, collateral, or their functional equivalent posted by a reporting hedge fund at the beginning of a given rolling ten-day business day period that is greater or equal to 20% of the reporting hedge fund's daily RFACV during the period; </w:t>
      </w:r>
    </w:p>
    <w:p>
      <w:pPr>
        <w:numPr>
          <w:ilvl w:val="1"/>
          <w:numId w:val="799"/>
        </w:numPr>
        <w:ind w:left="1440" w:hanging="220"/>
        <w:jc w:val="left"/>
        <w:rPr>
          <w:rFonts w:eastAsia="Arial" w:cs="Arial"/>
          <w:sz w:val="20"/>
          <w:szCs w:val="20"/>
        </w:rPr>
      </w:pPr>
      <w:r>
        <w:rPr>
          <w:rFonts w:eastAsia="Arial" w:cs="Arial"/>
          <w:sz w:val="20"/>
          <w:szCs w:val="20"/>
        </w:rPr>
        <w:t>a reporting hedge fund's margin default or inability to meet a call for margin, collateral, or an equivalent (taking into account any contractually agreed cure period); and</w:t>
      </w:r>
    </w:p>
    <w:p>
      <w:pPr>
        <w:numPr>
          <w:ilvl w:val="1"/>
          <w:numId w:val="799"/>
        </w:numPr>
        <w:ind w:left="1440" w:hanging="220"/>
        <w:jc w:val="left"/>
        <w:rPr>
          <w:rFonts w:eastAsia="Arial" w:cs="Arial"/>
          <w:sz w:val="20"/>
          <w:szCs w:val="20"/>
        </w:rPr>
      </w:pPr>
      <w:r>
        <w:rPr>
          <w:rFonts w:eastAsia="Arial" w:cs="Arial"/>
          <w:sz w:val="20"/>
          <w:szCs w:val="20"/>
        </w:rPr>
        <w:t xml:space="preserve">a counterparty default and the amount involved is greater than 5% of the reporting hedge fund's RFACV. </w:t>
      </w:r>
    </w:p>
    <w:p>
      <w:pPr>
        <w:numPr>
          <w:ilvl w:val="0"/>
          <w:numId w:val="799"/>
        </w:numPr>
        <w:ind w:left="720" w:hanging="192"/>
        <w:jc w:val="left"/>
        <w:rPr>
          <w:rFonts w:eastAsia="Arial" w:cs="Arial"/>
          <w:sz w:val="20"/>
          <w:szCs w:val="20"/>
        </w:rPr>
      </w:pPr>
      <w:r>
        <w:rPr>
          <w:rFonts w:eastAsia="Arial" w:cs="Arial"/>
          <w:sz w:val="20"/>
          <w:szCs w:val="20"/>
        </w:rPr>
        <w:t xml:space="preserve">a prime broker terminating its agreement or materially restricting its relationship with the reporting hedge fund in whole or in part in markets where that prime broker remains active; </w:t>
      </w:r>
    </w:p>
    <w:p>
      <w:pPr>
        <w:numPr>
          <w:ilvl w:val="0"/>
          <w:numId w:val="799"/>
        </w:numPr>
        <w:ind w:left="720" w:hanging="192"/>
        <w:jc w:val="left"/>
        <w:rPr>
          <w:rFonts w:eastAsia="Arial" w:cs="Arial"/>
          <w:sz w:val="20"/>
          <w:szCs w:val="20"/>
        </w:rPr>
      </w:pPr>
      <w:r>
        <w:rPr>
          <w:rFonts w:eastAsia="Arial" w:cs="Arial"/>
          <w:sz w:val="20"/>
          <w:szCs w:val="20"/>
        </w:rPr>
        <w:t>significant disrupts of critical operations. These are operations necessary for (i) the investment, trading, valuation, reporting, and risk management of the reporting hedge fund; or (ii) the operation of the reporting hedge fund in accordance with the federal securities laws and regulations. Such disruptions could arise out of an event impacting KCD, the reporting hedge fund, or a service provider of the reporting hedge fund;</w:t>
      </w:r>
    </w:p>
    <w:p>
      <w:pPr>
        <w:numPr>
          <w:ilvl w:val="0"/>
          <w:numId w:val="799"/>
        </w:numPr>
        <w:ind w:left="720" w:hanging="192"/>
        <w:jc w:val="left"/>
        <w:rPr>
          <w:rFonts w:eastAsia="Arial" w:cs="Arial"/>
          <w:sz w:val="20"/>
          <w:szCs w:val="20"/>
        </w:rPr>
      </w:pPr>
      <w:r>
        <w:rPr>
          <w:rFonts w:eastAsia="Arial" w:cs="Arial"/>
          <w:sz w:val="20"/>
          <w:szCs w:val="20"/>
        </w:rPr>
        <w:t>large withdrawal requests; i.e., if the reporting hedge fund receives cumulative requests for withdrawals or redemption greater than 50% of the reporting hedge fund's most recent NAV (net of subscriptions or other contributions from investors); or</w:t>
      </w:r>
    </w:p>
    <w:p>
      <w:pPr>
        <w:numPr>
          <w:ilvl w:val="0"/>
          <w:numId w:val="799"/>
        </w:numPr>
        <w:spacing w:after="200"/>
        <w:ind w:left="720" w:hanging="192"/>
        <w:jc w:val="left"/>
        <w:rPr>
          <w:rFonts w:eastAsia="Arial" w:cs="Arial"/>
          <w:sz w:val="20"/>
          <w:szCs w:val="20"/>
        </w:rPr>
      </w:pPr>
      <w:r>
        <w:rPr>
          <w:rFonts w:eastAsia="Arial" w:cs="Arial"/>
          <w:sz w:val="20"/>
          <w:szCs w:val="20"/>
        </w:rPr>
        <w:t>inability to satisfy redemptions or withdrawals; i.e., KCD is required to report any instance in which a reporting hedge fund is either (i) unable to pay redemption requests or (ii) has suspended redemptions and the suspension lasts for more than 5 business days.</w:t>
      </w:r>
    </w:p>
    <w:p>
      <w:bookmarkEnd w:id="907"/>
      <w:bookmarkStart w:id="908" w:name="Sec_Chp_061016102257046_06101611387"/>
    </w:p>
    <w:p>
      <w:pPr>
        <w:pStyle w:val="Heading4"/>
      </w:pPr>
      <w:r>
        <w:t>11.3.11.7 Filing Fees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filing Form PF, KCD will pay the applicable filing fee. The Form PF filing fee schedule is available at http://www.sec.gov/iard and http://www.iard.com.</w:t>
      </w:r>
    </w:p>
    <w:p>
      <w:bookmarkEnd w:id="908"/>
      <w:bookmarkStart w:id="909" w:name="Sec_Chp_061016102257046_06101611388"/>
    </w:p>
    <w:p>
      <w:pPr>
        <w:pStyle w:val="Heading4"/>
      </w:pPr>
      <w:r>
        <w:t>11.3.11.8 Timing of Filings</w:t>
      </w:r>
    </w:p>
    <w:p/>
    <w:p>
      <w:pPr>
        <w:rPr>
          <w:rFonts w:eastAsia="Arial" w:cs="Arial"/>
          <w:sz w:val="16"/>
          <w:szCs w:val="16"/>
        </w:rPr>
      </w:pPr>
    </w:p>
    <w:p>
      <w:pPr>
        <w:pStyle w:val="normal0"/>
        <w:spacing w:after="200"/>
        <w:rPr>
          <w:rFonts w:eastAsia="Arial" w:cs="Arial"/>
          <w:sz w:val="20"/>
          <w:szCs w:val="20"/>
        </w:rPr>
      </w:pPr>
      <w:r>
        <w:rPr>
          <w:rFonts w:eastAsia="Arial" w:cs="Arial"/>
          <w:b/>
          <w:bCs/>
          <w:sz w:val="20"/>
          <w:szCs w:val="20"/>
        </w:rPr>
        <w:t>1. Large Hedge Fund Adviser</w:t>
      </w:r>
    </w:p>
    <w:p>
      <w:pPr>
        <w:pStyle w:val="normal0"/>
        <w:spacing w:before="200" w:after="200"/>
        <w:rPr>
          <w:rFonts w:eastAsia="Arial" w:cs="Arial"/>
          <w:sz w:val="20"/>
          <w:szCs w:val="20"/>
        </w:rPr>
      </w:pPr>
      <w:r>
        <w:rPr>
          <w:rFonts w:eastAsia="Arial" w:cs="Arial"/>
          <w:sz w:val="20"/>
          <w:szCs w:val="20"/>
        </w:rPr>
        <w:t>If KCD is a Large Hedge Fund Adviser, it will file a quarterly update within 60 calendar days after the end of its first, second and third fiscal quarters, that updates the answers to all Items in this Form PF relating to the hedge funds that it advises.</w:t>
      </w:r>
    </w:p>
    <w:p>
      <w:pPr>
        <w:pStyle w:val="normal0"/>
        <w:spacing w:before="200" w:after="200"/>
        <w:rPr>
          <w:rFonts w:eastAsia="Arial" w:cs="Arial"/>
          <w:sz w:val="20"/>
          <w:szCs w:val="20"/>
        </w:rPr>
      </w:pPr>
      <w:r>
        <w:rPr>
          <w:rFonts w:eastAsia="Arial" w:cs="Arial"/>
          <w:sz w:val="20"/>
          <w:szCs w:val="20"/>
        </w:rPr>
        <w:t>Within 60 calendar days after the end of KCD's fourth fiscal quarter, it will file a quarterly update that updates the answers to all Items in this Form PF.</w:t>
      </w:r>
    </w:p>
    <w:p>
      <w:pPr>
        <w:pStyle w:val="normal0"/>
        <w:spacing w:before="200" w:after="200"/>
        <w:rPr>
          <w:rFonts w:eastAsia="Arial" w:cs="Arial"/>
          <w:sz w:val="20"/>
          <w:szCs w:val="20"/>
        </w:rPr>
      </w:pPr>
      <w:r>
        <w:rPr>
          <w:rFonts w:eastAsia="Arial" w:cs="Arial"/>
          <w:sz w:val="20"/>
          <w:szCs w:val="20"/>
        </w:rPr>
        <w:t>KCD may, however, submit an initial filing for the fourth quarter that updates information relating only to the hedge funds that it advises so long as it amends its Form PF within 120 calendar days after the end of the quarter to update information relating to any other hedge funds that it advises. When it files such an amendment, it is not required to update information previously filed for such quarter.</w:t>
      </w:r>
    </w:p>
    <w:p>
      <w:pPr>
        <w:pStyle w:val="normal0"/>
        <w:spacing w:before="200" w:after="200"/>
        <w:rPr>
          <w:rFonts w:eastAsia="Arial" w:cs="Arial"/>
          <w:sz w:val="20"/>
          <w:szCs w:val="20"/>
        </w:rPr>
      </w:pPr>
      <w:r>
        <w:rPr>
          <w:rFonts w:eastAsia="Arial" w:cs="Arial"/>
          <w:b/>
          <w:bCs/>
          <w:sz w:val="20"/>
          <w:szCs w:val="20"/>
        </w:rPr>
        <w:t>2. Large Liquidity Fund Adviser</w:t>
      </w:r>
    </w:p>
    <w:p>
      <w:pPr>
        <w:pStyle w:val="normal0"/>
        <w:spacing w:before="200" w:after="200"/>
        <w:rPr>
          <w:rFonts w:eastAsia="Arial" w:cs="Arial"/>
          <w:sz w:val="20"/>
          <w:szCs w:val="20"/>
        </w:rPr>
      </w:pPr>
      <w:r>
        <w:rPr>
          <w:rFonts w:eastAsia="Arial" w:cs="Arial"/>
          <w:sz w:val="20"/>
          <w:szCs w:val="20"/>
        </w:rPr>
        <w:t>If KCD is a Large Liquidity Fund Adviser, it will file a quarterly update within 15 calendar days after the end of its first, second and third fiscal quarters, that updates the answers to all Items in this Form PF relating to the liquidity funds that KCD advises.</w:t>
      </w:r>
    </w:p>
    <w:p>
      <w:pPr>
        <w:pStyle w:val="normal0"/>
        <w:spacing w:before="200" w:after="200"/>
        <w:rPr>
          <w:rFonts w:eastAsia="Arial" w:cs="Arial"/>
          <w:sz w:val="20"/>
          <w:szCs w:val="20"/>
        </w:rPr>
      </w:pPr>
      <w:r>
        <w:rPr>
          <w:rFonts w:eastAsia="Arial" w:cs="Arial"/>
          <w:sz w:val="20"/>
          <w:szCs w:val="20"/>
        </w:rPr>
        <w:t>Within 15 calendar days after the end of its fourth fiscal quarter, it will file a quarterly update that updates the answers to all Items in this Form PF. It may, however, submit an initial filing for the fourth quarter that updates information relating only to the liquidity funds that it advises so long as it amends its Form PF within 120 calendar days after the end of the quarter to update information relating to any other liquidity funds that it advises. When KCD files such an amendment, it is not required to update information previously filed for such quarter.</w:t>
      </w:r>
    </w:p>
    <w:p>
      <w:pPr>
        <w:pStyle w:val="normal0"/>
        <w:spacing w:before="200" w:after="200"/>
        <w:rPr>
          <w:rFonts w:eastAsia="Arial" w:cs="Arial"/>
          <w:sz w:val="20"/>
          <w:szCs w:val="20"/>
        </w:rPr>
      </w:pPr>
      <w:r>
        <w:rPr>
          <w:rFonts w:eastAsia="Arial" w:cs="Arial"/>
          <w:sz w:val="20"/>
          <w:szCs w:val="20"/>
        </w:rPr>
        <w:t>If KCD is both a large liquidity fund adviser and a large hedge fund adviser, it will file quarterly updates with respect to the liquidity funds that it advises within 15 calendar days and with respect to the hedge funds it advises within 60 calendar days.</w:t>
      </w:r>
    </w:p>
    <w:p>
      <w:pPr>
        <w:pStyle w:val="normal0"/>
        <w:spacing w:before="200" w:after="200"/>
        <w:rPr>
          <w:rFonts w:eastAsia="Arial" w:cs="Arial"/>
          <w:sz w:val="20"/>
          <w:szCs w:val="20"/>
        </w:rPr>
      </w:pPr>
      <w:r>
        <w:rPr>
          <w:rFonts w:eastAsia="Arial" w:cs="Arial"/>
          <w:b/>
          <w:bCs/>
          <w:sz w:val="20"/>
          <w:szCs w:val="20"/>
        </w:rPr>
        <w:t>3. All Other Advisers</w:t>
      </w:r>
    </w:p>
    <w:p>
      <w:pPr>
        <w:pStyle w:val="normal0"/>
        <w:spacing w:before="200" w:after="200"/>
        <w:rPr>
          <w:rFonts w:eastAsia="Arial" w:cs="Arial"/>
          <w:sz w:val="20"/>
          <w:szCs w:val="20"/>
        </w:rPr>
      </w:pPr>
      <w:r>
        <w:rPr>
          <w:rFonts w:eastAsia="Arial" w:cs="Arial"/>
          <w:sz w:val="20"/>
          <w:szCs w:val="20"/>
        </w:rPr>
        <w:t>If KCD is an adviser other than a Large Hedge Fund Adviser or Large Liquidity Fund Adviser, it will file a quarterly update within 120 calendar days after the end of its fiscal year that updates the answers to all Items in the Form PF.</w:t>
      </w:r>
    </w:p>
    <w:p>
      <w:pPr>
        <w:pStyle w:val="normal0"/>
        <w:spacing w:before="200" w:after="200"/>
        <w:rPr>
          <w:rFonts w:eastAsia="Arial" w:cs="Arial"/>
          <w:sz w:val="20"/>
          <w:szCs w:val="20"/>
        </w:rPr>
      </w:pPr>
      <w:r>
        <w:rPr>
          <w:rFonts w:eastAsia="Arial" w:cs="Arial"/>
          <w:sz w:val="20"/>
          <w:szCs w:val="20"/>
        </w:rPr>
        <w:t>If KCD is a large hedge fund adviser and a large liquidity fund adviser, it is not required to file annual updates but instead file quarterly updates for the fourth quarter.</w:t>
      </w:r>
    </w:p>
    <w:p>
      <w:pPr>
        <w:pStyle w:val="normal0"/>
        <w:spacing w:before="200" w:after="200"/>
        <w:rPr>
          <w:rFonts w:eastAsia="Arial" w:cs="Arial"/>
          <w:sz w:val="20"/>
          <w:szCs w:val="20"/>
        </w:rPr>
      </w:pPr>
      <w:r>
        <w:rPr>
          <w:rFonts w:eastAsia="Arial" w:cs="Arial"/>
          <w:sz w:val="20"/>
          <w:szCs w:val="20"/>
        </w:rPr>
        <w:t>The Chief Compliance Officer will refer to Form PF and its instructions if it is making a transition filing or final filing.</w:t>
      </w:r>
    </w:p>
    <w:p>
      <w:bookmarkEnd w:id="909"/>
      <w:bookmarkStart w:id="910" w:name="Sec_Chp_061016102257046_06101611389"/>
    </w:p>
    <w:p>
      <w:pPr>
        <w:pStyle w:val="Heading4"/>
      </w:pPr>
      <w:r>
        <w:t>11.3.11.9 Form PF Guidance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a compliance officer of KCD has questions regarding particular Form PF filings, he or she will refer to the Form PF Frequently Asked Questions ("Form PF FAQ"). Compliance personnel will also monitor updates made by the SEC to the Form PF FAQ. The Form PF FAQ is found on the SEC's web site at </w:t>
      </w:r>
      <w:hyperlink r:id="rId28" w:tgtFrame="_blank" w:history="1">
        <w:r>
          <w:rPr>
            <w:rStyle w:val="Hyperlink"/>
            <w:rFonts w:eastAsia="Arial" w:cs="Arial"/>
            <w:color w:val="0000EE"/>
            <w:sz w:val="20"/>
            <w:szCs w:val="20"/>
            <w:u w:color="0000EE"/>
          </w:rPr>
          <w:t>http://www.sec.gov/divisions/investment/pfrd/pfrdfaq.shtml</w:t>
        </w:r>
      </w:hyperlink>
      <w:r>
        <w:rPr>
          <w:rFonts w:eastAsia="Arial" w:cs="Arial"/>
          <w:sz w:val="20"/>
          <w:szCs w:val="20"/>
        </w:rPr>
        <w:t>.</w:t>
      </w:r>
    </w:p>
    <w:p>
      <w:bookmarkEnd w:id="910"/>
      <w:bookmarkStart w:id="911" w:name="Sec_Chp_061016102257046_061016102258140"/>
    </w:p>
    <w:p>
      <w:pPr>
        <w:pStyle w:val="Heading3"/>
      </w:pPr>
      <w:bookmarkStart w:id="912" w:name="_Toc256000226"/>
      <w:r>
        <w:t>11.3.12 Schedule 13F Filings</w:t>
      </w:r>
      <w:bookmarkEnd w:id="912"/>
      <w:r>
        <w:t xml:space="preserve"> </w:t>
      </w:r>
    </w:p>
    <w:p/>
    <w:p>
      <w:pPr>
        <w:rPr>
          <w:rFonts w:eastAsia="Arial" w:cs="Arial"/>
          <w:sz w:val="16"/>
          <w:szCs w:val="16"/>
        </w:rPr>
      </w:pPr>
      <w:r>
        <w:rPr>
          <w:rFonts w:eastAsia="Arial" w:cs="Arial"/>
          <w:sz w:val="16"/>
          <w:szCs w:val="16"/>
        </w:rPr>
        <w:t>[SEC Securities Exchange Act of 1934 Section 13(f)]</w:t>
      </w:r>
    </w:p>
    <w:p/>
    <w:p>
      <w:pPr>
        <w:pStyle w:val="normal0"/>
        <w:spacing w:after="200"/>
        <w:rPr>
          <w:rFonts w:eastAsia="Arial" w:cs="Arial"/>
          <w:sz w:val="20"/>
          <w:szCs w:val="20"/>
        </w:rPr>
      </w:pPr>
      <w:r>
        <w:rPr>
          <w:rFonts w:eastAsia="Arial" w:cs="Arial"/>
          <w:sz w:val="20"/>
          <w:szCs w:val="20"/>
        </w:rPr>
        <w:t xml:space="preserve">The reporting system required by Section 13(f) of the Securities Exchange Act of 1934 created in the SEC a central repository of historical or current data about institutional investment managers. Pursuant to Section 13(f), the SEC requires certain investment advisers to file a Schedule 13F with the SEC that contains information about the securities that the firm purchases and holds on behalf of clients. </w:t>
      </w:r>
    </w:p>
    <w:p>
      <w:pPr>
        <w:pStyle w:val="normal0"/>
        <w:spacing w:before="200" w:after="200"/>
        <w:rPr>
          <w:rFonts w:eastAsia="Arial" w:cs="Arial"/>
          <w:sz w:val="20"/>
          <w:szCs w:val="20"/>
        </w:rPr>
      </w:pPr>
      <w:r>
        <w:rPr>
          <w:rFonts w:eastAsia="Arial" w:cs="Arial"/>
          <w:sz w:val="20"/>
          <w:szCs w:val="20"/>
        </w:rPr>
        <w:t>In advance of the end of each calendar quarter, the Chief Compliance Officer shall review the amount of assets KCD has under management. If KCD has $100 million or more of assets under management in discretionary accounts that consist of exchange-traded or NASDAQ quoted securities on the last trading day of any month during the relevant three-month period, the Chief Compliance Officer will file a Schedule 13F with the SEC via the EDGAR system within 45 days of the end of the quarter.</w:t>
      </w:r>
    </w:p>
    <w:p>
      <w:pPr>
        <w:pStyle w:val="normal0"/>
        <w:spacing w:before="200" w:after="200"/>
        <w:rPr>
          <w:rFonts w:eastAsia="Arial" w:cs="Arial"/>
          <w:sz w:val="20"/>
          <w:szCs w:val="20"/>
        </w:rPr>
      </w:pPr>
      <w:r>
        <w:rPr>
          <w:rFonts w:eastAsia="Arial" w:cs="Arial"/>
          <w:sz w:val="20"/>
          <w:szCs w:val="20"/>
        </w:rPr>
        <w:t xml:space="preserve">The Chief Compliance Officer will make sure the Schedule 13F accurately reports: </w:t>
      </w:r>
    </w:p>
    <w:p>
      <w:pPr>
        <w:numPr>
          <w:ilvl w:val="0"/>
          <w:numId w:val="800"/>
        </w:numPr>
        <w:spacing w:before="200"/>
        <w:ind w:left="720" w:hanging="192"/>
        <w:jc w:val="left"/>
        <w:rPr>
          <w:rFonts w:eastAsia="Arial" w:cs="Arial"/>
          <w:sz w:val="20"/>
          <w:szCs w:val="20"/>
        </w:rPr>
      </w:pPr>
      <w:r>
        <w:rPr>
          <w:rFonts w:eastAsia="Arial" w:cs="Arial"/>
          <w:sz w:val="20"/>
          <w:szCs w:val="20"/>
        </w:rPr>
        <w:t xml:space="preserve">The name of each issuer of each 13(f) security held; </w:t>
      </w:r>
    </w:p>
    <w:p>
      <w:pPr>
        <w:numPr>
          <w:ilvl w:val="0"/>
          <w:numId w:val="800"/>
        </w:numPr>
        <w:ind w:left="720" w:hanging="192"/>
        <w:jc w:val="left"/>
        <w:rPr>
          <w:rFonts w:eastAsia="Arial" w:cs="Arial"/>
          <w:sz w:val="20"/>
          <w:szCs w:val="20"/>
        </w:rPr>
      </w:pPr>
      <w:r>
        <w:rPr>
          <w:rFonts w:eastAsia="Arial" w:cs="Arial"/>
          <w:sz w:val="20"/>
          <w:szCs w:val="20"/>
        </w:rPr>
        <w:t xml:space="preserve">Description of the class of each 13(f) security held; </w:t>
      </w:r>
    </w:p>
    <w:p>
      <w:pPr>
        <w:numPr>
          <w:ilvl w:val="0"/>
          <w:numId w:val="800"/>
        </w:numPr>
        <w:ind w:left="720" w:hanging="192"/>
        <w:jc w:val="left"/>
        <w:rPr>
          <w:rFonts w:eastAsia="Arial" w:cs="Arial"/>
          <w:sz w:val="20"/>
          <w:szCs w:val="20"/>
        </w:rPr>
      </w:pPr>
      <w:r>
        <w:rPr>
          <w:rFonts w:eastAsia="Arial" w:cs="Arial"/>
          <w:sz w:val="20"/>
          <w:szCs w:val="20"/>
        </w:rPr>
        <w:t xml:space="preserve">Number of shares of each 13(f) security held; and </w:t>
      </w:r>
    </w:p>
    <w:p>
      <w:pPr>
        <w:numPr>
          <w:ilvl w:val="0"/>
          <w:numId w:val="800"/>
        </w:numPr>
        <w:spacing w:after="200"/>
        <w:ind w:left="720" w:hanging="192"/>
        <w:jc w:val="left"/>
        <w:rPr>
          <w:rFonts w:eastAsia="Arial" w:cs="Arial"/>
          <w:sz w:val="20"/>
          <w:szCs w:val="20"/>
        </w:rPr>
      </w:pPr>
      <w:r>
        <w:rPr>
          <w:rFonts w:eastAsia="Arial" w:cs="Arial"/>
          <w:sz w:val="20"/>
          <w:szCs w:val="20"/>
        </w:rPr>
        <w:t xml:space="preserve">Fair market value of each 13(f) security. </w:t>
      </w:r>
    </w:p>
    <w:p>
      <w:pPr>
        <w:pStyle w:val="normal0"/>
        <w:spacing w:before="200" w:after="200"/>
        <w:rPr>
          <w:rFonts w:eastAsia="Arial" w:cs="Arial"/>
          <w:sz w:val="20"/>
          <w:szCs w:val="20"/>
        </w:rPr>
      </w:pPr>
      <w:r>
        <w:rPr>
          <w:rFonts w:eastAsia="Arial" w:cs="Arial"/>
          <w:sz w:val="20"/>
          <w:szCs w:val="20"/>
        </w:rPr>
        <w:t>When it is in the best interest of its clients, KCD will consider seeking confidential treatment of a given Schedule 13F filing. Reasons for seeking confidential treatment may be that the 13F filing will contain confidential financial information or reveal KCD's ongoing program of acquisition or disposition of a reportable security to the detriment of the applicable clients.</w:t>
      </w:r>
    </w:p>
    <w:p>
      <w:pPr>
        <w:pStyle w:val="normal0"/>
        <w:spacing w:before="200" w:after="200"/>
        <w:rPr>
          <w:rFonts w:eastAsia="Arial" w:cs="Arial"/>
          <w:sz w:val="20"/>
          <w:szCs w:val="20"/>
        </w:rPr>
      </w:pPr>
      <w:r>
        <w:rPr>
          <w:rFonts w:eastAsia="Arial" w:cs="Arial"/>
          <w:sz w:val="20"/>
          <w:szCs w:val="20"/>
        </w:rPr>
        <w:t>When making a request to the SEC for confidential treatment, KCD, at a minimum, shall provide:</w:t>
      </w:r>
    </w:p>
    <w:p>
      <w:pPr>
        <w:numPr>
          <w:ilvl w:val="0"/>
          <w:numId w:val="801"/>
        </w:numPr>
        <w:spacing w:before="200"/>
        <w:ind w:left="720" w:hanging="192"/>
        <w:jc w:val="left"/>
        <w:rPr>
          <w:rFonts w:eastAsia="Arial" w:cs="Arial"/>
          <w:sz w:val="20"/>
          <w:szCs w:val="20"/>
        </w:rPr>
      </w:pPr>
      <w:r>
        <w:rPr>
          <w:rFonts w:eastAsia="Arial" w:cs="Arial"/>
          <w:sz w:val="20"/>
          <w:szCs w:val="20"/>
        </w:rPr>
        <w:t>details about the specific investment program being followed with respect to a reportable security and its ultimate objective;</w:t>
      </w:r>
    </w:p>
    <w:p>
      <w:pPr>
        <w:numPr>
          <w:ilvl w:val="0"/>
          <w:numId w:val="801"/>
        </w:numPr>
        <w:ind w:left="720" w:hanging="192"/>
        <w:jc w:val="left"/>
        <w:rPr>
          <w:rFonts w:eastAsia="Arial" w:cs="Arial"/>
          <w:sz w:val="20"/>
          <w:szCs w:val="20"/>
        </w:rPr>
      </w:pPr>
      <w:r>
        <w:rPr>
          <w:rFonts w:eastAsia="Arial" w:cs="Arial"/>
          <w:sz w:val="20"/>
          <w:szCs w:val="20"/>
        </w:rPr>
        <w:t>an explanation of how the public would be able to discern KCD's strategy with respect to the reportable security from the data reported on Form 13F;</w:t>
      </w:r>
    </w:p>
    <w:p>
      <w:pPr>
        <w:numPr>
          <w:ilvl w:val="0"/>
          <w:numId w:val="801"/>
        </w:numPr>
        <w:ind w:left="720" w:hanging="192"/>
        <w:jc w:val="left"/>
        <w:rPr>
          <w:rFonts w:eastAsia="Arial" w:cs="Arial"/>
          <w:sz w:val="20"/>
          <w:szCs w:val="20"/>
        </w:rPr>
      </w:pPr>
      <w:r>
        <w:rPr>
          <w:rFonts w:eastAsia="Arial" w:cs="Arial"/>
          <w:sz w:val="20"/>
          <w:szCs w:val="20"/>
        </w:rPr>
        <w:t>information demonstrating that the program is ongoing, so that public disclosure would be premature;</w:t>
      </w:r>
    </w:p>
    <w:p>
      <w:pPr>
        <w:numPr>
          <w:ilvl w:val="0"/>
          <w:numId w:val="801"/>
        </w:numPr>
        <w:ind w:left="720" w:hanging="192"/>
        <w:jc w:val="left"/>
        <w:rPr>
          <w:rFonts w:eastAsia="Arial" w:cs="Arial"/>
          <w:sz w:val="20"/>
          <w:szCs w:val="20"/>
        </w:rPr>
      </w:pPr>
      <w:r>
        <w:rPr>
          <w:rFonts w:eastAsia="Arial" w:cs="Arial"/>
          <w:sz w:val="20"/>
          <w:szCs w:val="20"/>
        </w:rPr>
        <w:t>a demonstration of the likelihood of substantial harm to KCD's competitive position in the reportable security if the request is not granted; and</w:t>
      </w:r>
    </w:p>
    <w:p>
      <w:pPr>
        <w:numPr>
          <w:ilvl w:val="0"/>
          <w:numId w:val="801"/>
        </w:numPr>
        <w:spacing w:after="200"/>
        <w:ind w:left="720" w:hanging="192"/>
        <w:jc w:val="left"/>
        <w:rPr>
          <w:rFonts w:eastAsia="Arial" w:cs="Arial"/>
          <w:sz w:val="20"/>
          <w:szCs w:val="20"/>
        </w:rPr>
      </w:pPr>
      <w:r>
        <w:rPr>
          <w:rFonts w:eastAsia="Arial" w:cs="Arial"/>
          <w:sz w:val="20"/>
          <w:szCs w:val="20"/>
        </w:rPr>
        <w:t>the period of time for which confidential treatment is requested.</w:t>
      </w:r>
    </w:p>
    <w:p>
      <w:bookmarkEnd w:id="911"/>
      <w:bookmarkStart w:id="913" w:name="Sec_Chp_061016102257046_061016102258156"/>
    </w:p>
    <w:p>
      <w:pPr>
        <w:pStyle w:val="Heading3"/>
      </w:pPr>
      <w:bookmarkStart w:id="914" w:name="_Toc256000227"/>
      <w:r>
        <w:t>11.3.13 Schedule 13D and 13G Filings</w:t>
      </w:r>
      <w:bookmarkEnd w:id="914"/>
    </w:p>
    <w:p/>
    <w:p>
      <w:pPr>
        <w:rPr>
          <w:rFonts w:eastAsia="Arial" w:cs="Arial"/>
          <w:sz w:val="16"/>
          <w:szCs w:val="16"/>
        </w:rPr>
      </w:pPr>
    </w:p>
    <w:p>
      <w:pPr>
        <w:pStyle w:val="normal0"/>
        <w:spacing w:after="200"/>
        <w:rPr>
          <w:rFonts w:eastAsia="Arial" w:cs="Arial"/>
          <w:sz w:val="20"/>
          <w:szCs w:val="20"/>
        </w:rPr>
      </w:pPr>
      <w:r>
        <w:rPr>
          <w:rFonts w:eastAsia="Arial" w:cs="Arial"/>
          <w:sz w:val="20"/>
          <w:szCs w:val="20"/>
        </w:rPr>
        <w:t>Schedules 13D and 13G are forms filed with the SEC to report beneficial ownership of a company's securities (i.e., any class of publicly traded securities in a public company):</w:t>
      </w:r>
    </w:p>
    <w:p>
      <w:pPr>
        <w:pStyle w:val="normal0"/>
        <w:spacing w:before="200" w:after="200"/>
        <w:rPr>
          <w:rFonts w:eastAsia="Arial" w:cs="Arial"/>
          <w:sz w:val="20"/>
          <w:szCs w:val="20"/>
        </w:rPr>
      </w:pPr>
      <w:r>
        <w:rPr>
          <w:rFonts w:eastAsia="Arial" w:cs="Arial"/>
          <w:b/>
          <w:bCs/>
          <w:sz w:val="20"/>
          <w:szCs w:val="20"/>
        </w:rPr>
        <w:t>Schedule 13D</w:t>
      </w:r>
    </w:p>
    <w:p>
      <w:pPr>
        <w:pStyle w:val="normal0"/>
        <w:spacing w:before="200" w:after="200"/>
        <w:rPr>
          <w:rFonts w:eastAsia="Arial" w:cs="Arial"/>
          <w:sz w:val="20"/>
          <w:szCs w:val="20"/>
        </w:rPr>
      </w:pPr>
      <w:r>
        <w:rPr>
          <w:rFonts w:eastAsia="Arial" w:cs="Arial"/>
          <w:sz w:val="20"/>
          <w:szCs w:val="20"/>
        </w:rPr>
        <w:t>A person or group must file a Schedule 13D if they gain more than 5% beneficial ownership of a company's equity securities and intend to change or influence the company's control.</w:t>
      </w:r>
    </w:p>
    <w:p>
      <w:pPr>
        <w:pStyle w:val="normal0"/>
        <w:spacing w:before="200" w:after="200"/>
        <w:rPr>
          <w:rFonts w:eastAsia="Arial" w:cs="Arial"/>
          <w:sz w:val="20"/>
          <w:szCs w:val="20"/>
        </w:rPr>
      </w:pPr>
      <w:r>
        <w:rPr>
          <w:rFonts w:eastAsia="Arial" w:cs="Arial"/>
          <w:b/>
          <w:bCs/>
          <w:sz w:val="20"/>
          <w:szCs w:val="20"/>
        </w:rPr>
        <w:t>Schedule 13G</w:t>
      </w:r>
    </w:p>
    <w:p>
      <w:pPr>
        <w:pStyle w:val="normal0"/>
        <w:spacing w:before="200" w:after="200"/>
        <w:rPr>
          <w:rFonts w:eastAsia="Arial" w:cs="Arial"/>
          <w:sz w:val="20"/>
          <w:szCs w:val="20"/>
        </w:rPr>
      </w:pPr>
      <w:r>
        <w:rPr>
          <w:rFonts w:eastAsia="Arial" w:cs="Arial"/>
          <w:sz w:val="20"/>
          <w:szCs w:val="20"/>
        </w:rPr>
        <w:t>A person or group may file a Schedule 13G instead of a Schedule 13D if they meet certain exemptions, such as being a Qualified Institutional Investor (QII), Exempt Investor, or Passive Investor. Schedule 13G is a shorter version of Schedule 13D with fewer reporting requirements.</w:t>
      </w:r>
    </w:p>
    <w:p>
      <w:bookmarkEnd w:id="913"/>
      <w:bookmarkStart w:id="915" w:name="Sec_Chp_061016102257046_061016102258171"/>
    </w:p>
    <w:p>
      <w:pPr>
        <w:pStyle w:val="Heading4"/>
      </w:pPr>
      <w:r>
        <w:t>11.3.13.1 Monitoring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the Chief Compliance Officer shall review the investment portfolio of each client account that KCD exercises discretionary authority over to ascertain whether KCD beneficially owns 5% of more of the shares of a publicly traded company. When making the 5% calculation, KCD shall include all positions it holds, all positions of accounts over which it exercises discretionary authority, and all accounts of "control persons." "Control persons" are direct or indirect controlling partners or shareholders of KCD and the client, and the direct or indirect parent company of KCD and the client.</w:t>
      </w:r>
    </w:p>
    <w:p>
      <w:bookmarkEnd w:id="915"/>
      <w:bookmarkStart w:id="916" w:name="Sec_Chp_061016102257046_061016102258187"/>
    </w:p>
    <w:p>
      <w:pPr>
        <w:pStyle w:val="Heading4"/>
      </w:pPr>
      <w:r>
        <w:t>11.3.13.2 5% or Greater Threshold</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the Compliance Officer suspects that a position may be approaching 5% of the outstanding publicly traded securities of a publicly traded company, the Compliance Officer shall immediately consult third-party information sources or the issuer's transfer agent to verify the exact ownership position. The Compliance Officer shall consult with the inside or outside counsel of KCD to verify such ownership, and request such counsel to review the concept of "beneficial ownership" under applicable rules and SEC interpretative positions. As soon as the 5% threshold is crossed:</w:t>
      </w:r>
    </w:p>
    <w:p>
      <w:pPr>
        <w:numPr>
          <w:ilvl w:val="0"/>
          <w:numId w:val="802"/>
        </w:numPr>
        <w:spacing w:before="200"/>
        <w:ind w:left="720" w:hanging="192"/>
        <w:jc w:val="left"/>
        <w:rPr>
          <w:rFonts w:eastAsia="Arial" w:cs="Arial"/>
          <w:sz w:val="20"/>
          <w:szCs w:val="20"/>
        </w:rPr>
      </w:pPr>
      <w:r>
        <w:rPr>
          <w:rFonts w:eastAsia="Arial" w:cs="Arial"/>
          <w:sz w:val="20"/>
          <w:szCs w:val="20"/>
        </w:rPr>
        <w:t xml:space="preserve">the Compliance Officer shall prepare a Schedule 13D or 13G, depending on which Schedule is appropriate; </w:t>
      </w:r>
    </w:p>
    <w:p>
      <w:pPr>
        <w:numPr>
          <w:ilvl w:val="0"/>
          <w:numId w:val="802"/>
        </w:numPr>
        <w:ind w:left="720" w:hanging="192"/>
        <w:jc w:val="left"/>
        <w:rPr>
          <w:rFonts w:eastAsia="Arial" w:cs="Arial"/>
          <w:sz w:val="20"/>
          <w:szCs w:val="20"/>
        </w:rPr>
      </w:pPr>
      <w:r>
        <w:rPr>
          <w:rFonts w:eastAsia="Arial" w:cs="Arial"/>
          <w:sz w:val="20"/>
          <w:szCs w:val="20"/>
        </w:rPr>
        <w:t xml:space="preserve">the inside or outside counsel for KCD shall review all draft 13D and 13G filings prior to their filing with the SEC; and </w:t>
      </w:r>
    </w:p>
    <w:p>
      <w:pPr>
        <w:numPr>
          <w:ilvl w:val="0"/>
          <w:numId w:val="802"/>
        </w:numPr>
        <w:spacing w:after="200"/>
        <w:ind w:left="720" w:hanging="192"/>
        <w:jc w:val="left"/>
        <w:rPr>
          <w:rFonts w:eastAsia="Arial" w:cs="Arial"/>
          <w:sz w:val="20"/>
          <w:szCs w:val="20"/>
        </w:rPr>
      </w:pPr>
      <w:r>
        <w:rPr>
          <w:rFonts w:eastAsia="Arial" w:cs="Arial"/>
          <w:sz w:val="20"/>
          <w:szCs w:val="20"/>
        </w:rPr>
        <w:t xml:space="preserve">within 5 days of beneficially owning 5% or more of an issuer's equity securities, KCD will file a Schedule 13D or Schedule 13G with the SEC (via EDGAR) and the issuer. </w:t>
      </w:r>
    </w:p>
    <w:p>
      <w:bookmarkEnd w:id="916"/>
      <w:bookmarkStart w:id="917" w:name="Sec_Chp_061016102257046_061016102258203"/>
    </w:p>
    <w:p>
      <w:pPr>
        <w:pStyle w:val="Heading4"/>
      </w:pPr>
      <w:r>
        <w:t>11.3.13.3 Schedule 13D vs. Schedule 13G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file a Schedule 13D with the SEC unless KCD's client in question can meet certain requirements to be eligible to file the Schedule 13G.</w:t>
      </w:r>
    </w:p>
    <w:p>
      <w:pPr>
        <w:pStyle w:val="normal0"/>
        <w:spacing w:before="200" w:after="200"/>
        <w:rPr>
          <w:rFonts w:eastAsia="Arial" w:cs="Arial"/>
          <w:sz w:val="20"/>
          <w:szCs w:val="20"/>
        </w:rPr>
      </w:pPr>
      <w:r>
        <w:rPr>
          <w:rFonts w:eastAsia="Arial" w:cs="Arial"/>
          <w:sz w:val="20"/>
          <w:szCs w:val="20"/>
        </w:rPr>
        <w:t>KCD will determine whether it is one of the following types of exempt entities for purposes of Schedule 13D and 13G filings:</w:t>
      </w:r>
    </w:p>
    <w:p>
      <w:pPr>
        <w:pStyle w:val="normal0"/>
        <w:spacing w:before="200" w:after="200"/>
        <w:rPr>
          <w:rFonts w:eastAsia="Arial" w:cs="Arial"/>
          <w:sz w:val="20"/>
          <w:szCs w:val="20"/>
        </w:rPr>
      </w:pPr>
      <w:r>
        <w:rPr>
          <w:rFonts w:eastAsia="Arial" w:cs="Arial"/>
          <w:b/>
          <w:bCs/>
          <w:sz w:val="20"/>
          <w:szCs w:val="20"/>
        </w:rPr>
        <w:t>Qualified Institutional Investor (QII)</w:t>
      </w:r>
    </w:p>
    <w:p>
      <w:pPr>
        <w:numPr>
          <w:ilvl w:val="0"/>
          <w:numId w:val="803"/>
        </w:numPr>
        <w:spacing w:before="200"/>
        <w:ind w:left="720" w:hanging="192"/>
        <w:jc w:val="left"/>
        <w:rPr>
          <w:rFonts w:eastAsia="Arial" w:cs="Arial"/>
          <w:sz w:val="20"/>
          <w:szCs w:val="20"/>
        </w:rPr>
      </w:pPr>
      <w:r>
        <w:rPr>
          <w:rFonts w:eastAsia="Arial" w:cs="Arial"/>
          <w:sz w:val="20"/>
          <w:szCs w:val="20"/>
        </w:rPr>
        <w:t>Broker-dealer registered with the SEC;</w:t>
      </w:r>
    </w:p>
    <w:p>
      <w:pPr>
        <w:numPr>
          <w:ilvl w:val="0"/>
          <w:numId w:val="803"/>
        </w:numPr>
        <w:ind w:left="720" w:hanging="192"/>
        <w:jc w:val="left"/>
        <w:rPr>
          <w:rFonts w:eastAsia="Arial" w:cs="Arial"/>
          <w:sz w:val="20"/>
          <w:szCs w:val="20"/>
        </w:rPr>
      </w:pPr>
      <w:r>
        <w:rPr>
          <w:rFonts w:eastAsia="Arial" w:cs="Arial"/>
          <w:sz w:val="20"/>
          <w:szCs w:val="20"/>
        </w:rPr>
        <w:t>Bank (as defined in Section 3(a)(6) of the 1934 Act);</w:t>
      </w:r>
    </w:p>
    <w:p>
      <w:pPr>
        <w:numPr>
          <w:ilvl w:val="0"/>
          <w:numId w:val="803"/>
        </w:numPr>
        <w:ind w:left="720" w:hanging="192"/>
        <w:jc w:val="left"/>
        <w:rPr>
          <w:rFonts w:eastAsia="Arial" w:cs="Arial"/>
          <w:sz w:val="20"/>
          <w:szCs w:val="20"/>
        </w:rPr>
      </w:pPr>
      <w:r>
        <w:rPr>
          <w:rFonts w:eastAsia="Arial" w:cs="Arial"/>
          <w:sz w:val="20"/>
          <w:szCs w:val="20"/>
        </w:rPr>
        <w:t>Insurance company (as defined in Section 3(a)(19) of the 1934 Act);</w:t>
      </w:r>
    </w:p>
    <w:p>
      <w:pPr>
        <w:numPr>
          <w:ilvl w:val="0"/>
          <w:numId w:val="803"/>
        </w:numPr>
        <w:ind w:left="720" w:hanging="192"/>
        <w:jc w:val="left"/>
        <w:rPr>
          <w:rFonts w:eastAsia="Arial" w:cs="Arial"/>
          <w:sz w:val="20"/>
          <w:szCs w:val="20"/>
        </w:rPr>
      </w:pPr>
      <w:r>
        <w:rPr>
          <w:rFonts w:eastAsia="Arial" w:cs="Arial"/>
          <w:sz w:val="20"/>
          <w:szCs w:val="20"/>
        </w:rPr>
        <w:t>Registered investment company (</w:t>
      </w:r>
      <w:r>
        <w:rPr>
          <w:rFonts w:eastAsia="Arial" w:cs="Arial"/>
          <w:i/>
          <w:iCs/>
          <w:sz w:val="20"/>
          <w:szCs w:val="20"/>
        </w:rPr>
        <w:t>e.g.,</w:t>
      </w:r>
      <w:r>
        <w:rPr>
          <w:rFonts w:eastAsia="Arial" w:cs="Arial"/>
          <w:sz w:val="20"/>
          <w:szCs w:val="20"/>
        </w:rPr>
        <w:t xml:space="preserve"> mutual fund or ETF);</w:t>
      </w:r>
    </w:p>
    <w:p>
      <w:pPr>
        <w:numPr>
          <w:ilvl w:val="0"/>
          <w:numId w:val="803"/>
        </w:numPr>
        <w:ind w:left="720" w:hanging="192"/>
        <w:jc w:val="left"/>
        <w:rPr>
          <w:rFonts w:eastAsia="Arial" w:cs="Arial"/>
          <w:sz w:val="20"/>
          <w:szCs w:val="20"/>
        </w:rPr>
      </w:pPr>
      <w:r>
        <w:rPr>
          <w:rFonts w:eastAsia="Arial" w:cs="Arial"/>
          <w:sz w:val="20"/>
          <w:szCs w:val="20"/>
        </w:rPr>
        <w:t>SEC-registered investment adviser;</w:t>
      </w:r>
    </w:p>
    <w:p>
      <w:pPr>
        <w:numPr>
          <w:ilvl w:val="0"/>
          <w:numId w:val="803"/>
        </w:numPr>
        <w:ind w:left="720" w:hanging="192"/>
        <w:jc w:val="left"/>
        <w:rPr>
          <w:rFonts w:eastAsia="Arial" w:cs="Arial"/>
          <w:sz w:val="20"/>
          <w:szCs w:val="20"/>
        </w:rPr>
      </w:pPr>
      <w:r>
        <w:rPr>
          <w:rFonts w:eastAsia="Arial" w:cs="Arial"/>
          <w:sz w:val="20"/>
          <w:szCs w:val="20"/>
        </w:rPr>
        <w:t>Parent holding company or control company;</w:t>
      </w:r>
    </w:p>
    <w:p>
      <w:pPr>
        <w:numPr>
          <w:ilvl w:val="0"/>
          <w:numId w:val="803"/>
        </w:numPr>
        <w:ind w:left="720" w:hanging="192"/>
        <w:jc w:val="left"/>
        <w:rPr>
          <w:rFonts w:eastAsia="Arial" w:cs="Arial"/>
          <w:sz w:val="20"/>
          <w:szCs w:val="20"/>
        </w:rPr>
      </w:pPr>
      <w:r>
        <w:rPr>
          <w:rFonts w:eastAsia="Arial" w:cs="Arial"/>
          <w:sz w:val="20"/>
          <w:szCs w:val="20"/>
        </w:rPr>
        <w:t>Employee benefit plan subject to ERISA;</w:t>
      </w:r>
    </w:p>
    <w:p>
      <w:pPr>
        <w:numPr>
          <w:ilvl w:val="0"/>
          <w:numId w:val="803"/>
        </w:numPr>
        <w:ind w:left="720" w:hanging="192"/>
        <w:jc w:val="left"/>
        <w:rPr>
          <w:rFonts w:eastAsia="Arial" w:cs="Arial"/>
          <w:sz w:val="20"/>
          <w:szCs w:val="20"/>
        </w:rPr>
      </w:pPr>
      <w:r>
        <w:rPr>
          <w:rFonts w:eastAsia="Arial" w:cs="Arial"/>
          <w:sz w:val="20"/>
          <w:szCs w:val="20"/>
        </w:rPr>
        <w:t>Savings association;</w:t>
      </w:r>
    </w:p>
    <w:p>
      <w:pPr>
        <w:numPr>
          <w:ilvl w:val="0"/>
          <w:numId w:val="803"/>
        </w:numPr>
        <w:ind w:left="720" w:hanging="192"/>
        <w:jc w:val="left"/>
        <w:rPr>
          <w:rFonts w:eastAsia="Arial" w:cs="Arial"/>
          <w:sz w:val="20"/>
          <w:szCs w:val="20"/>
        </w:rPr>
      </w:pPr>
      <w:r>
        <w:rPr>
          <w:rFonts w:eastAsia="Arial" w:cs="Arial"/>
          <w:sz w:val="20"/>
          <w:szCs w:val="20"/>
        </w:rPr>
        <w:t>Church plan (exempt from the Investment Company Act);</w:t>
      </w:r>
    </w:p>
    <w:p>
      <w:pPr>
        <w:numPr>
          <w:ilvl w:val="0"/>
          <w:numId w:val="803"/>
        </w:numPr>
        <w:ind w:left="720" w:hanging="192"/>
        <w:jc w:val="left"/>
        <w:rPr>
          <w:rFonts w:eastAsia="Arial" w:cs="Arial"/>
          <w:sz w:val="20"/>
          <w:szCs w:val="20"/>
        </w:rPr>
      </w:pPr>
      <w:r>
        <w:rPr>
          <w:rFonts w:eastAsia="Arial" w:cs="Arial"/>
          <w:sz w:val="20"/>
          <w:szCs w:val="20"/>
        </w:rPr>
        <w:t>Certain foreign institutions; and</w:t>
      </w:r>
    </w:p>
    <w:p>
      <w:pPr>
        <w:numPr>
          <w:ilvl w:val="0"/>
          <w:numId w:val="803"/>
        </w:numPr>
        <w:spacing w:after="200"/>
        <w:ind w:left="720" w:hanging="192"/>
        <w:jc w:val="left"/>
        <w:rPr>
          <w:rFonts w:eastAsia="Arial" w:cs="Arial"/>
          <w:sz w:val="20"/>
          <w:szCs w:val="20"/>
        </w:rPr>
      </w:pPr>
      <w:r>
        <w:rPr>
          <w:rFonts w:eastAsia="Arial" w:cs="Arial"/>
          <w:sz w:val="20"/>
          <w:szCs w:val="20"/>
        </w:rPr>
        <w:t>Groups or holdings companies of the above.</w:t>
      </w:r>
    </w:p>
    <w:p>
      <w:pPr>
        <w:pStyle w:val="normal0"/>
        <w:spacing w:before="200" w:after="200"/>
        <w:rPr>
          <w:rFonts w:eastAsia="Arial" w:cs="Arial"/>
          <w:sz w:val="20"/>
          <w:szCs w:val="20"/>
        </w:rPr>
      </w:pPr>
      <w:r>
        <w:rPr>
          <w:rFonts w:eastAsia="Arial" w:cs="Arial"/>
          <w:b/>
          <w:bCs/>
          <w:sz w:val="20"/>
          <w:szCs w:val="20"/>
        </w:rPr>
        <w:t>Exempt Investor</w:t>
      </w:r>
    </w:p>
    <w:p>
      <w:pPr>
        <w:numPr>
          <w:ilvl w:val="0"/>
          <w:numId w:val="804"/>
        </w:numPr>
        <w:spacing w:before="200"/>
        <w:ind w:left="720" w:hanging="192"/>
        <w:jc w:val="left"/>
        <w:rPr>
          <w:rFonts w:eastAsia="Arial" w:cs="Arial"/>
          <w:sz w:val="20"/>
          <w:szCs w:val="20"/>
        </w:rPr>
      </w:pPr>
      <w:r>
        <w:rPr>
          <w:rFonts w:eastAsia="Arial" w:cs="Arial"/>
          <w:sz w:val="20"/>
          <w:szCs w:val="20"/>
        </w:rPr>
        <w:t>Client has acquired subject securities prior to the securities being registered with the SEC; or</w:t>
      </w:r>
    </w:p>
    <w:p>
      <w:pPr>
        <w:numPr>
          <w:ilvl w:val="0"/>
          <w:numId w:val="804"/>
        </w:numPr>
        <w:spacing w:after="200"/>
        <w:ind w:left="720" w:hanging="192"/>
        <w:jc w:val="left"/>
        <w:rPr>
          <w:rFonts w:eastAsia="Arial" w:cs="Arial"/>
          <w:sz w:val="20"/>
          <w:szCs w:val="20"/>
        </w:rPr>
      </w:pPr>
      <w:r>
        <w:rPr>
          <w:rFonts w:eastAsia="Arial" w:cs="Arial"/>
          <w:sz w:val="20"/>
          <w:szCs w:val="20"/>
        </w:rPr>
        <w:t>Client acquired no more than 2% of the subject securities within the prior 12-month period (see Section 13(d)(6)(b) of the Securities Exchange Act of 1934).</w:t>
      </w:r>
    </w:p>
    <w:p>
      <w:pPr>
        <w:pStyle w:val="normal0"/>
        <w:spacing w:before="200" w:after="200"/>
        <w:rPr>
          <w:rFonts w:eastAsia="Arial" w:cs="Arial"/>
          <w:sz w:val="20"/>
          <w:szCs w:val="20"/>
        </w:rPr>
      </w:pPr>
      <w:r>
        <w:rPr>
          <w:rFonts w:eastAsia="Arial" w:cs="Arial"/>
          <w:sz w:val="20"/>
          <w:szCs w:val="20"/>
        </w:rPr>
        <w:t>Note: such exempt investor remains subject to making a Schedule 13G filing.</w:t>
      </w:r>
    </w:p>
    <w:p>
      <w:pPr>
        <w:pStyle w:val="normal0"/>
        <w:spacing w:before="200" w:after="200"/>
        <w:rPr>
          <w:rFonts w:eastAsia="Arial" w:cs="Arial"/>
          <w:sz w:val="20"/>
          <w:szCs w:val="20"/>
        </w:rPr>
      </w:pPr>
      <w:r>
        <w:rPr>
          <w:rFonts w:eastAsia="Arial" w:cs="Arial"/>
          <w:b/>
          <w:bCs/>
          <w:sz w:val="20"/>
          <w:szCs w:val="20"/>
        </w:rPr>
        <w:t>Passive Investor</w:t>
      </w:r>
    </w:p>
    <w:p>
      <w:pPr>
        <w:numPr>
          <w:ilvl w:val="0"/>
          <w:numId w:val="805"/>
        </w:numPr>
        <w:spacing w:before="200" w:after="200"/>
        <w:ind w:left="720" w:hanging="192"/>
        <w:jc w:val="left"/>
        <w:rPr>
          <w:rFonts w:eastAsia="Arial" w:cs="Arial"/>
          <w:sz w:val="20"/>
          <w:szCs w:val="20"/>
        </w:rPr>
      </w:pPr>
      <w:r>
        <w:rPr>
          <w:rFonts w:eastAsia="Arial" w:cs="Arial"/>
          <w:sz w:val="20"/>
          <w:szCs w:val="20"/>
        </w:rPr>
        <w:t>Client who can certify that he or she did not acquire the subject securities and does not hold the securities for purposes of changing or influencing the control of the issuer of the subject securities and were not acquired for the purposes of changing or influencing the control of the issuer of the subject securities and were not acquired in connection with or participant in any transaction having such person or effect.</w:t>
      </w:r>
    </w:p>
    <w:p>
      <w:bookmarkEnd w:id="917"/>
      <w:bookmarkStart w:id="918" w:name="Sec_Chp_061016102257046_257857"/>
    </w:p>
    <w:p>
      <w:pPr>
        <w:pStyle w:val="Heading5"/>
      </w:pPr>
      <w:r>
        <w:t>11.3.13.3.1 Schedule 13D and Schedule 13G Initial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on behalf of a client will file an initial Schedule 13D as appropriate within 5 days of the client acquiring 5% or more beneficial ownership position of publicly traded securities in a publicly traded company or losing the eligibility to file Schedule 13G unless he or she is a Qualified Institutional Investor (QII), Exempt Investor or Passive Investor.</w:t>
      </w:r>
    </w:p>
    <w:p>
      <w:pPr>
        <w:pStyle w:val="normal0"/>
        <w:spacing w:before="200" w:after="200"/>
        <w:rPr>
          <w:rFonts w:eastAsia="Arial" w:cs="Arial"/>
          <w:sz w:val="20"/>
          <w:szCs w:val="20"/>
        </w:rPr>
      </w:pPr>
      <w:r>
        <w:rPr>
          <w:rFonts w:eastAsia="Arial" w:cs="Arial"/>
          <w:sz w:val="20"/>
          <w:szCs w:val="20"/>
        </w:rPr>
        <w:t>If the client qualifies as a QII, Exempt Investor or Private Investor:</w:t>
      </w:r>
    </w:p>
    <w:p>
      <w:pPr>
        <w:pStyle w:val="normal0"/>
        <w:spacing w:before="200" w:after="200"/>
        <w:rPr>
          <w:rFonts w:eastAsia="Arial" w:cs="Arial"/>
          <w:sz w:val="20"/>
          <w:szCs w:val="20"/>
        </w:rPr>
      </w:pPr>
      <w:r>
        <w:rPr>
          <w:rFonts w:eastAsia="Arial" w:cs="Arial"/>
          <w:sz w:val="20"/>
          <w:szCs w:val="20"/>
          <w:u w:val="single"/>
        </w:rPr>
        <w:t>QII:</w:t>
      </w:r>
      <w:r>
        <w:rPr>
          <w:rFonts w:eastAsia="Arial" w:cs="Arial"/>
          <w:sz w:val="20"/>
          <w:szCs w:val="20"/>
        </w:rPr>
        <w:t xml:space="preserve"> as applicable, (i) within 45 days after the calendar quarter end in which the beneficial ownership exceeds 5% or (ii) within 5 days after the calendar month end in which the beneficial ownership exceeds 10%.</w:t>
      </w:r>
    </w:p>
    <w:p>
      <w:pPr>
        <w:pStyle w:val="normal0"/>
        <w:spacing w:before="200" w:after="200"/>
        <w:rPr>
          <w:rFonts w:eastAsia="Arial" w:cs="Arial"/>
          <w:sz w:val="20"/>
          <w:szCs w:val="20"/>
        </w:rPr>
      </w:pPr>
      <w:r>
        <w:rPr>
          <w:rFonts w:eastAsia="Arial" w:cs="Arial"/>
          <w:sz w:val="20"/>
          <w:szCs w:val="20"/>
          <w:u w:val="single"/>
        </w:rPr>
        <w:t>Exempt Investor:</w:t>
      </w:r>
      <w:r>
        <w:rPr>
          <w:rFonts w:eastAsia="Arial" w:cs="Arial"/>
          <w:sz w:val="20"/>
          <w:szCs w:val="20"/>
        </w:rPr>
        <w:t xml:space="preserve"> within 45 days after the calendar quarter end in which the beneficial ownership exceeds 5%.</w:t>
      </w:r>
    </w:p>
    <w:p>
      <w:pPr>
        <w:pStyle w:val="normal0"/>
        <w:spacing w:before="200" w:after="200"/>
        <w:rPr>
          <w:rFonts w:eastAsia="Arial" w:cs="Arial"/>
          <w:sz w:val="20"/>
          <w:szCs w:val="20"/>
        </w:rPr>
      </w:pPr>
      <w:r>
        <w:rPr>
          <w:rFonts w:eastAsia="Arial" w:cs="Arial"/>
          <w:sz w:val="20"/>
          <w:szCs w:val="20"/>
          <w:u w:val="single"/>
        </w:rPr>
        <w:t>Private Investor:</w:t>
      </w:r>
      <w:r>
        <w:rPr>
          <w:rFonts w:eastAsia="Arial" w:cs="Arial"/>
          <w:sz w:val="20"/>
          <w:szCs w:val="20"/>
        </w:rPr>
        <w:t xml:space="preserve"> within 5 days after which the beneficial ownership exceeds 5%.</w:t>
      </w:r>
    </w:p>
    <w:p>
      <w:bookmarkEnd w:id="918"/>
      <w:bookmarkStart w:id="919" w:name="Sec_Chp_061016102257046_257859"/>
    </w:p>
    <w:p>
      <w:pPr>
        <w:pStyle w:val="Heading5"/>
      </w:pPr>
      <w:r>
        <w:t>11.3.13.3.2 Schedule 13D and Schedule 13G Amended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on behalf of a client will file an amendment to a client's:</w:t>
      </w:r>
    </w:p>
    <w:p>
      <w:pPr>
        <w:numPr>
          <w:ilvl w:val="0"/>
          <w:numId w:val="806"/>
        </w:numPr>
        <w:spacing w:before="200"/>
        <w:ind w:left="720" w:hanging="192"/>
        <w:jc w:val="left"/>
        <w:rPr>
          <w:rFonts w:eastAsia="Arial" w:cs="Arial"/>
          <w:sz w:val="20"/>
          <w:szCs w:val="20"/>
        </w:rPr>
      </w:pPr>
      <w:r>
        <w:rPr>
          <w:rFonts w:eastAsia="Arial" w:cs="Arial"/>
          <w:sz w:val="20"/>
          <w:szCs w:val="20"/>
        </w:rPr>
        <w:t>Schedule 13D filing within 2 days of a material change in the facts or other information presented in the previous Schedule 13D filing.</w:t>
      </w:r>
    </w:p>
    <w:p>
      <w:pPr>
        <w:numPr>
          <w:ilvl w:val="0"/>
          <w:numId w:val="806"/>
        </w:numPr>
        <w:ind w:left="720" w:hanging="192"/>
        <w:jc w:val="left"/>
        <w:rPr>
          <w:rFonts w:eastAsia="Arial" w:cs="Arial"/>
          <w:sz w:val="20"/>
          <w:szCs w:val="20"/>
        </w:rPr>
      </w:pPr>
      <w:r>
        <w:rPr>
          <w:rFonts w:eastAsia="Arial" w:cs="Arial"/>
          <w:sz w:val="20"/>
          <w:szCs w:val="20"/>
        </w:rPr>
        <w:t>Schedule 13G filing upon a material change in the facts or other information presented in the previous Schedule 13G filing. For a Qualified Institutional Investor (QII) or Private Investor, also upon exceeding 10% beneficial ownership or a 5% increase or decrease in beneficial ownership as follows:</w:t>
      </w:r>
    </w:p>
    <w:p>
      <w:pPr>
        <w:numPr>
          <w:ilvl w:val="1"/>
          <w:numId w:val="806"/>
        </w:numPr>
        <w:ind w:left="1440" w:hanging="220"/>
        <w:jc w:val="left"/>
        <w:rPr>
          <w:rFonts w:eastAsia="Arial" w:cs="Arial"/>
          <w:sz w:val="20"/>
          <w:szCs w:val="20"/>
        </w:rPr>
      </w:pPr>
      <w:r>
        <w:rPr>
          <w:rFonts w:eastAsia="Arial" w:cs="Arial"/>
          <w:sz w:val="20"/>
          <w:szCs w:val="20"/>
        </w:rPr>
        <w:t>Within 45 days after the calendar quarter end in which the material change occurred; and</w:t>
      </w:r>
    </w:p>
    <w:p>
      <w:pPr>
        <w:numPr>
          <w:ilvl w:val="1"/>
          <w:numId w:val="806"/>
        </w:numPr>
        <w:spacing w:after="200"/>
        <w:ind w:left="1440" w:hanging="220"/>
        <w:jc w:val="left"/>
        <w:rPr>
          <w:rFonts w:eastAsia="Arial" w:cs="Arial"/>
          <w:sz w:val="20"/>
          <w:szCs w:val="20"/>
        </w:rPr>
      </w:pPr>
      <w:r>
        <w:rPr>
          <w:rFonts w:eastAsia="Arial" w:cs="Arial"/>
          <w:sz w:val="20"/>
          <w:szCs w:val="20"/>
        </w:rPr>
        <w:t>For a QII or Private Investor, 5 days upon exceeding 10% beneficial ownership or a 5% increase or decrease in beneficial ownership.</w:t>
      </w:r>
    </w:p>
    <w:p>
      <w:bookmarkEnd w:id="919"/>
      <w:bookmarkStart w:id="920" w:name="Sec_Chp_061016102257046_061016102258218"/>
    </w:p>
    <w:p>
      <w:pPr>
        <w:pStyle w:val="Heading4"/>
      </w:pPr>
      <w:r>
        <w:t>11.3.13.4 Joint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Control persons have separate reporting obligations. However, the Chief Compliance Officer may arrange for KCD and the control person to make a joint Schedule 13G filing under the following conditions: </w:t>
      </w:r>
    </w:p>
    <w:p>
      <w:pPr>
        <w:numPr>
          <w:ilvl w:val="0"/>
          <w:numId w:val="807"/>
        </w:numPr>
        <w:spacing w:before="200"/>
        <w:ind w:left="720" w:hanging="267"/>
        <w:jc w:val="left"/>
        <w:rPr>
          <w:rFonts w:eastAsia="Arial" w:cs="Arial"/>
          <w:sz w:val="20"/>
          <w:szCs w:val="20"/>
        </w:rPr>
      </w:pPr>
      <w:r>
        <w:rPr>
          <w:rFonts w:eastAsia="Arial" w:cs="Arial"/>
          <w:sz w:val="20"/>
          <w:szCs w:val="20"/>
        </w:rPr>
        <w:t xml:space="preserve">KCD itself is eligible to file the Schedule 13G; </w:t>
      </w:r>
    </w:p>
    <w:p>
      <w:pPr>
        <w:numPr>
          <w:ilvl w:val="0"/>
          <w:numId w:val="807"/>
        </w:numPr>
        <w:ind w:left="720" w:hanging="267"/>
        <w:jc w:val="left"/>
        <w:rPr>
          <w:rFonts w:eastAsia="Arial" w:cs="Arial"/>
          <w:sz w:val="20"/>
          <w:szCs w:val="20"/>
        </w:rPr>
      </w:pPr>
      <w:r>
        <w:rPr>
          <w:rFonts w:eastAsia="Arial" w:cs="Arial"/>
          <w:sz w:val="20"/>
          <w:szCs w:val="20"/>
        </w:rPr>
        <w:t xml:space="preserve">No control person intends to influence the control of the issuer of the securities; </w:t>
      </w:r>
    </w:p>
    <w:p>
      <w:pPr>
        <w:numPr>
          <w:ilvl w:val="0"/>
          <w:numId w:val="807"/>
        </w:numPr>
        <w:ind w:left="720" w:hanging="267"/>
        <w:jc w:val="left"/>
        <w:rPr>
          <w:rFonts w:eastAsia="Arial" w:cs="Arial"/>
          <w:sz w:val="20"/>
          <w:szCs w:val="20"/>
        </w:rPr>
      </w:pPr>
      <w:r>
        <w:rPr>
          <w:rFonts w:eastAsia="Arial" w:cs="Arial"/>
          <w:sz w:val="20"/>
          <w:szCs w:val="20"/>
        </w:rPr>
        <w:t xml:space="preserve">Each control person files a separate Schedule 13G cover sheet, signs the Schedule 13G in his or her capacity, and attaches a joint filing agreement; and </w:t>
      </w:r>
    </w:p>
    <w:p>
      <w:pPr>
        <w:numPr>
          <w:ilvl w:val="0"/>
          <w:numId w:val="807"/>
        </w:numPr>
        <w:spacing w:after="200"/>
        <w:ind w:left="720" w:hanging="267"/>
        <w:jc w:val="left"/>
        <w:rPr>
          <w:rFonts w:eastAsia="Arial" w:cs="Arial"/>
          <w:sz w:val="20"/>
          <w:szCs w:val="20"/>
        </w:rPr>
      </w:pPr>
      <w:r>
        <w:rPr>
          <w:rFonts w:eastAsia="Arial" w:cs="Arial"/>
          <w:sz w:val="20"/>
          <w:szCs w:val="20"/>
        </w:rPr>
        <w:t xml:space="preserve">In the case of a parent holding company, the parent holding company and control persons own 1% or less of the issuer's outstanding securities. </w:t>
      </w:r>
    </w:p>
    <w:p>
      <w:pPr>
        <w:pStyle w:val="normal0"/>
        <w:spacing w:before="200" w:after="200"/>
        <w:rPr>
          <w:rFonts w:eastAsia="Arial" w:cs="Arial"/>
          <w:sz w:val="20"/>
          <w:szCs w:val="20"/>
        </w:rPr>
      </w:pPr>
      <w:r>
        <w:rPr>
          <w:rFonts w:eastAsia="Arial" w:cs="Arial"/>
          <w:sz w:val="20"/>
          <w:szCs w:val="20"/>
        </w:rPr>
        <w:t xml:space="preserve">If a client of KCD by itself owns 5% or more of an issuer's securities, it has a separate reporting obligation. The client must find out if it is eligible to file a Schedule 13G. If the client can make a Schedule 13G filing, the Chief Compliance Officer ordinarily will advise the client to make a filing separate from KCD's filing. </w:t>
      </w:r>
    </w:p>
    <w:p>
      <w:bookmarkEnd w:id="920"/>
      <w:bookmarkStart w:id="921" w:name="Sec_Chp_061016102257046_061016102258250"/>
    </w:p>
    <w:p>
      <w:pPr>
        <w:pStyle w:val="Heading3"/>
      </w:pPr>
      <w:bookmarkStart w:id="922" w:name="_Toc256000228"/>
      <w:r>
        <w:t>11.3.14 Form 3, 4, and 5 Filings</w:t>
      </w:r>
      <w:bookmarkEnd w:id="922"/>
      <w:r>
        <w:t xml:space="preserve"> </w:t>
      </w:r>
    </w:p>
    <w:p/>
    <w:p>
      <w:pPr>
        <w:rPr>
          <w:rFonts w:eastAsia="Arial" w:cs="Arial"/>
          <w:sz w:val="16"/>
          <w:szCs w:val="16"/>
        </w:rPr>
      </w:pPr>
      <w:r>
        <w:rPr>
          <w:rFonts w:eastAsia="Arial" w:cs="Arial"/>
          <w:sz w:val="16"/>
          <w:szCs w:val="16"/>
        </w:rPr>
        <w:t>[SEC Securities Exchange Act of 1934 Section 16]</w:t>
      </w:r>
    </w:p>
    <w:p/>
    <w:p>
      <w:pPr>
        <w:pStyle w:val="normal0"/>
        <w:spacing w:after="200"/>
        <w:rPr>
          <w:rFonts w:eastAsia="Arial" w:cs="Arial"/>
          <w:sz w:val="20"/>
          <w:szCs w:val="20"/>
        </w:rPr>
      </w:pPr>
      <w:r>
        <w:rPr>
          <w:rFonts w:eastAsia="Arial" w:cs="Arial"/>
          <w:sz w:val="20"/>
          <w:szCs w:val="20"/>
        </w:rPr>
        <w:t xml:space="preserve">From time to time, KCD may have a client or an employee who is an "insider" for purposes of Section 16 of the Securities Exchange Act of 1934. An insider, generally, is a direct or indirect beneficial owner of more than 10 percent of any class of an equity security that is registered with the SEC, or an executive officer, director or other employee involved in the policy making of a publicly traded company. In addition, KCD's clients in the aggregate may own 10 percent or more of a class of equity securities, potentially causing KCD to have insider status. Insider status necessitates a filing under Section 16 of the Securities Exchange Act of 1934. </w:t>
      </w:r>
    </w:p>
    <w:p>
      <w:bookmarkEnd w:id="921"/>
      <w:bookmarkStart w:id="923" w:name="Sec_Chp_061016102257046_061016102258265"/>
    </w:p>
    <w:p>
      <w:pPr>
        <w:pStyle w:val="Heading4"/>
      </w:pPr>
      <w:r>
        <w:t>11.3.14.1 Monitoring</w:t>
      </w:r>
    </w:p>
    <w:p/>
    <w:p>
      <w:pPr>
        <w:rPr>
          <w:rFonts w:eastAsia="Arial" w:cs="Arial"/>
          <w:sz w:val="16"/>
          <w:szCs w:val="16"/>
        </w:rPr>
      </w:pPr>
      <w:r>
        <w:rPr>
          <w:rFonts w:eastAsia="Arial" w:cs="Arial"/>
          <w:sz w:val="16"/>
          <w:szCs w:val="16"/>
        </w:rPr>
        <w:t>[SEC Securities Exchange Act of 1934 Section 16]</w:t>
      </w:r>
    </w:p>
    <w:p/>
    <w:p>
      <w:pPr>
        <w:pStyle w:val="normal0"/>
        <w:spacing w:after="200"/>
        <w:rPr>
          <w:rFonts w:eastAsia="Arial" w:cs="Arial"/>
          <w:sz w:val="20"/>
          <w:szCs w:val="20"/>
        </w:rPr>
      </w:pPr>
      <w:r>
        <w:rPr>
          <w:rFonts w:eastAsia="Arial" w:cs="Arial"/>
          <w:sz w:val="20"/>
          <w:szCs w:val="20"/>
        </w:rPr>
        <w:t>Periodically, the Chief Compliance Officer shall review the status of clients and officers of KCD to ascertain whether any such person is an "insider" for purposes of Section 16 of the Securities Exchange Act of 1934. One method of monitoring will be reviewing the employment status of the client on KCD's client information form and periodically asking employees to report outside activities. In addition, KCD will monitor whether its clients in the aggregate own 10 percent of any class of equity security that is registered with the SEC.</w:t>
      </w:r>
    </w:p>
    <w:p>
      <w:bookmarkEnd w:id="923"/>
      <w:bookmarkStart w:id="924" w:name="Sec_Chp_061016102257046_061016102258281"/>
    </w:p>
    <w:p>
      <w:pPr>
        <w:pStyle w:val="Heading4"/>
      </w:pPr>
      <w:r>
        <w:t>11.3.14.2 Client Insider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advise any client or employee who gains insider status to file with the SEC (via EDGAR):</w:t>
      </w:r>
    </w:p>
    <w:p>
      <w:pPr>
        <w:numPr>
          <w:ilvl w:val="0"/>
          <w:numId w:val="808"/>
        </w:numPr>
        <w:spacing w:before="200"/>
        <w:ind w:left="720" w:hanging="192"/>
        <w:jc w:val="left"/>
        <w:rPr>
          <w:rFonts w:eastAsia="Arial" w:cs="Arial"/>
          <w:sz w:val="20"/>
          <w:szCs w:val="20"/>
        </w:rPr>
      </w:pPr>
      <w:r>
        <w:rPr>
          <w:rFonts w:eastAsia="Arial" w:cs="Arial"/>
          <w:sz w:val="20"/>
          <w:szCs w:val="20"/>
        </w:rPr>
        <w:t>a Form 3 within 10 days after gaining such status;</w:t>
      </w:r>
    </w:p>
    <w:p>
      <w:pPr>
        <w:numPr>
          <w:ilvl w:val="0"/>
          <w:numId w:val="808"/>
        </w:numPr>
        <w:ind w:left="720" w:hanging="192"/>
        <w:jc w:val="left"/>
        <w:rPr>
          <w:rFonts w:eastAsia="Arial" w:cs="Arial"/>
          <w:sz w:val="20"/>
          <w:szCs w:val="20"/>
        </w:rPr>
      </w:pPr>
      <w:r>
        <w:rPr>
          <w:rFonts w:eastAsia="Arial" w:cs="Arial"/>
          <w:sz w:val="20"/>
          <w:szCs w:val="20"/>
        </w:rPr>
        <w:t>a Form 4 will be filed when the insider changes his or her position in the applicable security through a purchase, sale, exercise of an option, or other transaction; and</w:t>
      </w:r>
    </w:p>
    <w:p>
      <w:pPr>
        <w:numPr>
          <w:ilvl w:val="0"/>
          <w:numId w:val="808"/>
        </w:numPr>
        <w:spacing w:after="200"/>
        <w:ind w:left="720" w:hanging="192"/>
        <w:jc w:val="left"/>
        <w:rPr>
          <w:rFonts w:eastAsia="Arial" w:cs="Arial"/>
          <w:sz w:val="20"/>
          <w:szCs w:val="20"/>
        </w:rPr>
      </w:pPr>
      <w:r>
        <w:rPr>
          <w:rFonts w:eastAsia="Arial" w:cs="Arial"/>
          <w:sz w:val="20"/>
          <w:szCs w:val="20"/>
        </w:rPr>
        <w:t xml:space="preserve">a Form 5, the annual filing form, will be filed by the insider within 90 days of the company's fiscal year-end. </w:t>
      </w:r>
    </w:p>
    <w:p>
      <w:bookmarkEnd w:id="924"/>
      <w:bookmarkStart w:id="925" w:name="Sec_Chp_061016102257046_0610161022582813"/>
    </w:p>
    <w:p>
      <w:pPr>
        <w:pStyle w:val="Heading4"/>
      </w:pPr>
      <w:r>
        <w:t>11.3.14.3 Adviser Insider Status</w:t>
      </w:r>
    </w:p>
    <w:p/>
    <w:p>
      <w:pPr>
        <w:rPr>
          <w:rFonts w:eastAsia="Arial" w:cs="Arial"/>
          <w:sz w:val="16"/>
          <w:szCs w:val="16"/>
        </w:rPr>
      </w:pPr>
      <w:r>
        <w:rPr>
          <w:rFonts w:eastAsia="Arial" w:cs="Arial"/>
          <w:sz w:val="16"/>
          <w:szCs w:val="16"/>
        </w:rPr>
        <w:t>[SEC Securities Exchange Act of 1934 Section 16]</w:t>
      </w:r>
    </w:p>
    <w:p/>
    <w:p>
      <w:pPr>
        <w:pStyle w:val="normal0"/>
        <w:spacing w:after="200"/>
        <w:rPr>
          <w:rFonts w:eastAsia="Arial" w:cs="Arial"/>
          <w:sz w:val="20"/>
          <w:szCs w:val="20"/>
        </w:rPr>
      </w:pPr>
      <w:r>
        <w:rPr>
          <w:rFonts w:eastAsia="Arial" w:cs="Arial"/>
          <w:sz w:val="20"/>
          <w:szCs w:val="20"/>
        </w:rPr>
        <w:t>If the clients of KCD in the aggregate own 10 percent of any class of equity security that is registered with the SEC, KCD will determine whether it has "insider status" for purposes of Section 16. KCD will not have insider status if it does not have voting and/or investment power over the shares held in these client accounts. If KCD does have voting and/or investment power over these shares, it will not have insider status if the shares are held:</w:t>
      </w:r>
    </w:p>
    <w:p>
      <w:pPr>
        <w:numPr>
          <w:ilvl w:val="0"/>
          <w:numId w:val="809"/>
        </w:numPr>
        <w:spacing w:before="200"/>
        <w:ind w:left="720" w:hanging="192"/>
        <w:jc w:val="left"/>
        <w:rPr>
          <w:rFonts w:eastAsia="Arial" w:cs="Arial"/>
          <w:sz w:val="20"/>
          <w:szCs w:val="20"/>
        </w:rPr>
      </w:pPr>
      <w:r>
        <w:rPr>
          <w:rFonts w:eastAsia="Arial" w:cs="Arial"/>
          <w:sz w:val="20"/>
          <w:szCs w:val="20"/>
        </w:rPr>
        <w:t>in client accounts in the ordinary course of business; and</w:t>
      </w:r>
    </w:p>
    <w:p>
      <w:pPr>
        <w:numPr>
          <w:ilvl w:val="0"/>
          <w:numId w:val="809"/>
        </w:numPr>
        <w:spacing w:after="200"/>
        <w:ind w:left="720" w:hanging="192"/>
        <w:jc w:val="left"/>
        <w:rPr>
          <w:rFonts w:eastAsia="Arial" w:cs="Arial"/>
          <w:sz w:val="20"/>
          <w:szCs w:val="20"/>
        </w:rPr>
      </w:pPr>
      <w:r>
        <w:rPr>
          <w:rFonts w:eastAsia="Arial" w:cs="Arial"/>
          <w:sz w:val="20"/>
          <w:szCs w:val="20"/>
        </w:rPr>
        <w:t>without the purpose or effect of changing or influencing control of the issuer.</w:t>
      </w:r>
    </w:p>
    <w:p>
      <w:pPr>
        <w:pStyle w:val="normal0"/>
        <w:spacing w:before="200" w:after="200"/>
        <w:rPr>
          <w:rFonts w:eastAsia="Arial" w:cs="Arial"/>
          <w:sz w:val="20"/>
          <w:szCs w:val="20"/>
        </w:rPr>
      </w:pPr>
      <w:r>
        <w:rPr>
          <w:rFonts w:eastAsia="Arial" w:cs="Arial"/>
          <w:sz w:val="20"/>
          <w:szCs w:val="20"/>
        </w:rPr>
        <w:t>If any one client account owns over 10 percent of the issuer, the account may be subject to Section 16 if the client has or shares beneficial ownership with KCD.</w:t>
      </w:r>
    </w:p>
    <w:p>
      <w:bookmarkEnd w:id="925"/>
      <w:bookmarkStart w:id="926" w:name="Sec_Chp_061016102257046_061016102258296"/>
    </w:p>
    <w:p>
      <w:pPr>
        <w:pStyle w:val="Heading4"/>
      </w:pPr>
      <w:r>
        <w:t xml:space="preserve">11.3.14.4 Short Swing Profit Rule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inform clients or employees who are insiders of their obligation to comply with the SEC's "Short Swing Profit Rule," which limits their ability to buy and sell their company's securities in a short period of time.</w:t>
      </w:r>
    </w:p>
    <w:p>
      <w:bookmarkEnd w:id="926"/>
      <w:bookmarkStart w:id="927" w:name="Sec_Chp_061016102257046_061016102258312"/>
    </w:p>
    <w:p>
      <w:pPr>
        <w:pStyle w:val="Heading3"/>
      </w:pPr>
      <w:bookmarkStart w:id="928" w:name="_Toc256000229"/>
      <w:r>
        <w:t>11.3.15 Execution of Signatures on Filings</w:t>
      </w:r>
      <w:bookmarkEnd w:id="928"/>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When executing a filing with a government agency, the Chief Compliance Officer shall make sure the following procedures are taken:</w:t>
      </w:r>
    </w:p>
    <w:p>
      <w:pPr>
        <w:numPr>
          <w:ilvl w:val="0"/>
          <w:numId w:val="810"/>
        </w:numPr>
        <w:spacing w:before="200"/>
        <w:ind w:left="720" w:hanging="192"/>
        <w:jc w:val="left"/>
        <w:rPr>
          <w:rFonts w:eastAsia="Arial" w:cs="Arial"/>
          <w:sz w:val="20"/>
          <w:szCs w:val="20"/>
        </w:rPr>
      </w:pPr>
      <w:r>
        <w:rPr>
          <w:rFonts w:eastAsia="Arial" w:cs="Arial"/>
          <w:sz w:val="20"/>
          <w:szCs w:val="20"/>
        </w:rPr>
        <w:t xml:space="preserve">Anyone executing a filing on behalf of KCD will use his or her full legal name; </w:t>
      </w:r>
    </w:p>
    <w:p>
      <w:pPr>
        <w:numPr>
          <w:ilvl w:val="0"/>
          <w:numId w:val="810"/>
        </w:numPr>
        <w:ind w:left="720" w:hanging="192"/>
        <w:jc w:val="left"/>
        <w:rPr>
          <w:rFonts w:eastAsia="Arial" w:cs="Arial"/>
          <w:sz w:val="20"/>
          <w:szCs w:val="20"/>
        </w:rPr>
      </w:pPr>
      <w:r>
        <w:rPr>
          <w:rFonts w:eastAsia="Arial" w:cs="Arial"/>
          <w:sz w:val="20"/>
          <w:szCs w:val="20"/>
        </w:rPr>
        <w:t xml:space="preserve">The Chief Compliance Officer will check the government form to see if it requires the execution to be notarized, and if so, arrange for the form to be notarized prior to filing the document; and </w:t>
      </w:r>
    </w:p>
    <w:p>
      <w:pPr>
        <w:numPr>
          <w:ilvl w:val="0"/>
          <w:numId w:val="810"/>
        </w:numPr>
        <w:ind w:left="720" w:hanging="192"/>
        <w:jc w:val="left"/>
        <w:rPr>
          <w:rFonts w:eastAsia="Arial" w:cs="Arial"/>
          <w:sz w:val="20"/>
          <w:szCs w:val="20"/>
        </w:rPr>
      </w:pPr>
      <w:r>
        <w:rPr>
          <w:rFonts w:eastAsia="Arial" w:cs="Arial"/>
          <w:sz w:val="20"/>
          <w:szCs w:val="20"/>
        </w:rPr>
        <w:t xml:space="preserve">The Chief Compliance Officer will ensure that the document is executed in the proper manner depending on the type of person or entity that is filing the form: </w:t>
      </w:r>
    </w:p>
    <w:p>
      <w:pPr>
        <w:numPr>
          <w:ilvl w:val="1"/>
          <w:numId w:val="810"/>
        </w:numPr>
        <w:ind w:left="1440" w:hanging="220"/>
        <w:jc w:val="left"/>
        <w:rPr>
          <w:rFonts w:eastAsia="Arial" w:cs="Arial"/>
          <w:sz w:val="20"/>
          <w:szCs w:val="20"/>
        </w:rPr>
      </w:pPr>
      <w:r>
        <w:rPr>
          <w:rFonts w:eastAsia="Arial" w:cs="Arial"/>
          <w:sz w:val="20"/>
          <w:szCs w:val="20"/>
        </w:rPr>
        <w:t xml:space="preserve">Corporation or Limited Liability Company: signed in the company's name by an authorized officer, principal or member of the company; </w:t>
      </w:r>
    </w:p>
    <w:p>
      <w:pPr>
        <w:numPr>
          <w:ilvl w:val="1"/>
          <w:numId w:val="810"/>
        </w:numPr>
        <w:ind w:left="1440" w:hanging="220"/>
        <w:jc w:val="left"/>
        <w:rPr>
          <w:rFonts w:eastAsia="Arial" w:cs="Arial"/>
          <w:sz w:val="20"/>
          <w:szCs w:val="20"/>
        </w:rPr>
      </w:pPr>
      <w:r>
        <w:rPr>
          <w:rFonts w:eastAsia="Arial" w:cs="Arial"/>
          <w:sz w:val="20"/>
          <w:szCs w:val="20"/>
        </w:rPr>
        <w:t xml:space="preserve">Partnership: signed in the partnership's name by the general partner; or </w:t>
      </w:r>
    </w:p>
    <w:p>
      <w:pPr>
        <w:numPr>
          <w:ilvl w:val="1"/>
          <w:numId w:val="810"/>
        </w:numPr>
        <w:spacing w:after="200"/>
        <w:ind w:left="1440" w:hanging="220"/>
        <w:jc w:val="left"/>
        <w:rPr>
          <w:rFonts w:eastAsia="Arial" w:cs="Arial"/>
          <w:sz w:val="20"/>
          <w:szCs w:val="20"/>
        </w:rPr>
      </w:pPr>
      <w:r>
        <w:rPr>
          <w:rFonts w:eastAsia="Arial" w:cs="Arial"/>
          <w:sz w:val="20"/>
          <w:szCs w:val="20"/>
        </w:rPr>
        <w:t>Individual: signed in the individual's name.</w:t>
      </w:r>
    </w:p>
    <w:p>
      <w:bookmarkEnd w:id="927"/>
      <w:bookmarkStart w:id="929" w:name="Sec_Chp_061016102257046_061016102258313"/>
    </w:p>
    <w:p>
      <w:pPr>
        <w:pStyle w:val="Heading3"/>
      </w:pPr>
      <w:bookmarkStart w:id="930" w:name="_Toc256000230"/>
      <w:r>
        <w:t>11.3.16 Form SHC Filings</w:t>
      </w:r>
      <w:bookmarkEnd w:id="930"/>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Form SHC is the form filed by financial institutions with the Federal Reserve Bank of New York to survey ownership of foreign securities. Form SHC is filed once every five years. The last filing was required for certain advisers in 2011. The next filing will be due in 2017 with respect to the 2016 tax year. The Federal Reserve Bank of New York can request a more frequent filing. The Form is intended to provide data to the U.S. government relating to ownership of foreign securities by U.S. residents to assist in the computation of the U.S. balance of payments accounts and the U.S. investment position, among other things.</w:t>
      </w:r>
    </w:p>
    <w:p>
      <w:bookmarkEnd w:id="929"/>
      <w:bookmarkStart w:id="931" w:name="Sec_Chp_061016102257046_0610161022583131"/>
    </w:p>
    <w:p>
      <w:pPr>
        <w:pStyle w:val="Heading4"/>
      </w:pPr>
      <w:r>
        <w:t>11.3.16.1 Filing Requirement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CCO or designee shall determine who is required to file a Form SHC.</w:t>
      </w:r>
    </w:p>
    <w:p>
      <w:pPr>
        <w:pStyle w:val="normal0"/>
        <w:spacing w:before="200" w:after="200"/>
        <w:rPr>
          <w:rFonts w:eastAsia="Arial" w:cs="Arial"/>
          <w:sz w:val="20"/>
          <w:szCs w:val="20"/>
        </w:rPr>
      </w:pPr>
      <w:r>
        <w:rPr>
          <w:rFonts w:eastAsia="Arial" w:cs="Arial"/>
          <w:sz w:val="20"/>
          <w:szCs w:val="20"/>
        </w:rPr>
        <w:t>Two types of persons potentially are required to file Form SHC:</w:t>
      </w:r>
    </w:p>
    <w:p>
      <w:pPr>
        <w:numPr>
          <w:ilvl w:val="0"/>
          <w:numId w:val="811"/>
        </w:numPr>
        <w:spacing w:before="200"/>
        <w:ind w:left="720" w:hanging="192"/>
        <w:jc w:val="left"/>
        <w:rPr>
          <w:rFonts w:eastAsia="Arial" w:cs="Arial"/>
          <w:sz w:val="20"/>
          <w:szCs w:val="20"/>
        </w:rPr>
      </w:pPr>
      <w:r>
        <w:rPr>
          <w:rFonts w:eastAsia="Arial" w:cs="Arial"/>
          <w:sz w:val="20"/>
          <w:szCs w:val="20"/>
        </w:rPr>
        <w:t>Custodians: organizations that hold securities in safekeeping for other organizations; and</w:t>
      </w:r>
    </w:p>
    <w:p>
      <w:pPr>
        <w:numPr>
          <w:ilvl w:val="0"/>
          <w:numId w:val="811"/>
        </w:numPr>
        <w:spacing w:after="200"/>
        <w:ind w:left="720" w:hanging="192"/>
        <w:jc w:val="left"/>
        <w:rPr>
          <w:rFonts w:eastAsia="Arial" w:cs="Arial"/>
          <w:sz w:val="20"/>
          <w:szCs w:val="20"/>
        </w:rPr>
      </w:pPr>
      <w:r>
        <w:rPr>
          <w:rFonts w:eastAsia="Arial" w:cs="Arial"/>
          <w:sz w:val="20"/>
          <w:szCs w:val="20"/>
        </w:rPr>
        <w:t>End-Investors: any entity that is a resident in the U.S. that either invests for its own account or on behalf of others, including managed accounts and asset pools, such as hedge funds.</w:t>
      </w:r>
    </w:p>
    <w:p>
      <w:pPr>
        <w:pStyle w:val="normal0"/>
        <w:spacing w:before="200" w:after="200"/>
        <w:rPr>
          <w:rFonts w:eastAsia="Arial" w:cs="Arial"/>
          <w:sz w:val="20"/>
          <w:szCs w:val="20"/>
        </w:rPr>
      </w:pPr>
      <w:r>
        <w:rPr>
          <w:rFonts w:eastAsia="Arial" w:cs="Arial"/>
          <w:sz w:val="20"/>
          <w:szCs w:val="20"/>
        </w:rPr>
        <w:t>The CCO will file Form SHC if the reporting thresholds set forth herein are met or exceeded, unless an exemption is available.</w:t>
      </w:r>
    </w:p>
    <w:p>
      <w:bookmarkEnd w:id="931"/>
      <w:bookmarkStart w:id="932" w:name="Sec_Chp_061016102257046_0610161022583132"/>
    </w:p>
    <w:p>
      <w:pPr>
        <w:pStyle w:val="Heading4"/>
      </w:pPr>
      <w:r>
        <w:t>11.3.16.2 Appropriate Schedules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Form SHC is comprised of three schedules. Once the CCO determines that KCD is required to file a Form SHC for each Reporting Entity, he or she next will determine which schedule(s) to file for such entity. </w:t>
      </w:r>
    </w:p>
    <w:p>
      <w:pPr>
        <w:pStyle w:val="normal0"/>
        <w:spacing w:before="200" w:after="200"/>
        <w:jc w:val="center"/>
        <w:rPr>
          <w:rFonts w:eastAsia="Arial" w:cs="Arial"/>
          <w:sz w:val="20"/>
          <w:szCs w:val="20"/>
        </w:rPr>
      </w:pPr>
      <w:r>
        <w:rPr>
          <w:rFonts w:eastAsia="Arial" w:cs="Arial"/>
          <w:b/>
          <w:bCs/>
          <w:sz w:val="20"/>
          <w:szCs w:val="20"/>
        </w:rPr>
        <w:t>Schedules</w:t>
      </w: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Schedule 1</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file Schedule 1 if it has received a letter from the Federal Reserve Bank of New York requiring it to make a Form SHC filing. This schedule requires reporter-identifying information and summaries of financial information provided in the other two schedules. If KCD must file Schedule 1 because it received notice from the Federal Reserve Bank of New York to do so, but does not have holdings of reportable foreign securities owned by U.S.-resident end-investors with a fair value of at least $100 million, it does not have to file Schedule 2 or Schedule 3.</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Schedule 2</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file Schedule 2 if the total value of foreign securities is $100 million or more and:</w:t>
            </w:r>
          </w:p>
          <w:p>
            <w:pPr>
              <w:numPr>
                <w:ilvl w:val="0"/>
                <w:numId w:val="812"/>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safe-keeps for itself or for its U.S.-resident clients; or</w:t>
            </w:r>
          </w:p>
          <w:p>
            <w:pPr>
              <w:numPr>
                <w:ilvl w:val="0"/>
                <w:numId w:val="81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holds directly with foreign-resident custodians or U.S.-resident or foreign-resident central securities depositories (e.g., The Depository Trust Company) to manage the safekeeping of those securities</w:t>
            </w:r>
          </w:p>
        </w:tc>
      </w:tr>
      <w:tr>
        <w:tblPrEx>
          <w:tblW w:w="5000" w:type="pct"/>
          <w:tblLook w:val="05E0"/>
        </w:tblPrEx>
        <w:tc>
          <w:tcPr>
            <w:tcW w:w="1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Schedule 3</w:t>
            </w:r>
          </w:p>
        </w:tc>
        <w:tc>
          <w:tcPr>
            <w:tcW w:w="4000" w:type="pct"/>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KCD will file Schedule 3 to report summary amounts of reportable foreign securities held at each of its U.S.-resident custodians. If, however, the reporting entity holds foreign securities with a fair value of less than $100 million at a given U.S.-resident custodian, it does not have to file Schedule 3 with respect to that custodian.</w:t>
            </w:r>
          </w:p>
        </w:tc>
      </w:tr>
    </w:tbl>
    <w:p>
      <w:pPr>
        <w:pStyle w:val="normal0"/>
        <w:spacing w:before="200" w:after="200"/>
        <w:rPr>
          <w:rFonts w:eastAsia="Arial" w:cs="Arial"/>
          <w:sz w:val="20"/>
          <w:szCs w:val="20"/>
        </w:rPr>
      </w:pPr>
      <w:r>
        <w:rPr>
          <w:rFonts w:eastAsia="Arial" w:cs="Arial"/>
          <w:sz w:val="20"/>
          <w:szCs w:val="20"/>
        </w:rPr>
        <w:t>Holdings of reportable foreign securities that constitute "direct investments" are excluded from the calculation of the $100 million filing threshold. U.S. direct investment abroad is the ownership or control, directly or indirectly, by a U.S. resident of at least 10% of a foreign business enterprise.</w:t>
      </w:r>
    </w:p>
    <w:p>
      <w:pPr>
        <w:pStyle w:val="normal0"/>
        <w:spacing w:before="200" w:after="200"/>
        <w:rPr>
          <w:rFonts w:eastAsia="Arial" w:cs="Arial"/>
          <w:sz w:val="20"/>
          <w:szCs w:val="20"/>
        </w:rPr>
      </w:pPr>
      <w:r>
        <w:rPr>
          <w:rFonts w:eastAsia="Arial" w:cs="Arial"/>
          <w:sz w:val="20"/>
          <w:szCs w:val="20"/>
        </w:rPr>
        <w:t>Schedules are filed with:</w:t>
      </w:r>
    </w:p>
    <w:p>
      <w:pPr>
        <w:pStyle w:val="normal0"/>
        <w:spacing w:before="200" w:after="200"/>
        <w:rPr>
          <w:rFonts w:eastAsia="Arial" w:cs="Arial"/>
          <w:sz w:val="20"/>
          <w:szCs w:val="20"/>
        </w:rPr>
      </w:pPr>
      <w:r>
        <w:rPr>
          <w:rFonts w:eastAsia="Arial" w:cs="Arial"/>
          <w:sz w:val="20"/>
          <w:szCs w:val="20"/>
        </w:rPr>
        <w:t xml:space="preserve">Federal Reserve Bank of New York </w:t>
      </w:r>
      <w:r>
        <w:rPr>
          <w:rFonts w:eastAsia="Arial" w:cs="Arial"/>
          <w:sz w:val="20"/>
          <w:szCs w:val="20"/>
        </w:rPr>
        <w:br/>
      </w:r>
      <w:r>
        <w:rPr>
          <w:rFonts w:eastAsia="Arial" w:cs="Arial"/>
          <w:sz w:val="20"/>
          <w:szCs w:val="20"/>
        </w:rPr>
        <w:t>Statistics Function, 4</w:t>
      </w:r>
      <w:r>
        <w:rPr>
          <w:rFonts w:eastAsia="Arial" w:cs="Arial"/>
          <w:sz w:val="25"/>
          <w:szCs w:val="25"/>
          <w:vertAlign w:val="superscript"/>
        </w:rPr>
        <w:t>th</w:t>
      </w:r>
      <w:r>
        <w:rPr>
          <w:rFonts w:eastAsia="Arial" w:cs="Arial"/>
          <w:sz w:val="20"/>
          <w:szCs w:val="20"/>
        </w:rPr>
        <w:t xml:space="preserve"> Floor </w:t>
      </w:r>
      <w:r>
        <w:rPr>
          <w:rFonts w:eastAsia="Arial" w:cs="Arial"/>
          <w:sz w:val="20"/>
          <w:szCs w:val="20"/>
        </w:rPr>
        <w:br/>
      </w:r>
      <w:r>
        <w:rPr>
          <w:rFonts w:eastAsia="Arial" w:cs="Arial"/>
          <w:sz w:val="20"/>
          <w:szCs w:val="20"/>
        </w:rPr>
        <w:t xml:space="preserve">33 Liberty Street </w:t>
      </w:r>
      <w:r>
        <w:rPr>
          <w:rFonts w:eastAsia="Arial" w:cs="Arial"/>
          <w:sz w:val="20"/>
          <w:szCs w:val="20"/>
        </w:rPr>
        <w:br/>
      </w:r>
      <w:r>
        <w:rPr>
          <w:rFonts w:eastAsia="Arial" w:cs="Arial"/>
          <w:sz w:val="20"/>
          <w:szCs w:val="20"/>
        </w:rPr>
        <w:t>New York, New York 10045-0001</w:t>
      </w:r>
    </w:p>
    <w:p>
      <w:bookmarkEnd w:id="932"/>
      <w:bookmarkStart w:id="933" w:name="Sec_Chp_061016102257046_0610161022583133"/>
    </w:p>
    <w:p>
      <w:pPr>
        <w:pStyle w:val="Heading4"/>
      </w:pPr>
      <w:r>
        <w:t>11.3.16.3 Reportable Foreign Securities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"Reportable foreign securities" are U.S.-resident holdings of foreign portfolio securities, such as:</w:t>
      </w:r>
    </w:p>
    <w:p>
      <w:pPr>
        <w:numPr>
          <w:ilvl w:val="0"/>
          <w:numId w:val="813"/>
        </w:numPr>
        <w:spacing w:before="200"/>
        <w:ind w:left="720" w:hanging="192"/>
        <w:jc w:val="left"/>
        <w:rPr>
          <w:rFonts w:eastAsia="Arial" w:cs="Arial"/>
          <w:sz w:val="20"/>
          <w:szCs w:val="20"/>
        </w:rPr>
      </w:pPr>
      <w:r>
        <w:rPr>
          <w:rFonts w:eastAsia="Arial" w:cs="Arial"/>
          <w:sz w:val="20"/>
          <w:szCs w:val="20"/>
        </w:rPr>
        <w:t>foreign equities;</w:t>
      </w:r>
    </w:p>
    <w:p>
      <w:pPr>
        <w:numPr>
          <w:ilvl w:val="0"/>
          <w:numId w:val="813"/>
        </w:numPr>
        <w:ind w:left="720" w:hanging="192"/>
        <w:jc w:val="left"/>
        <w:rPr>
          <w:rFonts w:eastAsia="Arial" w:cs="Arial"/>
          <w:sz w:val="20"/>
          <w:szCs w:val="20"/>
        </w:rPr>
      </w:pPr>
      <w:r>
        <w:rPr>
          <w:rFonts w:eastAsia="Arial" w:cs="Arial"/>
          <w:sz w:val="20"/>
          <w:szCs w:val="20"/>
        </w:rPr>
        <w:t>short-term debt securities, including selected money market instruments; and</w:t>
      </w:r>
    </w:p>
    <w:p>
      <w:pPr>
        <w:numPr>
          <w:ilvl w:val="0"/>
          <w:numId w:val="813"/>
        </w:numPr>
        <w:spacing w:after="200"/>
        <w:ind w:left="720" w:hanging="192"/>
        <w:jc w:val="left"/>
        <w:rPr>
          <w:rFonts w:eastAsia="Arial" w:cs="Arial"/>
          <w:sz w:val="20"/>
          <w:szCs w:val="20"/>
        </w:rPr>
      </w:pPr>
      <w:r>
        <w:rPr>
          <w:rFonts w:eastAsia="Arial" w:cs="Arial"/>
          <w:sz w:val="20"/>
          <w:szCs w:val="20"/>
        </w:rPr>
        <w:t>long-term debt securities (debt securities with a maturity of at least one year), including asset-backed securities.</w:t>
      </w:r>
    </w:p>
    <w:p>
      <w:pPr>
        <w:pStyle w:val="normal0"/>
        <w:spacing w:before="200" w:after="200"/>
        <w:rPr>
          <w:rFonts w:eastAsia="Arial" w:cs="Arial"/>
          <w:sz w:val="20"/>
          <w:szCs w:val="20"/>
        </w:rPr>
      </w:pPr>
      <w:r>
        <w:rPr>
          <w:rFonts w:eastAsia="Arial" w:cs="Arial"/>
          <w:sz w:val="20"/>
          <w:szCs w:val="20"/>
        </w:rPr>
        <w:t>"Foreign securities" are all securities issued by entities that are established under the laws of a foreign country (</w:t>
      </w:r>
      <w:r>
        <w:rPr>
          <w:rFonts w:eastAsia="Arial" w:cs="Arial"/>
          <w:i/>
          <w:iCs/>
          <w:sz w:val="20"/>
          <w:szCs w:val="20"/>
        </w:rPr>
        <w:t>i.e.,</w:t>
      </w:r>
      <w:r>
        <w:rPr>
          <w:rFonts w:eastAsia="Arial" w:cs="Arial"/>
          <w:sz w:val="20"/>
          <w:szCs w:val="20"/>
        </w:rPr>
        <w:t xml:space="preserve"> any entity that is legally incorporated, otherwise legally organized or licensed (such as branches) in a foreign country) and all securities issued by international or regional organizations, such as the International Bank for Reconstruction and Development, even if these organizations are physically located in the United States.</w:t>
      </w:r>
    </w:p>
    <w:p>
      <w:pPr>
        <w:pStyle w:val="normal0"/>
        <w:spacing w:before="200" w:after="200"/>
        <w:rPr>
          <w:rFonts w:eastAsia="Arial" w:cs="Arial"/>
          <w:sz w:val="20"/>
          <w:szCs w:val="20"/>
        </w:rPr>
      </w:pPr>
      <w:r>
        <w:rPr>
          <w:rFonts w:eastAsia="Arial" w:cs="Arial"/>
          <w:sz w:val="20"/>
          <w:szCs w:val="20"/>
        </w:rPr>
        <w:t xml:space="preserve">Excluded from reporting on Form SHC are, among other things: </w:t>
      </w:r>
    </w:p>
    <w:p>
      <w:pPr>
        <w:numPr>
          <w:ilvl w:val="0"/>
          <w:numId w:val="814"/>
        </w:numPr>
        <w:spacing w:before="200"/>
        <w:ind w:left="720" w:hanging="192"/>
        <w:jc w:val="left"/>
        <w:rPr>
          <w:rFonts w:eastAsia="Arial" w:cs="Arial"/>
          <w:sz w:val="20"/>
          <w:szCs w:val="20"/>
        </w:rPr>
      </w:pPr>
      <w:r>
        <w:rPr>
          <w:rFonts w:eastAsia="Arial" w:cs="Arial"/>
          <w:sz w:val="20"/>
          <w:szCs w:val="20"/>
        </w:rPr>
        <w:t>derivatives contracts;</w:t>
      </w:r>
    </w:p>
    <w:p>
      <w:pPr>
        <w:numPr>
          <w:ilvl w:val="0"/>
          <w:numId w:val="814"/>
        </w:numPr>
        <w:ind w:left="720" w:hanging="192"/>
        <w:jc w:val="left"/>
        <w:rPr>
          <w:rFonts w:eastAsia="Arial" w:cs="Arial"/>
          <w:sz w:val="20"/>
          <w:szCs w:val="20"/>
        </w:rPr>
      </w:pPr>
      <w:r>
        <w:rPr>
          <w:rFonts w:eastAsia="Arial" w:cs="Arial"/>
          <w:sz w:val="20"/>
          <w:szCs w:val="20"/>
        </w:rPr>
        <w:t>loans and loan participation certificates;</w:t>
      </w:r>
    </w:p>
    <w:p>
      <w:pPr>
        <w:numPr>
          <w:ilvl w:val="0"/>
          <w:numId w:val="814"/>
        </w:numPr>
        <w:ind w:left="720" w:hanging="192"/>
        <w:jc w:val="left"/>
        <w:rPr>
          <w:rFonts w:eastAsia="Arial" w:cs="Arial"/>
          <w:sz w:val="20"/>
          <w:szCs w:val="20"/>
        </w:rPr>
      </w:pPr>
      <w:r>
        <w:rPr>
          <w:rFonts w:eastAsia="Arial" w:cs="Arial"/>
          <w:sz w:val="20"/>
          <w:szCs w:val="20"/>
        </w:rPr>
        <w:t>letters of credit;</w:t>
      </w:r>
    </w:p>
    <w:p>
      <w:pPr>
        <w:numPr>
          <w:ilvl w:val="0"/>
          <w:numId w:val="814"/>
        </w:numPr>
        <w:ind w:left="720" w:hanging="192"/>
        <w:jc w:val="left"/>
        <w:rPr>
          <w:rFonts w:eastAsia="Arial" w:cs="Arial"/>
          <w:sz w:val="20"/>
          <w:szCs w:val="20"/>
        </w:rPr>
      </w:pPr>
      <w:r>
        <w:rPr>
          <w:rFonts w:eastAsia="Arial" w:cs="Arial"/>
          <w:sz w:val="20"/>
          <w:szCs w:val="20"/>
        </w:rPr>
        <w:t>non-negotiable certificates of deposit;</w:t>
      </w:r>
    </w:p>
    <w:p>
      <w:pPr>
        <w:numPr>
          <w:ilvl w:val="0"/>
          <w:numId w:val="814"/>
        </w:numPr>
        <w:ind w:left="720" w:hanging="192"/>
        <w:jc w:val="left"/>
        <w:rPr>
          <w:rFonts w:eastAsia="Arial" w:cs="Arial"/>
          <w:sz w:val="20"/>
          <w:szCs w:val="20"/>
        </w:rPr>
      </w:pPr>
      <w:r>
        <w:rPr>
          <w:rFonts w:eastAsia="Arial" w:cs="Arial"/>
          <w:sz w:val="20"/>
          <w:szCs w:val="20"/>
        </w:rPr>
        <w:t>foreign securities temporarily acquired under reverse repurchase, borrowing, or lending arrangements;</w:t>
      </w:r>
    </w:p>
    <w:p>
      <w:pPr>
        <w:numPr>
          <w:ilvl w:val="0"/>
          <w:numId w:val="814"/>
        </w:numPr>
        <w:ind w:left="720" w:hanging="192"/>
        <w:jc w:val="left"/>
        <w:rPr>
          <w:rFonts w:eastAsia="Arial" w:cs="Arial"/>
          <w:sz w:val="20"/>
          <w:szCs w:val="20"/>
        </w:rPr>
      </w:pPr>
      <w:r>
        <w:rPr>
          <w:rFonts w:eastAsia="Arial" w:cs="Arial"/>
          <w:sz w:val="20"/>
          <w:szCs w:val="20"/>
        </w:rPr>
        <w:t>direct investments; and</w:t>
      </w:r>
    </w:p>
    <w:p>
      <w:pPr>
        <w:numPr>
          <w:ilvl w:val="0"/>
          <w:numId w:val="814"/>
        </w:numPr>
        <w:spacing w:after="200"/>
        <w:ind w:left="720" w:hanging="192"/>
        <w:jc w:val="left"/>
        <w:rPr>
          <w:rFonts w:eastAsia="Arial" w:cs="Arial"/>
          <w:sz w:val="20"/>
          <w:szCs w:val="20"/>
        </w:rPr>
      </w:pPr>
      <w:r>
        <w:rPr>
          <w:rFonts w:eastAsia="Arial" w:cs="Arial"/>
          <w:sz w:val="20"/>
          <w:szCs w:val="20"/>
        </w:rPr>
        <w:t>venture capital funds and private equity funds.</w:t>
      </w:r>
    </w:p>
    <w:p>
      <w:pPr>
        <w:pStyle w:val="normal0"/>
        <w:spacing w:before="200" w:after="200"/>
        <w:rPr>
          <w:rFonts w:eastAsia="Arial" w:cs="Arial"/>
          <w:sz w:val="20"/>
          <w:szCs w:val="20"/>
        </w:rPr>
      </w:pPr>
      <w:r>
        <w:rPr>
          <w:rFonts w:eastAsia="Arial" w:cs="Arial"/>
          <w:sz w:val="20"/>
          <w:szCs w:val="20"/>
        </w:rPr>
        <w:t>The CCO will file Form SHC if the reporting thresholds set forth herein are met or exceeded, unless an exemption is available.</w:t>
      </w:r>
    </w:p>
    <w:p>
      <w:bookmarkEnd w:id="933"/>
      <w:bookmarkStart w:id="934" w:name="Sec_Chp_061016102257046_061016102258314"/>
    </w:p>
    <w:p>
      <w:pPr>
        <w:pStyle w:val="Heading3"/>
      </w:pPr>
      <w:bookmarkStart w:id="935" w:name="_Toc256000231"/>
      <w:r>
        <w:t>11.3.17 Exempt Reporting Advisers</w:t>
      </w:r>
      <w:bookmarkEnd w:id="935"/>
    </w:p>
    <w:p/>
    <w:p>
      <w:pPr>
        <w:rPr>
          <w:rFonts w:eastAsia="Arial" w:cs="Arial"/>
          <w:sz w:val="16"/>
          <w:szCs w:val="16"/>
        </w:rPr>
      </w:pPr>
    </w:p>
    <w:p>
      <w:pPr>
        <w:pStyle w:val="normal0"/>
        <w:spacing w:after="200"/>
        <w:rPr>
          <w:rFonts w:eastAsia="Arial" w:cs="Arial"/>
          <w:sz w:val="20"/>
          <w:szCs w:val="20"/>
        </w:rPr>
      </w:pPr>
      <w:r>
        <w:rPr>
          <w:rFonts w:eastAsia="Arial" w:cs="Arial"/>
          <w:sz w:val="20"/>
          <w:szCs w:val="20"/>
        </w:rPr>
        <w:t>Exempt reporting advisers, as their name suggests, are exempt from having to register with the SEC as investment advisers and thus are not subject to the regulation under the Advisers Act to the same extent as registered investment advisers. Exempt reporting advisers include U.S. advisers that manage private funds with assets that are less than $150 million and non-U.S. advisers that manage private funds that have no U.S. person clients (except for the private funds) and the assets managed by the adviser attributable to private funds managed in the U.S. are less than $150 million. An adviser that manages separately managed accounts in addition to hedge fund accounts may not register with the SEC as an exempt reporting adviser.</w:t>
      </w:r>
    </w:p>
    <w:p>
      <w:bookmarkEnd w:id="934"/>
      <w:bookmarkStart w:id="936" w:name="Sec_Chp_061016102257046_0610161022583141"/>
    </w:p>
    <w:p>
      <w:pPr>
        <w:pStyle w:val="Heading4"/>
      </w:pPr>
      <w:r>
        <w:t>11.3.17.1 Exempt Reporting Adviser Filing Requirement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an exempt reporting adviser, KCD will file Part 1A of Form ADV with the SEC. In such filing, KCD shall only complete the items and related schedules of Part 1A that exempt reporting advisers are required to complete. They include:</w:t>
      </w:r>
    </w:p>
    <w:p>
      <w:pPr>
        <w:numPr>
          <w:ilvl w:val="0"/>
          <w:numId w:val="815"/>
        </w:numPr>
        <w:spacing w:before="200"/>
        <w:ind w:left="720" w:hanging="192"/>
        <w:jc w:val="left"/>
        <w:rPr>
          <w:rFonts w:eastAsia="Arial" w:cs="Arial"/>
          <w:sz w:val="20"/>
          <w:szCs w:val="20"/>
        </w:rPr>
      </w:pPr>
      <w:r>
        <w:rPr>
          <w:rFonts w:eastAsia="Arial" w:cs="Arial"/>
          <w:sz w:val="20"/>
          <w:szCs w:val="20"/>
        </w:rPr>
        <w:t>Item 1 - Identifying Information.</w:t>
      </w:r>
    </w:p>
    <w:p>
      <w:pPr>
        <w:numPr>
          <w:ilvl w:val="0"/>
          <w:numId w:val="815"/>
        </w:numPr>
        <w:ind w:left="720" w:hanging="192"/>
        <w:jc w:val="left"/>
        <w:rPr>
          <w:rFonts w:eastAsia="Arial" w:cs="Arial"/>
          <w:sz w:val="20"/>
          <w:szCs w:val="20"/>
        </w:rPr>
      </w:pPr>
      <w:r>
        <w:rPr>
          <w:rFonts w:eastAsia="Arial" w:cs="Arial"/>
          <w:sz w:val="20"/>
          <w:szCs w:val="20"/>
        </w:rPr>
        <w:t>Item 2.B. - Qualification as an Exempt Reporting Adviser.</w:t>
      </w:r>
    </w:p>
    <w:p>
      <w:pPr>
        <w:numPr>
          <w:ilvl w:val="0"/>
          <w:numId w:val="815"/>
        </w:numPr>
        <w:ind w:left="720" w:hanging="192"/>
        <w:jc w:val="left"/>
        <w:rPr>
          <w:rFonts w:eastAsia="Arial" w:cs="Arial"/>
          <w:sz w:val="20"/>
          <w:szCs w:val="20"/>
        </w:rPr>
      </w:pPr>
      <w:r>
        <w:rPr>
          <w:rFonts w:eastAsia="Arial" w:cs="Arial"/>
          <w:sz w:val="20"/>
          <w:szCs w:val="20"/>
        </w:rPr>
        <w:t>Item 3 - Form of Organization.</w:t>
      </w:r>
    </w:p>
    <w:p>
      <w:pPr>
        <w:numPr>
          <w:ilvl w:val="0"/>
          <w:numId w:val="815"/>
        </w:numPr>
        <w:ind w:left="720" w:hanging="192"/>
        <w:jc w:val="left"/>
        <w:rPr>
          <w:rFonts w:eastAsia="Arial" w:cs="Arial"/>
          <w:sz w:val="20"/>
          <w:szCs w:val="20"/>
        </w:rPr>
      </w:pPr>
      <w:r>
        <w:rPr>
          <w:rFonts w:eastAsia="Arial" w:cs="Arial"/>
          <w:sz w:val="20"/>
          <w:szCs w:val="20"/>
        </w:rPr>
        <w:t>Item 6 - Other Business Activities.</w:t>
      </w:r>
    </w:p>
    <w:p>
      <w:pPr>
        <w:numPr>
          <w:ilvl w:val="0"/>
          <w:numId w:val="815"/>
        </w:numPr>
        <w:ind w:left="720" w:hanging="192"/>
        <w:jc w:val="left"/>
        <w:rPr>
          <w:rFonts w:eastAsia="Arial" w:cs="Arial"/>
          <w:sz w:val="20"/>
          <w:szCs w:val="20"/>
        </w:rPr>
      </w:pPr>
      <w:r>
        <w:rPr>
          <w:rFonts w:eastAsia="Arial" w:cs="Arial"/>
          <w:sz w:val="20"/>
          <w:szCs w:val="20"/>
        </w:rPr>
        <w:t>Item 7 - Financial Industry Affiliations and Private Fund Reporting.</w:t>
      </w:r>
    </w:p>
    <w:p>
      <w:pPr>
        <w:numPr>
          <w:ilvl w:val="0"/>
          <w:numId w:val="815"/>
        </w:numPr>
        <w:ind w:left="720" w:hanging="192"/>
        <w:jc w:val="left"/>
        <w:rPr>
          <w:rFonts w:eastAsia="Arial" w:cs="Arial"/>
          <w:sz w:val="20"/>
          <w:szCs w:val="20"/>
        </w:rPr>
      </w:pPr>
      <w:r>
        <w:rPr>
          <w:rFonts w:eastAsia="Arial" w:cs="Arial"/>
          <w:sz w:val="20"/>
          <w:szCs w:val="20"/>
        </w:rPr>
        <w:t>Item 10 - Control Persons.</w:t>
      </w:r>
    </w:p>
    <w:p>
      <w:pPr>
        <w:numPr>
          <w:ilvl w:val="0"/>
          <w:numId w:val="815"/>
        </w:numPr>
        <w:spacing w:after="200"/>
        <w:ind w:left="720" w:hanging="192"/>
        <w:jc w:val="left"/>
        <w:rPr>
          <w:rFonts w:eastAsia="Arial" w:cs="Arial"/>
          <w:sz w:val="20"/>
          <w:szCs w:val="20"/>
        </w:rPr>
      </w:pPr>
      <w:r>
        <w:rPr>
          <w:rFonts w:eastAsia="Arial" w:cs="Arial"/>
          <w:sz w:val="20"/>
          <w:szCs w:val="20"/>
        </w:rPr>
        <w:t>Item 11 - Disciplinary Disclosure Information.</w:t>
      </w:r>
    </w:p>
    <w:p>
      <w:pPr>
        <w:pStyle w:val="normal0"/>
        <w:spacing w:before="200" w:after="200"/>
        <w:rPr>
          <w:rFonts w:eastAsia="Arial" w:cs="Arial"/>
          <w:sz w:val="20"/>
          <w:szCs w:val="20"/>
        </w:rPr>
      </w:pPr>
      <w:r>
        <w:rPr>
          <w:rFonts w:eastAsia="Arial" w:cs="Arial"/>
          <w:sz w:val="20"/>
          <w:szCs w:val="20"/>
        </w:rPr>
        <w:t>In responding to Item 7, KCD must provide detailed information about each private fund that it advises, such as organizational, operational and investment characteristics (including gross asset value), non-identifying information about beneficial owners, and the name and certain other information about the general partners, directors and service providers.</w:t>
      </w:r>
    </w:p>
    <w:p>
      <w:pPr>
        <w:pStyle w:val="normal0"/>
        <w:spacing w:before="200" w:after="200"/>
        <w:rPr>
          <w:rFonts w:eastAsia="Arial" w:cs="Arial"/>
          <w:sz w:val="20"/>
          <w:szCs w:val="20"/>
        </w:rPr>
      </w:pPr>
      <w:r>
        <w:rPr>
          <w:rFonts w:eastAsia="Arial" w:cs="Arial"/>
          <w:sz w:val="20"/>
          <w:szCs w:val="20"/>
        </w:rPr>
        <w:t xml:space="preserve">KCD is not required to complete and file Form ADV Part 2A with the SEC and complete Form ADV Part 2B. </w:t>
      </w:r>
    </w:p>
    <w:p>
      <w:bookmarkEnd w:id="936"/>
      <w:bookmarkStart w:id="937" w:name="Sec_Chp_061016102257046_0610161022583142"/>
    </w:p>
    <w:p>
      <w:pPr>
        <w:pStyle w:val="Heading4"/>
      </w:pPr>
      <w:r>
        <w:t>11.3.17.2 Monitoring Exempt Reporting Advisers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is an exempt reporting adviser, the Chief Compliance Officer from time to time shall monitor SEC rule proposals and releases and other developments to ensure that KCD continues to comply with existing and new SEC requirements imposed on exempt reporting advisers.</w:t>
      </w:r>
    </w:p>
    <w:p>
      <w:bookmarkEnd w:id="937"/>
      <w:bookmarkStart w:id="938" w:name="Sec_Chp_061016102257046_06101610223153"/>
    </w:p>
    <w:p>
      <w:pPr>
        <w:pStyle w:val="Heading4"/>
      </w:pPr>
      <w:r>
        <w:t>11.3.17.3 Registration Filings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files as an exempt reporting adviser, it will meet the new registration and ongoing updating requirements applicable to such filers.</w:t>
      </w:r>
    </w:p>
    <w:p>
      <w:pPr>
        <w:pStyle w:val="normal0"/>
        <w:spacing w:before="200" w:after="200"/>
        <w:rPr>
          <w:rFonts w:eastAsia="Arial" w:cs="Arial"/>
          <w:sz w:val="20"/>
          <w:szCs w:val="20"/>
        </w:rPr>
      </w:pPr>
      <w:r>
        <w:rPr>
          <w:rFonts w:eastAsia="Arial" w:cs="Arial"/>
          <w:b/>
          <w:bCs/>
          <w:sz w:val="20"/>
          <w:szCs w:val="20"/>
        </w:rPr>
        <w:t>Initial Filing</w:t>
      </w:r>
    </w:p>
    <w:p>
      <w:pPr>
        <w:pStyle w:val="normal0"/>
        <w:spacing w:before="200" w:after="200"/>
        <w:rPr>
          <w:rFonts w:eastAsia="Arial" w:cs="Arial"/>
          <w:sz w:val="20"/>
          <w:szCs w:val="20"/>
        </w:rPr>
      </w:pPr>
      <w:r>
        <w:rPr>
          <w:rFonts w:eastAsia="Arial" w:cs="Arial"/>
          <w:sz w:val="20"/>
          <w:szCs w:val="20"/>
        </w:rPr>
        <w:t>Within 60 days of first relying on the private fund adviser exemption, KCD will file its initial Form ADV with the SEC and respond only to the items applicable to an exempt reporting adviser. It will make such filing via the IARD. Once the filing is accepted by the IARD system, it will be deemed automatically accepted. The filing will also be publicly available.</w:t>
      </w:r>
    </w:p>
    <w:p>
      <w:pPr>
        <w:pStyle w:val="normal0"/>
        <w:spacing w:before="200" w:after="200"/>
        <w:rPr>
          <w:rFonts w:eastAsia="Arial" w:cs="Arial"/>
          <w:sz w:val="20"/>
          <w:szCs w:val="20"/>
        </w:rPr>
      </w:pPr>
      <w:r>
        <w:rPr>
          <w:rFonts w:eastAsia="Arial" w:cs="Arial"/>
          <w:b/>
          <w:bCs/>
          <w:sz w:val="20"/>
          <w:szCs w:val="20"/>
        </w:rPr>
        <w:t>Amended Filings</w:t>
      </w:r>
    </w:p>
    <w:p>
      <w:pPr>
        <w:pStyle w:val="normal0"/>
        <w:spacing w:before="200" w:after="200"/>
        <w:rPr>
          <w:rFonts w:eastAsia="Arial" w:cs="Arial"/>
          <w:sz w:val="20"/>
          <w:szCs w:val="20"/>
        </w:rPr>
      </w:pPr>
      <w:r>
        <w:rPr>
          <w:rFonts w:eastAsia="Arial" w:cs="Arial"/>
          <w:sz w:val="20"/>
          <w:szCs w:val="20"/>
        </w:rPr>
        <w:t xml:space="preserve">KCD will amend its exempt reporting adviser filing on Form ADV within 90 days of its fiscal year end. In between annual amendment filings, KCD will amend its Form ADV to update information as required by the instructions of Form ADV, including changes to identification information and disciplinary actions. </w:t>
      </w:r>
    </w:p>
    <w:p>
      <w:pPr>
        <w:pStyle w:val="normal0"/>
        <w:spacing w:before="200" w:after="200"/>
        <w:rPr>
          <w:rFonts w:eastAsia="Arial" w:cs="Arial"/>
          <w:sz w:val="20"/>
          <w:szCs w:val="20"/>
        </w:rPr>
      </w:pPr>
      <w:r>
        <w:rPr>
          <w:rFonts w:eastAsia="Arial" w:cs="Arial"/>
          <w:b/>
          <w:bCs/>
          <w:sz w:val="20"/>
          <w:szCs w:val="20"/>
        </w:rPr>
        <w:t>States</w:t>
      </w:r>
    </w:p>
    <w:p>
      <w:pPr>
        <w:pStyle w:val="normal0"/>
        <w:spacing w:before="200" w:after="200"/>
        <w:rPr>
          <w:rFonts w:eastAsia="Arial" w:cs="Arial"/>
          <w:sz w:val="20"/>
          <w:szCs w:val="20"/>
        </w:rPr>
      </w:pPr>
      <w:r>
        <w:rPr>
          <w:rFonts w:eastAsia="Arial" w:cs="Arial"/>
          <w:sz w:val="20"/>
          <w:szCs w:val="20"/>
        </w:rPr>
        <w:t>KCD periodically will evaluate whether it must register as an adviser or make notice filings with any state when it has elected to file with the SEC as an exempt reporting adviser.</w:t>
      </w:r>
    </w:p>
    <w:p>
      <w:bookmarkEnd w:id="938"/>
      <w:bookmarkStart w:id="939" w:name="Sec_Chp_061016102257046_06101610223154"/>
    </w:p>
    <w:p>
      <w:pPr>
        <w:pStyle w:val="Heading4"/>
      </w:pPr>
      <w:r>
        <w:t>11.3.17.4 Exempt Reporting Adviser Eligibility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currently relies upon the private fund adviser exemption to file as an exempt reporting adviser, it will assess its eligibility each year within 90 days of its fiscal year end. At such time, KCD will calculate its assets under management in accordance with the Form ADV instructions and verify whether it has any separately managed accounts.</w:t>
      </w:r>
    </w:p>
    <w:p>
      <w:pPr>
        <w:numPr>
          <w:ilvl w:val="0"/>
          <w:numId w:val="816"/>
        </w:numPr>
        <w:spacing w:before="200"/>
        <w:ind w:left="720" w:hanging="192"/>
        <w:jc w:val="left"/>
        <w:rPr>
          <w:rFonts w:eastAsia="Arial" w:cs="Arial"/>
          <w:sz w:val="20"/>
          <w:szCs w:val="20"/>
        </w:rPr>
      </w:pPr>
      <w:r>
        <w:rPr>
          <w:rFonts w:eastAsia="Arial" w:cs="Arial"/>
          <w:sz w:val="20"/>
          <w:szCs w:val="20"/>
        </w:rPr>
        <w:t>If KCD will have to report in its annual updating amendment that it has $150 million or more of private fund assets under management, it will no longer qualify to rely upon the private fund adviser exemption. In such case, it will file its annual updating amendment and file for full SEC registration within 90 days of the annual update filing.</w:t>
      </w:r>
    </w:p>
    <w:p>
      <w:pPr>
        <w:numPr>
          <w:ilvl w:val="0"/>
          <w:numId w:val="816"/>
        </w:numPr>
        <w:ind w:left="720" w:hanging="192"/>
        <w:jc w:val="left"/>
        <w:rPr>
          <w:rFonts w:eastAsia="Arial" w:cs="Arial"/>
          <w:sz w:val="20"/>
          <w:szCs w:val="20"/>
        </w:rPr>
      </w:pPr>
      <w:r>
        <w:rPr>
          <w:rFonts w:eastAsia="Arial" w:cs="Arial"/>
          <w:sz w:val="20"/>
          <w:szCs w:val="20"/>
        </w:rPr>
        <w:t>If KCD will lose its eligibility to file as an exempt reporting adviser because it will begin to manage a separately managed account, it will register with the SEC as a regular investment adviser (</w:t>
      </w:r>
      <w:r>
        <w:rPr>
          <w:rFonts w:eastAsia="Arial" w:cs="Arial"/>
          <w:i/>
          <w:iCs/>
          <w:sz w:val="20"/>
          <w:szCs w:val="20"/>
        </w:rPr>
        <w:t>i.e.,</w:t>
      </w:r>
      <w:r>
        <w:rPr>
          <w:rFonts w:eastAsia="Arial" w:cs="Arial"/>
          <w:sz w:val="20"/>
          <w:szCs w:val="20"/>
        </w:rPr>
        <w:t xml:space="preserve"> it will complete the full Form ADV) prior to becoming a manager to that separately managed account. The above-described 90-day transition period does not apply.</w:t>
      </w:r>
    </w:p>
    <w:p>
      <w:pPr>
        <w:numPr>
          <w:ilvl w:val="0"/>
          <w:numId w:val="816"/>
        </w:numPr>
        <w:spacing w:after="200"/>
        <w:ind w:left="720" w:hanging="192"/>
        <w:jc w:val="left"/>
        <w:rPr>
          <w:rFonts w:eastAsia="Arial" w:cs="Arial"/>
          <w:sz w:val="20"/>
          <w:szCs w:val="20"/>
        </w:rPr>
      </w:pPr>
      <w:r>
        <w:rPr>
          <w:rFonts w:eastAsia="Arial" w:cs="Arial"/>
          <w:sz w:val="20"/>
          <w:szCs w:val="20"/>
        </w:rPr>
        <w:t>If KCD remains eligible to file as an exempt reporting adviser, it will file its annual amendment within 90 days of its fiscal year end.</w:t>
      </w:r>
    </w:p>
    <w:p>
      <w:bookmarkEnd w:id="939"/>
      <w:bookmarkStart w:id="940" w:name="Sec_Chp_061016102257046_11316"/>
    </w:p>
    <w:p>
      <w:pPr>
        <w:pStyle w:val="Heading3"/>
      </w:pPr>
      <w:bookmarkStart w:id="941" w:name="_Toc256000232"/>
      <w:r>
        <w:t>11.3.18 Hart Scott Rodino Filings</w:t>
      </w:r>
      <w:bookmarkEnd w:id="941"/>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p>
          <w:p>
            <w:pPr>
              <w:jc w:val="center"/>
              <w:rPr>
                <w:rFonts w:eastAsia="Arial" w:cs="Arial"/>
                <w:b w:val="0"/>
                <w:bCs w:val="0"/>
                <w:i w:val="0"/>
                <w:iCs w:val="0"/>
                <w:smallCaps w:val="0"/>
                <w:color w:val="000000"/>
                <w:sz w:val="24"/>
              </w:rPr>
            </w:pPr>
            <w:r>
              <w:rPr>
                <w:rFonts w:eastAsia="Arial" w:cs="Arial"/>
                <w:b/>
                <w:bCs/>
                <w:i w:val="0"/>
                <w:iCs w:val="0"/>
                <w:smallCaps w:val="0"/>
                <w:color w:val="000000"/>
                <w:sz w:val="20"/>
              </w:rPr>
              <w:t>Hart Scott Rodino Act</w:t>
            </w:r>
          </w:p>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Certain types of investments and business transactions are reportable under the Hart-Scott-Rodino Antitrust Improvements Act of 1976, 15 U.S.C. Section 18a. The Act requires that parties to certain mergers or acquisitions notify the Federal Trade Commission (FTC) and the Department of Justice (DOJ) before consummating the proposed acquisition. The parties must wait a specific period of time (usually 30 days (15 days in the case of a cash tender offer)) while the enforcement agencies review the proposed transaction.</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If KCD is contemplating a significant investment or proposed business transactions on behalf of a client that involves a corporation, it will determine whether the client needs to make a filing under the Hart Scott Rodino Act depending upon certain size criteria of the investment or transaction.</w:t>
      </w:r>
    </w:p>
    <w:p>
      <w:pPr>
        <w:pStyle w:val="normal0"/>
        <w:spacing w:before="200" w:after="200"/>
        <w:rPr>
          <w:rFonts w:eastAsia="Arial" w:cs="Arial"/>
          <w:sz w:val="20"/>
          <w:szCs w:val="20"/>
        </w:rPr>
      </w:pPr>
      <w:r>
        <w:rPr>
          <w:rFonts w:eastAsia="Arial" w:cs="Arial"/>
          <w:sz w:val="20"/>
          <w:szCs w:val="20"/>
        </w:rPr>
        <w:t>KCD will alert the client about having to file a notification under the Hart Scott Rodino Act if:</w:t>
      </w:r>
    </w:p>
    <w:p>
      <w:pPr>
        <w:numPr>
          <w:ilvl w:val="0"/>
          <w:numId w:val="817"/>
        </w:numPr>
        <w:spacing w:before="200"/>
        <w:ind w:left="720" w:hanging="267"/>
        <w:jc w:val="left"/>
        <w:rPr>
          <w:rFonts w:eastAsia="Arial" w:cs="Arial"/>
          <w:sz w:val="20"/>
          <w:szCs w:val="20"/>
        </w:rPr>
      </w:pPr>
      <w:r>
        <w:rPr>
          <w:rFonts w:eastAsia="Arial" w:cs="Arial"/>
          <w:sz w:val="20"/>
          <w:szCs w:val="20"/>
        </w:rPr>
        <w:t>As a result of the client's investment or transaction, the client will hold an aggregate amount of voting securities, non-corporate interests (NCI) and/or assets of the company valued in excess of $200 million, regardless of the sales or assets of the acquiring and acquired persons; or</w:t>
      </w:r>
    </w:p>
    <w:p>
      <w:pPr>
        <w:numPr>
          <w:ilvl w:val="0"/>
          <w:numId w:val="817"/>
        </w:numPr>
        <w:ind w:left="720" w:hanging="267"/>
        <w:jc w:val="left"/>
        <w:rPr>
          <w:rFonts w:eastAsia="Arial" w:cs="Arial"/>
          <w:sz w:val="20"/>
          <w:szCs w:val="20"/>
        </w:rPr>
      </w:pPr>
      <w:r>
        <w:rPr>
          <w:rFonts w:eastAsia="Arial" w:cs="Arial"/>
          <w:sz w:val="20"/>
          <w:szCs w:val="20"/>
        </w:rPr>
        <w:t>As a result of the transaction, the client will hold an aggregate amount of voting securities, NCI and/or assets of the company valued in excess of $50 million (as adjusted) but at $200 million (as adjusted) or less; and</w:t>
      </w:r>
    </w:p>
    <w:p>
      <w:pPr>
        <w:numPr>
          <w:ilvl w:val="1"/>
          <w:numId w:val="817"/>
        </w:numPr>
        <w:ind w:left="1440" w:hanging="220"/>
        <w:jc w:val="left"/>
        <w:rPr>
          <w:rFonts w:eastAsia="Arial" w:cs="Arial"/>
          <w:sz w:val="20"/>
          <w:szCs w:val="20"/>
        </w:rPr>
      </w:pPr>
      <w:r>
        <w:rPr>
          <w:rFonts w:eastAsia="Arial" w:cs="Arial"/>
          <w:sz w:val="20"/>
          <w:szCs w:val="20"/>
        </w:rPr>
        <w:t>One person has sales or assets of at least $100 million (as adjusted); and</w:t>
      </w:r>
    </w:p>
    <w:p>
      <w:pPr>
        <w:numPr>
          <w:ilvl w:val="1"/>
          <w:numId w:val="817"/>
        </w:numPr>
        <w:spacing w:after="200"/>
        <w:ind w:left="1440" w:hanging="220"/>
        <w:jc w:val="left"/>
        <w:rPr>
          <w:rFonts w:eastAsia="Arial" w:cs="Arial"/>
          <w:sz w:val="20"/>
          <w:szCs w:val="20"/>
        </w:rPr>
      </w:pPr>
      <w:r>
        <w:rPr>
          <w:rFonts w:eastAsia="Arial" w:cs="Arial"/>
          <w:sz w:val="20"/>
          <w:szCs w:val="20"/>
        </w:rPr>
        <w:t>The other person has sales or assets of at least $10 million (as adjusted).</w:t>
      </w:r>
    </w:p>
    <w:p>
      <w:pPr>
        <w:pStyle w:val="normal0"/>
        <w:spacing w:before="200" w:after="200"/>
        <w:rPr>
          <w:rFonts w:eastAsia="Arial" w:cs="Arial"/>
          <w:sz w:val="20"/>
          <w:szCs w:val="20"/>
        </w:rPr>
      </w:pPr>
      <w:r>
        <w:rPr>
          <w:rFonts w:eastAsia="Arial" w:cs="Arial"/>
          <w:sz w:val="20"/>
          <w:szCs w:val="20"/>
        </w:rPr>
        <w:t>If a notification is required, the client will follow the staggered notification requirements, which generally are:</w:t>
      </w:r>
    </w:p>
    <w:p>
      <w:pPr>
        <w:numPr>
          <w:ilvl w:val="0"/>
          <w:numId w:val="818"/>
        </w:numPr>
        <w:spacing w:before="200"/>
        <w:ind w:left="720" w:hanging="192"/>
        <w:jc w:val="left"/>
        <w:rPr>
          <w:rFonts w:eastAsia="Arial" w:cs="Arial"/>
          <w:sz w:val="20"/>
          <w:szCs w:val="20"/>
        </w:rPr>
      </w:pPr>
      <w:r>
        <w:rPr>
          <w:rFonts w:eastAsia="Arial" w:cs="Arial"/>
          <w:sz w:val="20"/>
          <w:szCs w:val="20"/>
        </w:rPr>
        <w:t>$50 million (as adjusted) worth of the voting securities;</w:t>
      </w:r>
    </w:p>
    <w:p>
      <w:pPr>
        <w:numPr>
          <w:ilvl w:val="0"/>
          <w:numId w:val="818"/>
        </w:numPr>
        <w:ind w:left="720" w:hanging="192"/>
        <w:jc w:val="left"/>
        <w:rPr>
          <w:rFonts w:eastAsia="Arial" w:cs="Arial"/>
          <w:sz w:val="20"/>
          <w:szCs w:val="20"/>
        </w:rPr>
      </w:pPr>
      <w:r>
        <w:rPr>
          <w:rFonts w:eastAsia="Arial" w:cs="Arial"/>
          <w:sz w:val="20"/>
          <w:szCs w:val="20"/>
        </w:rPr>
        <w:t>voting securities valued at $100 million (as adjusted) or greater but less than $500 million (as adjusted);</w:t>
      </w:r>
    </w:p>
    <w:p>
      <w:pPr>
        <w:numPr>
          <w:ilvl w:val="0"/>
          <w:numId w:val="818"/>
        </w:numPr>
        <w:ind w:left="720" w:hanging="192"/>
        <w:jc w:val="left"/>
        <w:rPr>
          <w:rFonts w:eastAsia="Arial" w:cs="Arial"/>
          <w:sz w:val="20"/>
          <w:szCs w:val="20"/>
        </w:rPr>
      </w:pPr>
      <w:r>
        <w:rPr>
          <w:rFonts w:eastAsia="Arial" w:cs="Arial"/>
          <w:sz w:val="20"/>
          <w:szCs w:val="20"/>
        </w:rPr>
        <w:t>voting securities valued at $500 million (as adjusted) or greater; 25 percent of the voting securities of an issuer, if the 25 percent (or any amount above 25% but less than 50%) is valued at greater than $1 billion (as adjusted); and</w:t>
      </w:r>
    </w:p>
    <w:p>
      <w:pPr>
        <w:numPr>
          <w:ilvl w:val="0"/>
          <w:numId w:val="818"/>
        </w:numPr>
        <w:spacing w:after="200"/>
        <w:ind w:left="720" w:hanging="192"/>
        <w:jc w:val="left"/>
        <w:rPr>
          <w:rFonts w:eastAsia="Arial" w:cs="Arial"/>
          <w:sz w:val="20"/>
          <w:szCs w:val="20"/>
        </w:rPr>
      </w:pPr>
      <w:r>
        <w:rPr>
          <w:rFonts w:eastAsia="Arial" w:cs="Arial"/>
          <w:sz w:val="20"/>
          <w:szCs w:val="20"/>
        </w:rPr>
        <w:t>50 percent of the voting securities of an issuer if valued at greater than $50 million (as adjusted).</w:t>
      </w:r>
    </w:p>
    <w:p>
      <w:pPr>
        <w:pStyle w:val="normal0"/>
        <w:spacing w:before="200" w:after="200"/>
        <w:rPr>
          <w:rFonts w:eastAsia="Arial" w:cs="Arial"/>
          <w:sz w:val="20"/>
          <w:szCs w:val="20"/>
        </w:rPr>
      </w:pPr>
      <w:r>
        <w:rPr>
          <w:rFonts w:eastAsia="Arial" w:cs="Arial"/>
          <w:sz w:val="20"/>
          <w:szCs w:val="20"/>
        </w:rPr>
        <w:t>Prior to making any filing, KCD will consider whether exemptions are available to clients.</w:t>
      </w:r>
    </w:p>
    <w:p>
      <w:pPr>
        <w:pStyle w:val="normal0"/>
        <w:spacing w:before="200" w:after="200"/>
        <w:rPr>
          <w:rFonts w:eastAsia="Arial" w:cs="Arial"/>
          <w:sz w:val="20"/>
          <w:szCs w:val="20"/>
        </w:rPr>
      </w:pPr>
      <w:r>
        <w:rPr>
          <w:rFonts w:eastAsia="Arial" w:cs="Arial"/>
          <w:sz w:val="20"/>
          <w:szCs w:val="20"/>
        </w:rPr>
        <w:t>KCD will arrange for the client to make filings on forms and through filing mechanisms required by the FTC and DOJ, as well as pay the required filing fees.</w:t>
      </w:r>
    </w:p>
    <w:p>
      <w:pPr>
        <w:pStyle w:val="normal0"/>
        <w:spacing w:before="200" w:after="200"/>
        <w:rPr>
          <w:rFonts w:eastAsia="Arial" w:cs="Arial"/>
          <w:sz w:val="20"/>
          <w:szCs w:val="20"/>
        </w:rPr>
      </w:pPr>
      <w:r>
        <w:rPr>
          <w:rFonts w:eastAsia="Arial" w:cs="Arial"/>
          <w:sz w:val="20"/>
          <w:szCs w:val="20"/>
        </w:rPr>
        <w:t>Prior to recommending that a client make a Hart Scott Rodino filing, KCD will recommend that the client consult with an attorney specializing in antitrust law.</w:t>
      </w:r>
    </w:p>
    <w:p>
      <w:bookmarkEnd w:id="940"/>
      <w:bookmarkStart w:id="942" w:name="Sec_Chp_061016102257046_06101610316"/>
    </w:p>
    <w:p>
      <w:pPr>
        <w:pStyle w:val="Heading3"/>
      </w:pPr>
      <w:bookmarkStart w:id="943" w:name="_Toc256000233"/>
      <w:r>
        <w:t>11.3.19 U.S. Department of Commerce BE-10 Filing Requirements</w:t>
      </w:r>
      <w:bookmarkEnd w:id="943"/>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An investment adviser is required every five years to file a Form BE-10 if it owns at least 10% voting interest in a foreign business or real estate. The Bureau of Economic Analysis will notify an adviser about its requirement to file Form BE-10 and, if not, the adviser still must make the filing. The last year Form BE-10s were required to be filed was in 2024; the next year such forms will be required to be filed is 2029.</w:t>
            </w:r>
          </w:p>
        </w:tc>
      </w:tr>
    </w:tbl>
    <w:p>
      <w:pPr>
        <w:pStyle w:val="normal0"/>
        <w:spacing w:before="200" w:after="200"/>
        <w:rPr>
          <w:rFonts w:eastAsia="Arial" w:cs="Arial"/>
          <w:sz w:val="20"/>
          <w:szCs w:val="20"/>
        </w:rPr>
      </w:pPr>
      <w:r>
        <w:rPr>
          <w:rFonts w:eastAsia="Arial" w:cs="Arial"/>
          <w:sz w:val="20"/>
          <w:szCs w:val="20"/>
        </w:rPr>
        <w:t>If KCD had a "foreign affiliate" during its fiscal year, it will file a Form BE-10 with the Bureau of Economic Analysis (BEA) of the U.S. Department of Commerce. "Foreign affiliate" is defined to mean:</w:t>
      </w:r>
    </w:p>
    <w:p>
      <w:pPr>
        <w:pStyle w:val="normal0"/>
        <w:spacing w:before="200" w:after="200"/>
        <w:ind w:left="600" w:right="600"/>
        <w:rPr>
          <w:rFonts w:eastAsia="Arial" w:cs="Arial"/>
          <w:sz w:val="20"/>
          <w:szCs w:val="20"/>
        </w:rPr>
      </w:pPr>
      <w:r>
        <w:rPr>
          <w:rFonts w:eastAsia="Arial" w:cs="Arial"/>
          <w:sz w:val="20"/>
          <w:szCs w:val="20"/>
        </w:rPr>
        <w:t xml:space="preserve">any "business enterprise" located outside of the U.S. in which the Firm directly or indirectly owned or controlled 10% or more of the voting stock or equivalent equity of such foreign enterprise. A "business enterprise" means any organization, association, branch or venture that exists for profit-making purposes or to otherwise secure economic advantage, and any ownership of any real estate. </w:t>
      </w:r>
    </w:p>
    <w:p>
      <w:pPr>
        <w:pStyle w:val="normal0"/>
        <w:spacing w:before="200" w:after="200"/>
        <w:rPr>
          <w:rFonts w:eastAsia="Arial" w:cs="Arial"/>
          <w:sz w:val="20"/>
          <w:szCs w:val="20"/>
        </w:rPr>
      </w:pPr>
      <w:r>
        <w:rPr>
          <w:rFonts w:eastAsia="Arial" w:cs="Arial"/>
          <w:sz w:val="20"/>
          <w:szCs w:val="20"/>
        </w:rPr>
        <w:t xml:space="preserve">If KCD has a foreign affiliate, it will be deemed to be a "U.S. reporter" and must file a Form BE-10A, as well as a Form BE-10B, BE-10C or BE-10D, as applicable, for each of its foreign affiliates. It will file the appropriate forms with the BEA by electronically transmitting the forms via the BEA website, at </w:t>
      </w:r>
      <w:hyperlink r:id="rId29" w:tgtFrame="_blank" w:history="1">
        <w:r>
          <w:rPr>
            <w:rStyle w:val="Hyperlink"/>
            <w:rFonts w:eastAsia="Arial" w:cs="Arial"/>
            <w:color w:val="0000EE"/>
            <w:sz w:val="20"/>
            <w:szCs w:val="20"/>
            <w:u w:color="0000EE"/>
          </w:rPr>
          <w:t>https://www.bea.gov</w:t>
        </w:r>
      </w:hyperlink>
      <w:r>
        <w:rPr>
          <w:rFonts w:eastAsia="Arial" w:cs="Arial"/>
          <w:sz w:val="20"/>
          <w:szCs w:val="20"/>
        </w:rPr>
        <w:t>.</w:t>
      </w:r>
    </w:p>
    <w:p>
      <w:bookmarkEnd w:id="942"/>
      <w:bookmarkStart w:id="944" w:name="Sec_Chp_061016102257046_0011320"/>
    </w:p>
    <w:p>
      <w:pPr>
        <w:pStyle w:val="Heading3"/>
      </w:pPr>
      <w:bookmarkStart w:id="945" w:name="_Toc256000234"/>
      <w:r>
        <w:t>11.3.20 Form ADV-NR Filings</w:t>
      </w:r>
      <w:bookmarkEnd w:id="945"/>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CCO will monitor whether KCD is required to file electronically a Form ADV-NR with the SEC. KCD is required to file Form ADV-NR if KCD is a non-resident general partner or a non-resident </w:t>
      </w:r>
      <w:r>
        <w:rPr>
          <w:rFonts w:eastAsia="Arial" w:cs="Arial"/>
          <w:i/>
          <w:iCs/>
          <w:sz w:val="20"/>
          <w:szCs w:val="20"/>
        </w:rPr>
        <w:t>managing agent</w:t>
      </w:r>
      <w:r>
        <w:rPr>
          <w:rFonts w:eastAsia="Arial" w:cs="Arial"/>
          <w:sz w:val="20"/>
          <w:szCs w:val="20"/>
        </w:rPr>
        <w:t xml:space="preserve"> of any investment adviser (domestic or </w:t>
      </w:r>
      <w:r>
        <w:rPr>
          <w:rFonts w:eastAsia="Arial" w:cs="Arial"/>
          <w:i/>
          <w:iCs/>
          <w:sz w:val="20"/>
          <w:szCs w:val="20"/>
        </w:rPr>
        <w:t>non-resident</w:t>
      </w:r>
      <w:r>
        <w:rPr>
          <w:rFonts w:eastAsia="Arial" w:cs="Arial"/>
          <w:sz w:val="20"/>
          <w:szCs w:val="20"/>
        </w:rPr>
        <w:t xml:space="preserve">). </w:t>
      </w:r>
    </w:p>
    <w:p>
      <w:pPr>
        <w:pStyle w:val="normal0"/>
        <w:spacing w:before="200" w:after="200"/>
        <w:rPr>
          <w:rFonts w:eastAsia="Arial" w:cs="Arial"/>
          <w:sz w:val="20"/>
          <w:szCs w:val="20"/>
        </w:rPr>
      </w:pPr>
      <w:r>
        <w:rPr>
          <w:rFonts w:eastAsia="Arial" w:cs="Arial"/>
          <w:sz w:val="20"/>
          <w:szCs w:val="20"/>
        </w:rPr>
        <w:t>The CCO will ensure:</w:t>
      </w:r>
    </w:p>
    <w:p>
      <w:pPr>
        <w:numPr>
          <w:ilvl w:val="0"/>
          <w:numId w:val="819"/>
        </w:numPr>
        <w:spacing w:before="200"/>
        <w:ind w:left="720" w:hanging="192"/>
        <w:jc w:val="left"/>
        <w:rPr>
          <w:rFonts w:eastAsia="Arial" w:cs="Arial"/>
          <w:sz w:val="20"/>
          <w:szCs w:val="20"/>
        </w:rPr>
      </w:pPr>
      <w:r>
        <w:rPr>
          <w:rFonts w:eastAsia="Arial" w:cs="Arial"/>
          <w:sz w:val="20"/>
          <w:szCs w:val="20"/>
        </w:rPr>
        <w:t xml:space="preserve">That the Form ADV-NR is signed and submitted (i) in connection with KCD's initial Form ADV submission; or (ii) if KCD becomes a </w:t>
      </w:r>
      <w:r>
        <w:rPr>
          <w:rFonts w:eastAsia="Arial" w:cs="Arial"/>
          <w:i/>
          <w:iCs/>
          <w:sz w:val="20"/>
          <w:szCs w:val="20"/>
        </w:rPr>
        <w:t>non-resident</w:t>
      </w:r>
      <w:r>
        <w:rPr>
          <w:rFonts w:eastAsia="Arial" w:cs="Arial"/>
          <w:sz w:val="20"/>
          <w:szCs w:val="20"/>
        </w:rPr>
        <w:t xml:space="preserve"> general partner or a </w:t>
      </w:r>
      <w:r>
        <w:rPr>
          <w:rFonts w:eastAsia="Arial" w:cs="Arial"/>
          <w:i/>
          <w:iCs/>
          <w:sz w:val="20"/>
          <w:szCs w:val="20"/>
        </w:rPr>
        <w:t>non-resident managing agent</w:t>
      </w:r>
      <w:r>
        <w:rPr>
          <w:rFonts w:eastAsia="Arial" w:cs="Arial"/>
          <w:sz w:val="20"/>
          <w:szCs w:val="20"/>
        </w:rPr>
        <w:t xml:space="preserve"> after the date the adviser files its initial Form ADV, it files Form ADV-NR within 30 days of the date that it became a </w:t>
      </w:r>
      <w:r>
        <w:rPr>
          <w:rFonts w:eastAsia="Arial" w:cs="Arial"/>
          <w:i/>
          <w:iCs/>
          <w:sz w:val="20"/>
          <w:szCs w:val="20"/>
        </w:rPr>
        <w:t>non-resident</w:t>
      </w:r>
      <w:r>
        <w:rPr>
          <w:rFonts w:eastAsia="Arial" w:cs="Arial"/>
          <w:sz w:val="20"/>
          <w:szCs w:val="20"/>
        </w:rPr>
        <w:t xml:space="preserve"> general partner or a </w:t>
      </w:r>
      <w:r>
        <w:rPr>
          <w:rFonts w:eastAsia="Arial" w:cs="Arial"/>
          <w:i/>
          <w:iCs/>
          <w:sz w:val="20"/>
          <w:szCs w:val="20"/>
        </w:rPr>
        <w:t>non- resident managing agent</w:t>
      </w:r>
      <w:r>
        <w:rPr>
          <w:rFonts w:eastAsia="Arial" w:cs="Arial"/>
          <w:sz w:val="20"/>
          <w:szCs w:val="20"/>
        </w:rPr>
        <w:t>.</w:t>
      </w:r>
    </w:p>
    <w:p>
      <w:pPr>
        <w:numPr>
          <w:ilvl w:val="0"/>
          <w:numId w:val="819"/>
        </w:numPr>
        <w:ind w:left="720" w:hanging="192"/>
        <w:jc w:val="left"/>
        <w:rPr>
          <w:rFonts w:eastAsia="Arial" w:cs="Arial"/>
          <w:sz w:val="20"/>
          <w:szCs w:val="20"/>
        </w:rPr>
      </w:pPr>
      <w:r>
        <w:rPr>
          <w:rFonts w:eastAsia="Arial" w:cs="Arial"/>
          <w:sz w:val="20"/>
          <w:szCs w:val="20"/>
        </w:rPr>
        <w:t>If KCD's mailing address changes, that an amended Form ADV-NR is filed to provide the current address.</w:t>
      </w:r>
    </w:p>
    <w:p>
      <w:pPr>
        <w:numPr>
          <w:ilvl w:val="0"/>
          <w:numId w:val="819"/>
        </w:numPr>
        <w:spacing w:after="200"/>
        <w:ind w:left="720" w:hanging="192"/>
        <w:jc w:val="left"/>
        <w:rPr>
          <w:rFonts w:eastAsia="Arial" w:cs="Arial"/>
          <w:sz w:val="20"/>
          <w:szCs w:val="20"/>
        </w:rPr>
      </w:pPr>
      <w:r>
        <w:rPr>
          <w:rFonts w:eastAsia="Arial" w:cs="Arial"/>
          <w:sz w:val="20"/>
          <w:szCs w:val="20"/>
        </w:rPr>
        <w:t xml:space="preserve">If KCD serves as a general partner or </w:t>
      </w:r>
      <w:r>
        <w:rPr>
          <w:rFonts w:eastAsia="Arial" w:cs="Arial"/>
          <w:i/>
          <w:iCs/>
          <w:sz w:val="20"/>
          <w:szCs w:val="20"/>
        </w:rPr>
        <w:t>managing agent</w:t>
      </w:r>
      <w:r>
        <w:rPr>
          <w:rFonts w:eastAsia="Arial" w:cs="Arial"/>
          <w:sz w:val="20"/>
          <w:szCs w:val="20"/>
        </w:rPr>
        <w:t xml:space="preserve"> for multiple advisers, it submits a separate Form ADV-NR for each adviser.</w:t>
      </w:r>
    </w:p>
    <w:p>
      <w:bookmarkEnd w:id="944"/>
      <w:bookmarkStart w:id="946" w:name="Sec_Chp_061016102257046_061016102258328"/>
    </w:p>
    <w:p>
      <w:pPr>
        <w:pStyle w:val="Heading2"/>
      </w:pPr>
      <w:bookmarkStart w:id="947" w:name="_Toc256000235"/>
      <w:r>
        <w:t>11.4 Books and Records</w:t>
      </w:r>
      <w:bookmarkEnd w:id="947"/>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maintain in the "Registration/Filings" section of its books and records:</w:t>
      </w:r>
    </w:p>
    <w:p>
      <w:pPr>
        <w:numPr>
          <w:ilvl w:val="0"/>
          <w:numId w:val="820"/>
        </w:numPr>
        <w:spacing w:before="200"/>
        <w:ind w:left="720" w:hanging="192"/>
        <w:jc w:val="left"/>
        <w:rPr>
          <w:rFonts w:eastAsia="Arial" w:cs="Arial"/>
          <w:sz w:val="20"/>
          <w:szCs w:val="20"/>
        </w:rPr>
      </w:pPr>
      <w:r>
        <w:rPr>
          <w:rFonts w:eastAsia="Arial" w:cs="Arial"/>
          <w:sz w:val="20"/>
          <w:szCs w:val="20"/>
        </w:rPr>
        <w:t>copies of each Firm Brochure, Brochure Supplement, Summary of Material Changes and Relationship Summary that it currently uses or has used in the past and note on KCD Brochure, Brochure Supplement and Relationship Summary the date when such Firm Brochure and Brochure Supplement were first and last used. Through this procedure, KCD will create a record of when each version of its disclosure document was actually used in making disclosure to clients. KCD will also maintain a copy of its Brochure (Part 2A), each Brochure Supplement (Part 2B) and Relationship Summary given or sent to any client or prospective client who becomes a client;</w:t>
      </w:r>
    </w:p>
    <w:p>
      <w:pPr>
        <w:numPr>
          <w:ilvl w:val="0"/>
          <w:numId w:val="820"/>
        </w:numPr>
        <w:ind w:left="720" w:hanging="192"/>
        <w:jc w:val="left"/>
        <w:rPr>
          <w:rFonts w:eastAsia="Arial" w:cs="Arial"/>
          <w:sz w:val="20"/>
          <w:szCs w:val="20"/>
        </w:rPr>
      </w:pPr>
      <w:r>
        <w:rPr>
          <w:rFonts w:eastAsia="Arial" w:cs="Arial"/>
          <w:sz w:val="20"/>
          <w:szCs w:val="20"/>
        </w:rPr>
        <w:t>a record of the dates that each Brochure, Brochure Supplement and Relationship Summary, each amendment or revision thereto, and each Summary of Material Changes not contained in a Brochure was given to any client or to any prospective client who subsequently becomes a client;</w:t>
      </w:r>
    </w:p>
    <w:p>
      <w:pPr>
        <w:numPr>
          <w:ilvl w:val="0"/>
          <w:numId w:val="820"/>
        </w:numPr>
        <w:ind w:left="720" w:hanging="192"/>
        <w:jc w:val="left"/>
        <w:rPr>
          <w:rFonts w:eastAsia="Arial" w:cs="Arial"/>
          <w:sz w:val="20"/>
          <w:szCs w:val="20"/>
        </w:rPr>
      </w:pPr>
      <w:r>
        <w:rPr>
          <w:rFonts w:eastAsia="Arial" w:cs="Arial"/>
          <w:sz w:val="20"/>
          <w:szCs w:val="20"/>
        </w:rPr>
        <w:t xml:space="preserve">all registration records for each Adviser Representative, including copies of Forms U-4 and U-5; </w:t>
      </w:r>
    </w:p>
    <w:p>
      <w:pPr>
        <w:numPr>
          <w:ilvl w:val="0"/>
          <w:numId w:val="820"/>
        </w:numPr>
        <w:ind w:left="720" w:hanging="192"/>
        <w:jc w:val="left"/>
        <w:rPr>
          <w:rFonts w:eastAsia="Arial" w:cs="Arial"/>
          <w:sz w:val="20"/>
          <w:szCs w:val="20"/>
        </w:rPr>
      </w:pPr>
      <w:r>
        <w:rPr>
          <w:rFonts w:eastAsia="Arial" w:cs="Arial"/>
          <w:sz w:val="20"/>
          <w:szCs w:val="20"/>
        </w:rPr>
        <w:t>a copy of each Relationship Summary and each amendment or revision to each Relationship Summary;</w:t>
      </w:r>
    </w:p>
    <w:p>
      <w:pPr>
        <w:numPr>
          <w:ilvl w:val="0"/>
          <w:numId w:val="820"/>
        </w:numPr>
        <w:ind w:left="720" w:hanging="192"/>
        <w:jc w:val="left"/>
        <w:rPr>
          <w:rFonts w:eastAsia="Arial" w:cs="Arial"/>
          <w:sz w:val="20"/>
          <w:szCs w:val="20"/>
        </w:rPr>
      </w:pPr>
      <w:r>
        <w:rPr>
          <w:rFonts w:eastAsia="Arial" w:cs="Arial"/>
          <w:sz w:val="20"/>
          <w:szCs w:val="20"/>
        </w:rPr>
        <w:t>a record of the dates that each Brochure, Brochure Supplement and Relationship Summary were filed with the SEC;</w:t>
      </w:r>
    </w:p>
    <w:p>
      <w:pPr>
        <w:numPr>
          <w:ilvl w:val="0"/>
          <w:numId w:val="820"/>
        </w:numPr>
        <w:ind w:left="720" w:hanging="192"/>
        <w:jc w:val="left"/>
        <w:rPr>
          <w:rFonts w:eastAsia="Arial" w:cs="Arial"/>
          <w:sz w:val="20"/>
          <w:szCs w:val="20"/>
        </w:rPr>
      </w:pPr>
      <w:r>
        <w:rPr>
          <w:rFonts w:eastAsia="Arial" w:cs="Arial"/>
          <w:sz w:val="20"/>
          <w:szCs w:val="20"/>
        </w:rPr>
        <w:t xml:space="preserve">copies of all Schedule 13Ds, 13Fs and 13Gs filed with the SEC and copies of EDGAR confirmation showing that the filing was successfully made; and </w:t>
      </w:r>
    </w:p>
    <w:p>
      <w:pPr>
        <w:numPr>
          <w:ilvl w:val="0"/>
          <w:numId w:val="820"/>
        </w:numPr>
        <w:spacing w:after="200"/>
        <w:ind w:left="720" w:hanging="192"/>
        <w:jc w:val="left"/>
        <w:rPr>
          <w:rFonts w:eastAsia="Arial" w:cs="Arial"/>
          <w:sz w:val="20"/>
          <w:szCs w:val="20"/>
        </w:rPr>
      </w:pPr>
      <w:r>
        <w:rPr>
          <w:rFonts w:eastAsia="Arial" w:cs="Arial"/>
          <w:sz w:val="20"/>
          <w:szCs w:val="20"/>
        </w:rPr>
        <w:t xml:space="preserve">copies of all Form 3, 4 and 5 filings made with the SEC on behalf of its clients. </w:t>
      </w:r>
    </w:p>
    <w:p>
      <w:pPr>
        <w:rPr>
          <w:rFonts w:ascii="Times New Roman" w:eastAsia="Times New Roman" w:hAnsi="Times New Roman" w:cs="Times New Roman"/>
          <w:sz w:val="24"/>
        </w:rPr>
      </w:pPr>
      <w:bookmarkEnd w:id="946"/>
    </w:p>
    <w:p>
      <w:r>
        <w:rPr>
          <w:rFonts w:ascii="Times New Roman" w:eastAsia="Times New Roman" w:hAnsi="Times New Roman" w:cs="Times New Roman"/>
          <w:sz w:val="24"/>
        </w:rPr>
        <w:br w:type="page"/>
      </w:r>
    </w:p>
    <w:p>
      <w:pPr>
        <w:pStyle w:val="Heading1"/>
      </w:pPr>
      <w:bookmarkStart w:id="948" w:name="_Toc256000236"/>
      <w:r>
        <w:t>12 BUSINESS</w:t>
      </w:r>
      <w:bookmarkEnd w:id="948"/>
    </w:p>
    <w:p>
      <w:bookmarkStart w:id="949" w:name="Sec_Chp_061016102258531_061016102258578"/>
    </w:p>
    <w:p>
      <w:pPr>
        <w:pStyle w:val="Heading2"/>
      </w:pPr>
      <w:bookmarkStart w:id="950" w:name="_Toc256000237"/>
      <w:r>
        <w:t>Introduction</w:t>
      </w:r>
      <w:bookmarkEnd w:id="950"/>
    </w:p>
    <w:p/>
    <w:p>
      <w:pPr>
        <w:rPr>
          <w:rFonts w:eastAsia="Arial" w:cs="Arial"/>
          <w:sz w:val="16"/>
          <w:szCs w:val="16"/>
        </w:rPr>
      </w:pPr>
    </w:p>
    <w:p>
      <w:pPr>
        <w:pStyle w:val="normal0"/>
        <w:spacing w:after="200"/>
        <w:rPr>
          <w:rFonts w:eastAsia="Arial" w:cs="Arial"/>
          <w:sz w:val="20"/>
          <w:szCs w:val="20"/>
        </w:rPr>
      </w:pPr>
      <w:r>
        <w:rPr>
          <w:rFonts w:eastAsia="Arial" w:cs="Arial"/>
          <w:sz w:val="20"/>
          <w:szCs w:val="20"/>
        </w:rPr>
        <w:t>Most investment advisers are legal business entities owned by individuals that provide the advisory services and carry on the other operations of the firm. Like any business, an investment adviser must have a system that allow its managers to efficiently make financial record entries, generate reports based on those entries, and maintain records of the entries and reports. The two primary financial statements are a balance sheet, which shows the solvency of the investment adviser, and an income statement, which shows the profits or losses of the investment adviser.</w:t>
      </w:r>
    </w:p>
    <w:p>
      <w:pPr>
        <w:pStyle w:val="normal0"/>
        <w:spacing w:before="200" w:after="200"/>
        <w:rPr>
          <w:rFonts w:eastAsia="Arial" w:cs="Arial"/>
          <w:sz w:val="20"/>
          <w:szCs w:val="20"/>
        </w:rPr>
      </w:pPr>
      <w:r>
        <w:rPr>
          <w:rFonts w:eastAsia="Arial" w:cs="Arial"/>
          <w:sz w:val="20"/>
          <w:szCs w:val="20"/>
        </w:rPr>
        <w:t xml:space="preserve">A number of parties may request to see financial statements, including regulators, landlords, lenders, and institutional clients. Accurate and current records are also necessary to comply with various laws and rules, including paying federal, state and local taxes. </w:t>
      </w:r>
    </w:p>
    <w:p>
      <w:pPr>
        <w:pStyle w:val="normal0"/>
        <w:spacing w:before="200" w:after="200"/>
        <w:rPr>
          <w:rFonts w:eastAsia="Arial" w:cs="Arial"/>
          <w:sz w:val="20"/>
          <w:szCs w:val="20"/>
        </w:rPr>
      </w:pPr>
      <w:r>
        <w:rPr>
          <w:rFonts w:eastAsia="Arial" w:cs="Arial"/>
          <w:sz w:val="20"/>
          <w:szCs w:val="20"/>
        </w:rPr>
        <w:t>Regulators expect that an investment adviser will assess what its back-up and contingency needs are in the event of a disaster and institute procedures to meet those needs by executing a well thought out contingency plan. At a minimum, investment advisers should address data back-up and recovery, all mission critical systems, and alternative communications between the investment adviser and its clients and service providers. Clients rely on investment advisers to maintain operations and communication channels, even in the wake of natural and other disasters.</w:t>
      </w:r>
    </w:p>
    <w:p>
      <w:pPr>
        <w:pStyle w:val="normal0"/>
        <w:spacing w:before="200" w:after="200"/>
        <w:rPr>
          <w:rFonts w:eastAsia="Arial" w:cs="Arial"/>
          <w:sz w:val="20"/>
          <w:szCs w:val="20"/>
        </w:rPr>
      </w:pPr>
      <w:r>
        <w:rPr>
          <w:rFonts w:eastAsia="Arial" w:cs="Arial"/>
          <w:sz w:val="20"/>
          <w:szCs w:val="20"/>
        </w:rPr>
        <w:t xml:space="preserve">Professionals organizing an entity should understand that a legal entity is not a perfect shield against personal liability. Under common law, a court may ignore the legal entity and hold its shareholders personally liable for the obligations of a company that is not operated as an entity separate and apart from the shareholders' personal affairs. </w:t>
      </w:r>
    </w:p>
    <w:p>
      <w:bookmarkEnd w:id="949"/>
      <w:bookmarkStart w:id="951" w:name="Sec_Chp_061016102258531_061016102258593"/>
    </w:p>
    <w:p>
      <w:pPr>
        <w:pStyle w:val="Heading2"/>
      </w:pPr>
      <w:bookmarkStart w:id="952" w:name="_Toc256000238"/>
      <w:r>
        <w:t>12.1 Compliance Reference Chart</w:t>
      </w:r>
      <w:bookmarkEnd w:id="952"/>
    </w:p>
    <w:p/>
    <w:p>
      <w:pPr>
        <w:rPr>
          <w:rFonts w:eastAsia="Arial" w:cs="Arial"/>
          <w:sz w:val="16"/>
          <w:szCs w:val="16"/>
        </w:rPr>
      </w:pPr>
      <w:r>
        <w:rPr>
          <w:rFonts w:eastAsia="Arial" w:cs="Arial"/>
          <w:sz w:val="16"/>
          <w:szCs w:val="16"/>
        </w:rPr>
        <w:t>[Applicable state statutes governing the Firm's form of organization]</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p>
            <w:pPr>
              <w:numPr>
                <w:ilvl w:val="0"/>
                <w:numId w:val="82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3"/>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day KCD is open for business it must make financial entries to account for its business operations</w:t>
            </w:r>
          </w:p>
          <w:p>
            <w:pPr>
              <w:numPr>
                <w:ilvl w:val="0"/>
                <w:numId w:val="82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Disaster recovery procedures should be periodically tested </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Applicable state statutes governing KCD's form of organization</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Organizing documents</w:t>
            </w:r>
          </w:p>
          <w:p>
            <w:pPr>
              <w:numPr>
                <w:ilvl w:val="0"/>
                <w:numId w:val="82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Various financial statements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2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KCD audits its Business Compliance Procedures annually. </w:t>
            </w:r>
          </w:p>
        </w:tc>
      </w:tr>
    </w:tbl>
    <w:p>
      <w:bookmarkEnd w:id="951"/>
      <w:bookmarkStart w:id="953" w:name="Sec_Chp_061016102258531_061016102258640"/>
    </w:p>
    <w:p>
      <w:pPr>
        <w:pStyle w:val="Heading2"/>
      </w:pPr>
      <w:bookmarkStart w:id="954" w:name="_Toc256000239"/>
      <w:r>
        <w:t>12.2 Policy</w:t>
      </w:r>
      <w:bookmarkEnd w:id="954"/>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account for its business operations and to generate and maintain financial statements that accurately portray KCD's financial condition on a current basis and to have a plan that is designed to ensure the continuity of its critical business functions and to minimize inconvenience and disruption of services to clients during disasters.</w:t>
      </w:r>
    </w:p>
    <w:p>
      <w:bookmarkEnd w:id="953"/>
      <w:bookmarkStart w:id="955" w:name="Sec_Chp_061016102258531_061016102258656"/>
    </w:p>
    <w:p>
      <w:pPr>
        <w:pStyle w:val="Heading2"/>
      </w:pPr>
      <w:bookmarkStart w:id="956" w:name="_Toc256000240"/>
      <w:r>
        <w:t>12.3 Procedures</w:t>
      </w:r>
      <w:bookmarkEnd w:id="956"/>
    </w:p>
    <w:p/>
    <w:p>
      <w:pPr>
        <w:rPr>
          <w:rFonts w:eastAsia="Arial" w:cs="Arial"/>
          <w:sz w:val="16"/>
          <w:szCs w:val="16"/>
        </w:rPr>
      </w:pPr>
    </w:p>
    <w:p>
      <w:bookmarkEnd w:id="955"/>
      <w:bookmarkStart w:id="957" w:name="Sec_Chp_061016102258531_061016102258671"/>
    </w:p>
    <w:p>
      <w:pPr>
        <w:pStyle w:val="Heading3"/>
      </w:pPr>
      <w:bookmarkStart w:id="958" w:name="_Toc256000241"/>
      <w:r>
        <w:t>12.3.1 Business Accounting and Financial Condition</w:t>
      </w:r>
      <w:bookmarkEnd w:id="958"/>
      <w:r>
        <w:t xml:space="preserve"> </w:t>
      </w:r>
    </w:p>
    <w:p/>
    <w:p>
      <w:pPr>
        <w:rPr>
          <w:rFonts w:eastAsia="Arial" w:cs="Arial"/>
          <w:sz w:val="16"/>
          <w:szCs w:val="16"/>
        </w:rPr>
      </w:pPr>
    </w:p>
    <w:p>
      <w:bookmarkEnd w:id="957"/>
      <w:bookmarkStart w:id="959" w:name="Sec_Chp_061016102258531_061016102258687"/>
    </w:p>
    <w:p>
      <w:pPr>
        <w:pStyle w:val="Heading4"/>
      </w:pPr>
      <w:r>
        <w:t xml:space="preserve">12.3.1.1 Budget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Prior to each fiscal year, KCD will analyze projected income and expenses and based upon that analysis prepare a budget for the next fiscal year. </w:t>
      </w:r>
    </w:p>
    <w:p>
      <w:bookmarkEnd w:id="959"/>
      <w:bookmarkStart w:id="960" w:name="Sec_Chp_061016102258531_061016102258703"/>
    </w:p>
    <w:p>
      <w:pPr>
        <w:pStyle w:val="Heading4"/>
      </w:pPr>
      <w:r>
        <w:t>12.3.1.2 Accounting Method and Principals</w:t>
      </w:r>
    </w:p>
    <w:p/>
    <w:p>
      <w:pPr>
        <w:rPr>
          <w:rFonts w:eastAsia="Arial" w:cs="Arial"/>
          <w:sz w:val="16"/>
          <w:szCs w:val="16"/>
        </w:rPr>
      </w:pPr>
    </w:p>
    <w:p>
      <w:pPr>
        <w:numPr>
          <w:ilvl w:val="0"/>
          <w:numId w:val="827"/>
        </w:numPr>
        <w:ind w:left="720" w:hanging="192"/>
        <w:jc w:val="left"/>
        <w:rPr>
          <w:rFonts w:eastAsia="Arial" w:cs="Arial"/>
          <w:sz w:val="20"/>
          <w:szCs w:val="20"/>
        </w:rPr>
      </w:pPr>
      <w:r>
        <w:rPr>
          <w:rFonts w:eastAsia="Arial" w:cs="Arial"/>
          <w:sz w:val="20"/>
          <w:szCs w:val="20"/>
        </w:rPr>
        <w:t>The firm will account for its business by using the accrual accounting method.</w:t>
      </w:r>
    </w:p>
    <w:p>
      <w:pPr>
        <w:numPr>
          <w:ilvl w:val="0"/>
          <w:numId w:val="827"/>
        </w:numPr>
        <w:spacing w:after="200"/>
        <w:ind w:left="720" w:hanging="192"/>
        <w:jc w:val="left"/>
        <w:rPr>
          <w:rFonts w:eastAsia="Arial" w:cs="Arial"/>
          <w:sz w:val="20"/>
          <w:szCs w:val="20"/>
        </w:rPr>
      </w:pPr>
      <w:r>
        <w:rPr>
          <w:rFonts w:eastAsia="Arial" w:cs="Arial"/>
          <w:sz w:val="20"/>
          <w:szCs w:val="20"/>
        </w:rPr>
        <w:t>KCD, when accounting for its business operation, will follow generally accepted accounting principals.</w:t>
      </w:r>
    </w:p>
    <w:p>
      <w:bookmarkEnd w:id="960"/>
      <w:bookmarkStart w:id="961" w:name="Sec_Chp_061016102258531_061016102258734"/>
    </w:p>
    <w:p>
      <w:pPr>
        <w:pStyle w:val="Heading4"/>
      </w:pPr>
      <w:r>
        <w:t xml:space="preserve">12.3.1.3 Accounting System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hardware, software and other equipment necessary to adequately account for its business operations and generate and record its accounting records. The Chief Compliance Officer shall arrange for employees to be trained to properly use the accounting system. The system shall be able to produce desired records on a real-time basis.</w:t>
      </w:r>
    </w:p>
    <w:p>
      <w:bookmarkEnd w:id="961"/>
      <w:bookmarkStart w:id="962" w:name="Sec_Chp_061016102258531_061016102258750"/>
    </w:p>
    <w:p>
      <w:pPr>
        <w:pStyle w:val="Heading4"/>
      </w:pPr>
      <w:r>
        <w:t>12.3.1.4 Financial Records and Statements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maintain the necessary ledgers or other records, including:</w:t>
      </w:r>
    </w:p>
    <w:p>
      <w:pPr>
        <w:numPr>
          <w:ilvl w:val="0"/>
          <w:numId w:val="828"/>
        </w:numPr>
        <w:spacing w:before="200"/>
        <w:ind w:left="720" w:hanging="192"/>
        <w:jc w:val="left"/>
        <w:rPr>
          <w:rFonts w:eastAsia="Arial" w:cs="Arial"/>
          <w:sz w:val="20"/>
          <w:szCs w:val="20"/>
        </w:rPr>
      </w:pPr>
      <w:r>
        <w:rPr>
          <w:rFonts w:eastAsia="Arial" w:cs="Arial"/>
          <w:sz w:val="20"/>
          <w:szCs w:val="20"/>
        </w:rPr>
        <w:t xml:space="preserve">journals reflecting all assets and liabilities, income and expenses and capital accounts; </w:t>
      </w:r>
    </w:p>
    <w:p>
      <w:pPr>
        <w:numPr>
          <w:ilvl w:val="0"/>
          <w:numId w:val="828"/>
        </w:numPr>
        <w:ind w:left="720" w:hanging="192"/>
        <w:jc w:val="left"/>
        <w:rPr>
          <w:rFonts w:eastAsia="Arial" w:cs="Arial"/>
          <w:sz w:val="20"/>
          <w:szCs w:val="20"/>
        </w:rPr>
      </w:pPr>
      <w:r>
        <w:rPr>
          <w:rFonts w:eastAsia="Arial" w:cs="Arial"/>
          <w:sz w:val="20"/>
          <w:szCs w:val="20"/>
        </w:rPr>
        <w:t xml:space="preserve">journals showing cash receipts, disbursements and other records of original entry; </w:t>
      </w:r>
    </w:p>
    <w:p>
      <w:pPr>
        <w:numPr>
          <w:ilvl w:val="0"/>
          <w:numId w:val="828"/>
        </w:numPr>
        <w:ind w:left="720" w:hanging="192"/>
        <w:jc w:val="left"/>
        <w:rPr>
          <w:rFonts w:eastAsia="Arial" w:cs="Arial"/>
          <w:sz w:val="20"/>
          <w:szCs w:val="20"/>
        </w:rPr>
      </w:pPr>
      <w:r>
        <w:rPr>
          <w:rFonts w:eastAsia="Arial" w:cs="Arial"/>
          <w:sz w:val="20"/>
          <w:szCs w:val="20"/>
        </w:rPr>
        <w:t xml:space="preserve">trial balances that indicate the financial condition of KCD; and </w:t>
      </w:r>
    </w:p>
    <w:p>
      <w:pPr>
        <w:numPr>
          <w:ilvl w:val="0"/>
          <w:numId w:val="828"/>
        </w:numPr>
        <w:spacing w:after="200"/>
        <w:ind w:left="720" w:hanging="192"/>
        <w:jc w:val="left"/>
        <w:rPr>
          <w:rFonts w:eastAsia="Arial" w:cs="Arial"/>
          <w:sz w:val="20"/>
          <w:szCs w:val="20"/>
        </w:rPr>
      </w:pPr>
      <w:r>
        <w:rPr>
          <w:rFonts w:eastAsia="Arial" w:cs="Arial"/>
          <w:sz w:val="20"/>
          <w:szCs w:val="20"/>
        </w:rPr>
        <w:t>internal audit working papers.</w:t>
      </w:r>
    </w:p>
    <w:p>
      <w:pPr>
        <w:pStyle w:val="normal0"/>
        <w:spacing w:before="200" w:after="200"/>
        <w:rPr>
          <w:rFonts w:eastAsia="Arial" w:cs="Arial"/>
          <w:sz w:val="20"/>
          <w:szCs w:val="20"/>
        </w:rPr>
      </w:pPr>
      <w:r>
        <w:rPr>
          <w:rFonts w:eastAsia="Arial" w:cs="Arial"/>
          <w:sz w:val="20"/>
          <w:szCs w:val="20"/>
        </w:rPr>
        <w:t xml:space="preserve">KCD shall keep its financial records true, accurate and current. The SEC defines "current" to mean at least quarterly. </w:t>
      </w:r>
      <w:r>
        <w:rPr>
          <w:rStyle w:val="Emphasis"/>
          <w:rFonts w:eastAsia="Arial" w:cs="Arial"/>
          <w:i/>
          <w:iCs/>
          <w:sz w:val="20"/>
          <w:szCs w:val="20"/>
        </w:rPr>
        <w:t>See American Asset Management, SEC No-Action Letter (pub. avail. Aug. 24, 1987)</w:t>
      </w:r>
      <w:r>
        <w:rPr>
          <w:rFonts w:eastAsia="Arial" w:cs="Arial"/>
          <w:sz w:val="20"/>
          <w:szCs w:val="20"/>
        </w:rPr>
        <w:t xml:space="preserve"> and </w:t>
      </w:r>
      <w:r>
        <w:rPr>
          <w:rStyle w:val="Emphasis"/>
          <w:rFonts w:eastAsia="Arial" w:cs="Arial"/>
          <w:i/>
          <w:iCs/>
          <w:sz w:val="20"/>
          <w:szCs w:val="20"/>
        </w:rPr>
        <w:t>Harold N. Chadwick, SEC No-Action Letter (pub. avail. Oct. 26, 1987).</w:t>
      </w:r>
      <w:r>
        <w:rPr>
          <w:rFonts w:eastAsia="Arial" w:cs="Arial"/>
          <w:sz w:val="20"/>
          <w:szCs w:val="20"/>
        </w:rPr>
        <w:t xml:space="preserve"> At the end of each fiscal year, KCD will examine its financial books and records and based upon that examination will prepare financial statements for the fiscal year.</w:t>
      </w:r>
    </w:p>
    <w:p>
      <w:pPr>
        <w:pStyle w:val="normal0"/>
        <w:spacing w:before="200" w:after="200"/>
        <w:rPr>
          <w:rFonts w:eastAsia="Arial" w:cs="Arial"/>
          <w:sz w:val="20"/>
          <w:szCs w:val="20"/>
        </w:rPr>
      </w:pPr>
      <w:r>
        <w:rPr>
          <w:rFonts w:eastAsia="Arial" w:cs="Arial"/>
          <w:sz w:val="20"/>
          <w:szCs w:val="20"/>
        </w:rPr>
        <w:t>KCD retains a certified public accountant to audit its annual financial statements.</w:t>
      </w:r>
    </w:p>
    <w:p>
      <w:bookmarkEnd w:id="962"/>
      <w:bookmarkStart w:id="963" w:name="Sec_Chp_061016102258531_061016102258765"/>
    </w:p>
    <w:p>
      <w:pPr>
        <w:pStyle w:val="Heading4"/>
      </w:pPr>
      <w:r>
        <w:t>12.3.1.5 Financial Condition of the Firm</w:t>
      </w:r>
    </w:p>
    <w:p/>
    <w:p>
      <w:pPr>
        <w:rPr>
          <w:rFonts w:eastAsia="Arial" w:cs="Arial"/>
          <w:sz w:val="16"/>
          <w:szCs w:val="16"/>
        </w:rPr>
      </w:pPr>
      <w:r>
        <w:rPr>
          <w:rFonts w:eastAsia="Arial" w:cs="Arial"/>
          <w:sz w:val="16"/>
          <w:szCs w:val="16"/>
        </w:rPr>
        <w:t>[Investment Advisers Act of 1940 Rule 206(4)-4]</w:t>
      </w:r>
    </w:p>
    <w:p/>
    <w:p>
      <w:pPr>
        <w:pStyle w:val="normal0"/>
        <w:spacing w:after="200"/>
        <w:rPr>
          <w:rFonts w:eastAsia="Arial" w:cs="Arial"/>
          <w:sz w:val="20"/>
          <w:szCs w:val="20"/>
        </w:rPr>
      </w:pPr>
      <w:r>
        <w:rPr>
          <w:rFonts w:eastAsia="Arial" w:cs="Arial"/>
          <w:sz w:val="20"/>
          <w:szCs w:val="20"/>
        </w:rPr>
        <w:t xml:space="preserve">Periodically, the Chief Compliance Officer will review KCD's financial condition to ensure that it is able to meet current obligations. For example, the Chief Compliance Officer will compare the total current assets of KCD with KCD's total current liabilities. If this ratio falls below an acceptable level, the Chief Compliance Officer will notify the senior financial officer of KCD, who shall take steps to improve KCD's financial condition. </w:t>
      </w:r>
    </w:p>
    <w:p>
      <w:pPr>
        <w:pStyle w:val="normal0"/>
        <w:spacing w:before="200" w:after="200"/>
        <w:rPr>
          <w:rFonts w:eastAsia="Arial" w:cs="Arial"/>
          <w:sz w:val="20"/>
          <w:szCs w:val="20"/>
        </w:rPr>
      </w:pPr>
      <w:r>
        <w:rPr>
          <w:rFonts w:eastAsia="Arial" w:cs="Arial"/>
          <w:sz w:val="20"/>
          <w:szCs w:val="20"/>
        </w:rPr>
        <w:t>Current assets include such items as:</w:t>
      </w:r>
    </w:p>
    <w:p>
      <w:pPr>
        <w:numPr>
          <w:ilvl w:val="0"/>
          <w:numId w:val="829"/>
        </w:numPr>
        <w:spacing w:before="200"/>
        <w:ind w:left="720" w:hanging="192"/>
        <w:jc w:val="left"/>
        <w:rPr>
          <w:rFonts w:eastAsia="Arial" w:cs="Arial"/>
          <w:sz w:val="20"/>
          <w:szCs w:val="20"/>
        </w:rPr>
      </w:pPr>
      <w:r>
        <w:rPr>
          <w:rFonts w:eastAsia="Arial" w:cs="Arial"/>
          <w:sz w:val="20"/>
          <w:szCs w:val="20"/>
        </w:rPr>
        <w:t xml:space="preserve">cash; </w:t>
      </w:r>
    </w:p>
    <w:p>
      <w:pPr>
        <w:numPr>
          <w:ilvl w:val="0"/>
          <w:numId w:val="829"/>
        </w:numPr>
        <w:ind w:left="720" w:hanging="192"/>
        <w:jc w:val="left"/>
        <w:rPr>
          <w:rFonts w:eastAsia="Arial" w:cs="Arial"/>
          <w:sz w:val="20"/>
          <w:szCs w:val="20"/>
        </w:rPr>
      </w:pPr>
      <w:r>
        <w:rPr>
          <w:rFonts w:eastAsia="Arial" w:cs="Arial"/>
          <w:sz w:val="20"/>
          <w:szCs w:val="20"/>
        </w:rPr>
        <w:t xml:space="preserve">cash items; </w:t>
      </w:r>
    </w:p>
    <w:p>
      <w:pPr>
        <w:numPr>
          <w:ilvl w:val="0"/>
          <w:numId w:val="829"/>
        </w:numPr>
        <w:ind w:left="720" w:hanging="192"/>
        <w:jc w:val="left"/>
        <w:rPr>
          <w:rFonts w:eastAsia="Arial" w:cs="Arial"/>
          <w:sz w:val="20"/>
          <w:szCs w:val="20"/>
        </w:rPr>
      </w:pPr>
      <w:r>
        <w:rPr>
          <w:rFonts w:eastAsia="Arial" w:cs="Arial"/>
          <w:sz w:val="20"/>
          <w:szCs w:val="20"/>
        </w:rPr>
        <w:t>marketable securities; and</w:t>
      </w:r>
    </w:p>
    <w:p>
      <w:pPr>
        <w:numPr>
          <w:ilvl w:val="0"/>
          <w:numId w:val="829"/>
        </w:numPr>
        <w:spacing w:after="200"/>
        <w:ind w:left="720" w:hanging="192"/>
        <w:jc w:val="left"/>
        <w:rPr>
          <w:rFonts w:eastAsia="Arial" w:cs="Arial"/>
          <w:sz w:val="20"/>
          <w:szCs w:val="20"/>
        </w:rPr>
      </w:pPr>
      <w:r>
        <w:rPr>
          <w:rFonts w:eastAsia="Arial" w:cs="Arial"/>
          <w:sz w:val="20"/>
          <w:szCs w:val="20"/>
        </w:rPr>
        <w:t xml:space="preserve">receivables from clients (assuming such receivables can be collected in a reasonable amount of time). </w:t>
      </w:r>
    </w:p>
    <w:p>
      <w:pPr>
        <w:pStyle w:val="normal0"/>
        <w:spacing w:before="200" w:after="200"/>
        <w:rPr>
          <w:rFonts w:eastAsia="Arial" w:cs="Arial"/>
          <w:sz w:val="20"/>
          <w:szCs w:val="20"/>
        </w:rPr>
      </w:pPr>
      <w:r>
        <w:rPr>
          <w:rFonts w:eastAsia="Arial" w:cs="Arial"/>
          <w:sz w:val="20"/>
          <w:szCs w:val="20"/>
        </w:rPr>
        <w:t xml:space="preserve">Current liabilities include: </w:t>
      </w:r>
    </w:p>
    <w:p>
      <w:pPr>
        <w:numPr>
          <w:ilvl w:val="0"/>
          <w:numId w:val="830"/>
        </w:numPr>
        <w:spacing w:before="200"/>
        <w:ind w:left="720" w:hanging="192"/>
        <w:jc w:val="left"/>
        <w:rPr>
          <w:rFonts w:eastAsia="Arial" w:cs="Arial"/>
          <w:sz w:val="20"/>
          <w:szCs w:val="20"/>
        </w:rPr>
      </w:pPr>
      <w:r>
        <w:rPr>
          <w:rFonts w:eastAsia="Arial" w:cs="Arial"/>
          <w:sz w:val="20"/>
          <w:szCs w:val="20"/>
        </w:rPr>
        <w:t xml:space="preserve">accrued salaries and taxes; </w:t>
      </w:r>
    </w:p>
    <w:p>
      <w:pPr>
        <w:numPr>
          <w:ilvl w:val="0"/>
          <w:numId w:val="830"/>
        </w:numPr>
        <w:ind w:left="720" w:hanging="192"/>
        <w:jc w:val="left"/>
        <w:rPr>
          <w:rFonts w:eastAsia="Arial" w:cs="Arial"/>
          <w:sz w:val="20"/>
          <w:szCs w:val="20"/>
        </w:rPr>
      </w:pPr>
      <w:r>
        <w:rPr>
          <w:rFonts w:eastAsia="Arial" w:cs="Arial"/>
          <w:sz w:val="20"/>
          <w:szCs w:val="20"/>
        </w:rPr>
        <w:t xml:space="preserve">current portions due on long-term debt; and </w:t>
      </w:r>
    </w:p>
    <w:p>
      <w:pPr>
        <w:numPr>
          <w:ilvl w:val="0"/>
          <w:numId w:val="830"/>
        </w:numPr>
        <w:spacing w:after="200"/>
        <w:ind w:left="720" w:hanging="192"/>
        <w:jc w:val="left"/>
        <w:rPr>
          <w:rFonts w:eastAsia="Arial" w:cs="Arial"/>
          <w:sz w:val="20"/>
          <w:szCs w:val="20"/>
        </w:rPr>
      </w:pPr>
      <w:r>
        <w:rPr>
          <w:rFonts w:eastAsia="Arial" w:cs="Arial"/>
          <w:sz w:val="20"/>
          <w:szCs w:val="20"/>
        </w:rPr>
        <w:t>other obligations that necessitate a cash payment within one year.</w:t>
      </w:r>
    </w:p>
    <w:p>
      <w:pPr>
        <w:pStyle w:val="normal0"/>
        <w:spacing w:before="200" w:after="200"/>
        <w:rPr>
          <w:rFonts w:eastAsia="Arial" w:cs="Arial"/>
          <w:sz w:val="20"/>
          <w:szCs w:val="20"/>
        </w:rPr>
      </w:pPr>
      <w:r>
        <w:rPr>
          <w:rFonts w:eastAsia="Arial" w:cs="Arial"/>
          <w:sz w:val="20"/>
          <w:szCs w:val="20"/>
        </w:rPr>
        <w:t>KCD will also monitor its net capital position and will comply with any state net capital requirements if applicable.</w:t>
      </w:r>
    </w:p>
    <w:p>
      <w:pPr>
        <w:pStyle w:val="normal0"/>
        <w:spacing w:before="200" w:after="200"/>
        <w:rPr>
          <w:rFonts w:eastAsia="Arial" w:cs="Arial"/>
          <w:sz w:val="20"/>
          <w:szCs w:val="20"/>
        </w:rPr>
      </w:pPr>
      <w:r>
        <w:rPr>
          <w:rFonts w:eastAsia="Arial" w:cs="Arial"/>
          <w:sz w:val="20"/>
          <w:szCs w:val="20"/>
        </w:rPr>
        <w:t>As required by Rule 206(4)-4 under the Investment Advisers Act of 1940, KCD will immediately amend its Form ADV to disclose any financial condition that is reasonably likely to impair its ability to meet its contractual commitments to its clients.</w:t>
      </w:r>
    </w:p>
    <w:p>
      <w:bookmarkEnd w:id="963"/>
      <w:bookmarkStart w:id="964" w:name="Sec_Chp_061016102258531_061016102258781"/>
    </w:p>
    <w:p>
      <w:pPr>
        <w:pStyle w:val="Heading3"/>
      </w:pPr>
      <w:bookmarkStart w:id="965" w:name="_Toc256000242"/>
      <w:r>
        <w:t>12.3.2 Taxes</w:t>
      </w:r>
      <w:bookmarkEnd w:id="965"/>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obtain and maintain a Federal Employer Identification Tax Number. KCD will comply with all applicable federal, state and tax laws, will make all required state and employee tax filings, and comply with all rules governing payroll obligations, withdrawals and W-2 statements.</w:t>
      </w:r>
    </w:p>
    <w:p>
      <w:bookmarkEnd w:id="964"/>
      <w:bookmarkStart w:id="966" w:name="Sec_Chp_061016102258531_061016102258796"/>
    </w:p>
    <w:p>
      <w:pPr>
        <w:pStyle w:val="Heading3"/>
      </w:pPr>
      <w:bookmarkStart w:id="967" w:name="_Toc256000243"/>
      <w:r>
        <w:t>12.3.3 Disaster Recovery Plan</w:t>
      </w:r>
      <w:bookmarkEnd w:id="967"/>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recognizes its operational dependency on computer systems, networks, database services, Internet, e-mail, telephone and fax services, electrical power and other essential items and the potential loss of revenue and operational control that may occur in the event of a disaster. KCD has authorized the preparation, implementation and maintenance of this comprehensive Disaster Recovery Plan. The intent of this Plan is to provide a written and tested plan directing officers and employees to take certain actions in the event of an interruption in continuous services resulting from an unplanned or unexpected disaster.</w:t>
      </w:r>
    </w:p>
    <w:p>
      <w:pPr>
        <w:pStyle w:val="normal0"/>
        <w:spacing w:before="200" w:after="200"/>
        <w:rPr>
          <w:rFonts w:eastAsia="Arial" w:cs="Arial"/>
          <w:sz w:val="20"/>
          <w:szCs w:val="20"/>
        </w:rPr>
      </w:pPr>
      <w:r>
        <w:rPr>
          <w:rFonts w:eastAsia="Arial" w:cs="Arial"/>
          <w:sz w:val="20"/>
          <w:szCs w:val="20"/>
        </w:rPr>
        <w:t xml:space="preserve">This Disaster Recovery Plan is designed to recover from the "worst case" destruction of KCD's operating environment. The "worst case" destruction assumes the loss of the total facility, supporting infrastructures (e.g., power grids, telephone switching centers, microwave towers, and cell and wireless transmission sites near the location of KCD), and the incapacity of key personnel. </w:t>
      </w:r>
    </w:p>
    <w:p>
      <w:pPr>
        <w:pStyle w:val="normal0"/>
        <w:spacing w:before="200" w:after="200"/>
        <w:rPr>
          <w:rFonts w:eastAsia="Arial" w:cs="Arial"/>
          <w:sz w:val="20"/>
          <w:szCs w:val="20"/>
        </w:rPr>
      </w:pPr>
      <w:r>
        <w:rPr>
          <w:rFonts w:eastAsia="Arial" w:cs="Arial"/>
          <w:sz w:val="20"/>
          <w:szCs w:val="20"/>
        </w:rPr>
        <w:t>These procedures describe KCD's overall approach to disaster preparation and recovery. They are designed to minimize loss and ensure the continuity of the critical business functions of KCD in the event of a disaster.</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On June 28, 2016, the SEC proposed Rule 206(4)-4 under the Advisers Act, which if it had been adopted, would have required registered investment advisers to adopt and implement written disaster recovery plans (also called "business continuity and transition plans" or "BCPs") designed to address operational failures and significant business interruption, such as a natural disaster, act of terrorism, or cyber attack. To date, the SEC has not adopted Rule 206(4)-4. On October 26, 2017, the U.S. Department of Treasury released a report ("Treasury Report") that examines the current regulatory framework for the investment management industry, including investment advisers, and makes recommendations to ensure the regulatory framework is aligned with the Trump administration's core principles for financial regulation. While the Treasury Report strongly endorses the principle of effective and robust business continuity planning by investment advisers, it found that there is no compelling need for additional rulemaking in this area. It therefore recommended that proposed Rule 206(4)-4 be withdrawn. The Treasury Report did, however, note that business continuity plans have long been required under investment advisers' general fiduciary obligations to clients. </w:t>
            </w:r>
          </w:p>
        </w:tc>
      </w:tr>
    </w:tbl>
    <w:p>
      <w:bookmarkEnd w:id="966"/>
      <w:bookmarkStart w:id="968" w:name="Sec_Chp_061016102258531_061016102258812"/>
    </w:p>
    <w:p>
      <w:pPr>
        <w:pStyle w:val="Heading4"/>
      </w:pPr>
      <w:r>
        <w:t>12.3.3.1 Disaster Recovery Team and Supervisor</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have in place a disaster recovery team that carries out these procedures and provides for a coordinated disaster recovery response. Key personnel have been assigned certain roles and are responsible for managing resources, gathering and analyzing information and making decisions during an emergency.</w:t>
      </w:r>
    </w:p>
    <w:p>
      <w:pPr>
        <w:pStyle w:val="normal0"/>
        <w:spacing w:before="200" w:after="200"/>
        <w:rPr>
          <w:rFonts w:eastAsia="Arial" w:cs="Arial"/>
          <w:sz w:val="20"/>
          <w:szCs w:val="20"/>
        </w:rPr>
      </w:pPr>
      <w:r>
        <w:rPr>
          <w:rFonts w:eastAsia="Arial" w:cs="Arial"/>
          <w:sz w:val="20"/>
          <w:szCs w:val="20"/>
        </w:rPr>
        <w:t>The Disaster Recovery Team shall have the following responsibilities:</w:t>
      </w:r>
    </w:p>
    <w:p>
      <w:pPr>
        <w:numPr>
          <w:ilvl w:val="0"/>
          <w:numId w:val="831"/>
        </w:numPr>
        <w:spacing w:before="200"/>
        <w:ind w:left="720" w:hanging="267"/>
        <w:jc w:val="left"/>
        <w:rPr>
          <w:rFonts w:eastAsia="Arial" w:cs="Arial"/>
          <w:sz w:val="20"/>
          <w:szCs w:val="20"/>
        </w:rPr>
      </w:pPr>
      <w:r>
        <w:rPr>
          <w:rFonts w:eastAsia="Arial" w:cs="Arial"/>
          <w:sz w:val="20"/>
          <w:szCs w:val="20"/>
        </w:rPr>
        <w:t xml:space="preserve">Develop and maintain this Disaster Recovery Plan; </w:t>
      </w:r>
    </w:p>
    <w:p>
      <w:pPr>
        <w:numPr>
          <w:ilvl w:val="0"/>
          <w:numId w:val="831"/>
        </w:numPr>
        <w:ind w:left="720" w:hanging="267"/>
        <w:jc w:val="left"/>
        <w:rPr>
          <w:rFonts w:eastAsia="Arial" w:cs="Arial"/>
          <w:sz w:val="20"/>
          <w:szCs w:val="20"/>
        </w:rPr>
      </w:pPr>
      <w:r>
        <w:rPr>
          <w:rFonts w:eastAsia="Arial" w:cs="Arial"/>
          <w:sz w:val="20"/>
          <w:szCs w:val="20"/>
        </w:rPr>
        <w:t xml:space="preserve">Procure the necessary supplies, equipment and systems to implement the Disaster Recovery Plan and to support disaster recovery in the event of a disaster; </w:t>
      </w:r>
    </w:p>
    <w:p>
      <w:pPr>
        <w:numPr>
          <w:ilvl w:val="0"/>
          <w:numId w:val="831"/>
        </w:numPr>
        <w:ind w:left="720" w:hanging="267"/>
        <w:jc w:val="left"/>
        <w:rPr>
          <w:rFonts w:eastAsia="Arial" w:cs="Arial"/>
          <w:sz w:val="20"/>
          <w:szCs w:val="20"/>
        </w:rPr>
      </w:pPr>
      <w:r>
        <w:rPr>
          <w:rFonts w:eastAsia="Arial" w:cs="Arial"/>
          <w:sz w:val="20"/>
          <w:szCs w:val="20"/>
        </w:rPr>
        <w:t xml:space="preserve">Conduct training drills; and </w:t>
      </w:r>
    </w:p>
    <w:p>
      <w:pPr>
        <w:numPr>
          <w:ilvl w:val="0"/>
          <w:numId w:val="831"/>
        </w:numPr>
        <w:spacing w:after="200"/>
        <w:ind w:left="720" w:hanging="267"/>
        <w:jc w:val="left"/>
        <w:rPr>
          <w:rFonts w:eastAsia="Arial" w:cs="Arial"/>
          <w:sz w:val="20"/>
          <w:szCs w:val="20"/>
        </w:rPr>
      </w:pPr>
      <w:r>
        <w:rPr>
          <w:rFonts w:eastAsia="Arial" w:cs="Arial"/>
          <w:sz w:val="20"/>
          <w:szCs w:val="20"/>
        </w:rPr>
        <w:t>Keep current on threats and identify potential disasters that may disrupt the operations of KCD.</w:t>
      </w:r>
    </w:p>
    <w:p>
      <w:pPr>
        <w:pStyle w:val="normal0"/>
        <w:spacing w:before="200" w:after="200"/>
        <w:rPr>
          <w:rFonts w:eastAsia="Arial" w:cs="Arial"/>
          <w:sz w:val="20"/>
          <w:szCs w:val="20"/>
        </w:rPr>
      </w:pPr>
      <w:r>
        <w:rPr>
          <w:rFonts w:eastAsia="Arial" w:cs="Arial"/>
          <w:sz w:val="20"/>
          <w:szCs w:val="20"/>
        </w:rPr>
        <w:t>KCD shall designate an employee who will be responsible for directing disaster recovery operations ("Disaster Recovery Supervisor").</w:t>
      </w:r>
    </w:p>
    <w:p>
      <w:bookmarkEnd w:id="968"/>
      <w:bookmarkStart w:id="969" w:name="Sec_Chp_061016102258531_061016102258828"/>
    </w:p>
    <w:p>
      <w:pPr>
        <w:pStyle w:val="Heading4"/>
      </w:pPr>
      <w:r>
        <w:t xml:space="preserve">12.3.3.2 Identifying Potential Disasters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Disaster Recovery Team shall meet at least One times a year to discuss types of potential disruptions to the operations of KCD and to plan how KCD will operate during, and recover from, those disruptions. Potential disasters and disruptions include:</w:t>
      </w:r>
    </w:p>
    <w:p>
      <w:pPr>
        <w:numPr>
          <w:ilvl w:val="0"/>
          <w:numId w:val="832"/>
        </w:numPr>
        <w:spacing w:before="200"/>
        <w:ind w:left="720" w:hanging="192"/>
        <w:jc w:val="left"/>
        <w:rPr>
          <w:rFonts w:eastAsia="Arial" w:cs="Arial"/>
          <w:sz w:val="20"/>
          <w:szCs w:val="20"/>
        </w:rPr>
      </w:pPr>
      <w:r>
        <w:rPr>
          <w:rFonts w:eastAsia="Arial" w:cs="Arial"/>
          <w:sz w:val="20"/>
          <w:szCs w:val="20"/>
        </w:rPr>
        <w:t xml:space="preserve">Power Outage </w:t>
      </w:r>
    </w:p>
    <w:p>
      <w:pPr>
        <w:numPr>
          <w:ilvl w:val="0"/>
          <w:numId w:val="832"/>
        </w:numPr>
        <w:ind w:left="720" w:hanging="192"/>
        <w:jc w:val="left"/>
        <w:rPr>
          <w:rFonts w:eastAsia="Arial" w:cs="Arial"/>
          <w:sz w:val="20"/>
          <w:szCs w:val="20"/>
        </w:rPr>
      </w:pPr>
      <w:r>
        <w:rPr>
          <w:rFonts w:eastAsia="Arial" w:cs="Arial"/>
          <w:sz w:val="20"/>
          <w:szCs w:val="20"/>
        </w:rPr>
        <w:t xml:space="preserve">Building Fire </w:t>
      </w:r>
    </w:p>
    <w:p>
      <w:pPr>
        <w:numPr>
          <w:ilvl w:val="0"/>
          <w:numId w:val="832"/>
        </w:numPr>
        <w:ind w:left="720" w:hanging="192"/>
        <w:jc w:val="left"/>
        <w:rPr>
          <w:rFonts w:eastAsia="Arial" w:cs="Arial"/>
          <w:sz w:val="20"/>
          <w:szCs w:val="20"/>
        </w:rPr>
      </w:pPr>
      <w:r>
        <w:rPr>
          <w:rFonts w:eastAsia="Arial" w:cs="Arial"/>
          <w:sz w:val="20"/>
          <w:szCs w:val="20"/>
        </w:rPr>
        <w:t xml:space="preserve">Virus, Cyber or Other Attacks on Data </w:t>
      </w:r>
    </w:p>
    <w:p>
      <w:pPr>
        <w:numPr>
          <w:ilvl w:val="0"/>
          <w:numId w:val="832"/>
        </w:numPr>
        <w:ind w:left="720" w:hanging="192"/>
        <w:jc w:val="left"/>
        <w:rPr>
          <w:rFonts w:eastAsia="Arial" w:cs="Arial"/>
          <w:sz w:val="20"/>
          <w:szCs w:val="20"/>
        </w:rPr>
      </w:pPr>
      <w:r>
        <w:rPr>
          <w:rFonts w:eastAsia="Arial" w:cs="Arial"/>
          <w:sz w:val="20"/>
          <w:szCs w:val="20"/>
        </w:rPr>
        <w:t xml:space="preserve">Severe Inclement Weather </w:t>
      </w:r>
    </w:p>
    <w:p>
      <w:pPr>
        <w:numPr>
          <w:ilvl w:val="0"/>
          <w:numId w:val="832"/>
        </w:numPr>
        <w:ind w:left="720" w:hanging="192"/>
        <w:jc w:val="left"/>
        <w:rPr>
          <w:rFonts w:eastAsia="Arial" w:cs="Arial"/>
          <w:sz w:val="20"/>
          <w:szCs w:val="20"/>
        </w:rPr>
      </w:pPr>
      <w:r>
        <w:rPr>
          <w:rFonts w:eastAsia="Arial" w:cs="Arial"/>
          <w:sz w:val="20"/>
          <w:szCs w:val="20"/>
        </w:rPr>
        <w:t xml:space="preserve">Flood </w:t>
      </w:r>
    </w:p>
    <w:p>
      <w:pPr>
        <w:numPr>
          <w:ilvl w:val="0"/>
          <w:numId w:val="832"/>
        </w:numPr>
        <w:ind w:left="720" w:hanging="192"/>
        <w:jc w:val="left"/>
        <w:rPr>
          <w:rFonts w:eastAsia="Arial" w:cs="Arial"/>
          <w:sz w:val="20"/>
          <w:szCs w:val="20"/>
        </w:rPr>
      </w:pPr>
      <w:r>
        <w:rPr>
          <w:rFonts w:eastAsia="Arial" w:cs="Arial"/>
          <w:sz w:val="20"/>
          <w:szCs w:val="20"/>
        </w:rPr>
        <w:t>Epidemic and Pandemic</w:t>
      </w:r>
    </w:p>
    <w:p>
      <w:pPr>
        <w:numPr>
          <w:ilvl w:val="0"/>
          <w:numId w:val="832"/>
        </w:numPr>
        <w:ind w:left="720" w:hanging="192"/>
        <w:jc w:val="left"/>
        <w:rPr>
          <w:rFonts w:eastAsia="Arial" w:cs="Arial"/>
          <w:sz w:val="20"/>
          <w:szCs w:val="20"/>
        </w:rPr>
      </w:pPr>
      <w:r>
        <w:rPr>
          <w:rFonts w:eastAsia="Arial" w:cs="Arial"/>
          <w:sz w:val="20"/>
          <w:szCs w:val="20"/>
        </w:rPr>
        <w:t xml:space="preserve">Earthquake </w:t>
      </w:r>
    </w:p>
    <w:p>
      <w:pPr>
        <w:numPr>
          <w:ilvl w:val="0"/>
          <w:numId w:val="832"/>
        </w:numPr>
        <w:ind w:left="720" w:hanging="192"/>
        <w:jc w:val="left"/>
        <w:rPr>
          <w:rFonts w:eastAsia="Arial" w:cs="Arial"/>
          <w:sz w:val="20"/>
          <w:szCs w:val="20"/>
        </w:rPr>
      </w:pPr>
      <w:r>
        <w:rPr>
          <w:rFonts w:eastAsia="Arial" w:cs="Arial"/>
          <w:sz w:val="20"/>
          <w:szCs w:val="20"/>
        </w:rPr>
        <w:t xml:space="preserve">Bomb Threat </w:t>
      </w:r>
    </w:p>
    <w:p>
      <w:pPr>
        <w:numPr>
          <w:ilvl w:val="0"/>
          <w:numId w:val="832"/>
        </w:numPr>
        <w:ind w:left="720" w:hanging="192"/>
        <w:jc w:val="left"/>
        <w:rPr>
          <w:rFonts w:eastAsia="Arial" w:cs="Arial"/>
          <w:sz w:val="20"/>
          <w:szCs w:val="20"/>
        </w:rPr>
      </w:pPr>
      <w:r>
        <w:rPr>
          <w:rFonts w:eastAsia="Arial" w:cs="Arial"/>
          <w:sz w:val="20"/>
          <w:szCs w:val="20"/>
        </w:rPr>
        <w:t xml:space="preserve">Hazardous Materials/Biological Event </w:t>
      </w:r>
    </w:p>
    <w:p>
      <w:pPr>
        <w:numPr>
          <w:ilvl w:val="0"/>
          <w:numId w:val="832"/>
        </w:numPr>
        <w:spacing w:after="200"/>
        <w:ind w:left="720" w:hanging="192"/>
        <w:jc w:val="left"/>
        <w:rPr>
          <w:rFonts w:eastAsia="Arial" w:cs="Arial"/>
          <w:sz w:val="20"/>
          <w:szCs w:val="20"/>
        </w:rPr>
      </w:pPr>
      <w:r>
        <w:rPr>
          <w:rFonts w:eastAsia="Arial" w:cs="Arial"/>
          <w:sz w:val="20"/>
          <w:szCs w:val="20"/>
        </w:rPr>
        <w:t>Terrorist Attack</w:t>
      </w:r>
    </w:p>
    <w:p>
      <w:bookmarkEnd w:id="969"/>
      <w:bookmarkStart w:id="970" w:name="Sec_Chp_061016102258531_061016102258859"/>
    </w:p>
    <w:p>
      <w:pPr>
        <w:pStyle w:val="Heading4"/>
      </w:pPr>
      <w:r>
        <w:t xml:space="preserve">12.3.3.3 Disaster Response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the event of a disaster or other event that causes a severe disruption in the operations of KCD, the following steps shall be taken:</w:t>
      </w:r>
    </w:p>
    <w:p>
      <w:pPr>
        <w:pStyle w:val="normal0"/>
        <w:spacing w:before="200" w:after="200"/>
        <w:rPr>
          <w:rFonts w:eastAsia="Arial" w:cs="Arial"/>
          <w:sz w:val="20"/>
          <w:szCs w:val="20"/>
        </w:rPr>
      </w:pPr>
      <w:r>
        <w:rPr>
          <w:rFonts w:eastAsia="Arial" w:cs="Arial"/>
          <w:sz w:val="20"/>
          <w:szCs w:val="20"/>
        </w:rPr>
        <w:t>1. Employees or officers of KCD who become aware of the disaster shall contact the Disaster Recovery Supervisor, and, if the Disaster Recovery Supervisor is unavailable, shall contact a senior officer of KCD.</w:t>
      </w:r>
    </w:p>
    <w:p>
      <w:pPr>
        <w:pStyle w:val="normal0"/>
        <w:spacing w:before="200" w:after="200"/>
        <w:rPr>
          <w:rFonts w:eastAsia="Arial" w:cs="Arial"/>
          <w:sz w:val="20"/>
          <w:szCs w:val="20"/>
        </w:rPr>
      </w:pPr>
      <w:r>
        <w:rPr>
          <w:rFonts w:eastAsia="Arial" w:cs="Arial"/>
          <w:sz w:val="20"/>
          <w:szCs w:val="20"/>
        </w:rPr>
        <w:t>2. The Disaster Recovery Supervisor, or whoever is on call, shall contact the other members of the Disaster Recovery Team and call them together if, in their judgment, it is necessary to implement the Disaster Recovery Plan. A member of the Disaster Recovery Team shall also contact the senior officers of KCD. Teams consisting of calling trees will phone employees so they know of the latest news and what to do. The Disaster Recovery Team shall prioritize which essential employees should report to work or the designated location. Other employees should be instructed to stay home.</w:t>
      </w:r>
    </w:p>
    <w:p>
      <w:pPr>
        <w:pStyle w:val="normal0"/>
        <w:spacing w:before="200" w:after="200"/>
        <w:rPr>
          <w:rFonts w:eastAsia="Arial" w:cs="Arial"/>
          <w:sz w:val="20"/>
          <w:szCs w:val="20"/>
        </w:rPr>
      </w:pPr>
      <w:r>
        <w:rPr>
          <w:rFonts w:eastAsia="Arial" w:cs="Arial"/>
          <w:sz w:val="20"/>
          <w:szCs w:val="20"/>
        </w:rPr>
        <w:t>3. The Disaster Recovery Team shall act as a clearinghouse for response and recovery information. The Disaster Recovery Team shall designate an inbound telephone number, which team members can use to report injuries, update the progress of disaster recovery, and find specific persons.</w:t>
      </w:r>
    </w:p>
    <w:p>
      <w:pPr>
        <w:pStyle w:val="normal0"/>
        <w:spacing w:before="200" w:after="200"/>
        <w:rPr>
          <w:rFonts w:eastAsia="Arial" w:cs="Arial"/>
          <w:sz w:val="20"/>
          <w:szCs w:val="20"/>
        </w:rPr>
      </w:pPr>
      <w:r>
        <w:rPr>
          <w:rFonts w:eastAsia="Arial" w:cs="Arial"/>
          <w:sz w:val="20"/>
          <w:szCs w:val="20"/>
        </w:rPr>
        <w:t xml:space="preserve">4. The Disaster Recovery Team shall gather critical information about the disaster and its impact on the operations of KCD. Such information may include: </w:t>
      </w:r>
    </w:p>
    <w:p>
      <w:pPr>
        <w:numPr>
          <w:ilvl w:val="0"/>
          <w:numId w:val="833"/>
        </w:numPr>
        <w:spacing w:before="200"/>
        <w:ind w:left="720" w:hanging="192"/>
        <w:jc w:val="left"/>
        <w:rPr>
          <w:rFonts w:eastAsia="Arial" w:cs="Arial"/>
          <w:sz w:val="20"/>
          <w:szCs w:val="20"/>
        </w:rPr>
      </w:pPr>
      <w:r>
        <w:rPr>
          <w:rFonts w:eastAsia="Arial" w:cs="Arial"/>
          <w:sz w:val="20"/>
          <w:szCs w:val="20"/>
        </w:rPr>
        <w:t xml:space="preserve">What are the unresolved issues? </w:t>
      </w:r>
    </w:p>
    <w:p>
      <w:pPr>
        <w:numPr>
          <w:ilvl w:val="0"/>
          <w:numId w:val="833"/>
        </w:numPr>
        <w:ind w:left="720" w:hanging="192"/>
        <w:jc w:val="left"/>
        <w:rPr>
          <w:rFonts w:eastAsia="Arial" w:cs="Arial"/>
          <w:sz w:val="20"/>
          <w:szCs w:val="20"/>
        </w:rPr>
      </w:pPr>
      <w:r>
        <w:rPr>
          <w:rFonts w:eastAsia="Arial" w:cs="Arial"/>
          <w:sz w:val="20"/>
          <w:szCs w:val="20"/>
        </w:rPr>
        <w:t xml:space="preserve">What is needed and where is it needed? </w:t>
      </w:r>
    </w:p>
    <w:p>
      <w:pPr>
        <w:numPr>
          <w:ilvl w:val="0"/>
          <w:numId w:val="833"/>
        </w:numPr>
        <w:ind w:left="720" w:hanging="192"/>
        <w:jc w:val="left"/>
        <w:rPr>
          <w:rFonts w:eastAsia="Arial" w:cs="Arial"/>
          <w:sz w:val="20"/>
          <w:szCs w:val="20"/>
        </w:rPr>
      </w:pPr>
      <w:r>
        <w:rPr>
          <w:rFonts w:eastAsia="Arial" w:cs="Arial"/>
          <w:sz w:val="20"/>
          <w:szCs w:val="20"/>
        </w:rPr>
        <w:t xml:space="preserve">What progress has KCD made towards implementing the Disaster Recovery Plan and resuming normal operations? </w:t>
      </w:r>
    </w:p>
    <w:p>
      <w:pPr>
        <w:numPr>
          <w:ilvl w:val="0"/>
          <w:numId w:val="833"/>
        </w:numPr>
        <w:spacing w:after="200"/>
        <w:ind w:left="720" w:hanging="192"/>
        <w:jc w:val="left"/>
        <w:rPr>
          <w:rFonts w:eastAsia="Arial" w:cs="Arial"/>
          <w:sz w:val="20"/>
          <w:szCs w:val="20"/>
        </w:rPr>
      </w:pPr>
      <w:r>
        <w:rPr>
          <w:rFonts w:eastAsia="Arial" w:cs="Arial"/>
          <w:sz w:val="20"/>
          <w:szCs w:val="20"/>
        </w:rPr>
        <w:t xml:space="preserve">Who is working on what and where are they? </w:t>
      </w:r>
    </w:p>
    <w:p>
      <w:pPr>
        <w:pStyle w:val="normal0"/>
        <w:spacing w:before="200" w:after="200"/>
        <w:rPr>
          <w:rFonts w:eastAsia="Arial" w:cs="Arial"/>
          <w:sz w:val="20"/>
          <w:szCs w:val="20"/>
        </w:rPr>
      </w:pPr>
      <w:r>
        <w:rPr>
          <w:rFonts w:eastAsia="Arial" w:cs="Arial"/>
          <w:sz w:val="20"/>
          <w:szCs w:val="20"/>
        </w:rPr>
        <w:t xml:space="preserve">5. The Disaster Recovery Team shall monitor: </w:t>
      </w:r>
    </w:p>
    <w:p>
      <w:pPr>
        <w:numPr>
          <w:ilvl w:val="0"/>
          <w:numId w:val="834"/>
        </w:numPr>
        <w:spacing w:before="200"/>
        <w:ind w:left="720" w:hanging="192"/>
        <w:jc w:val="left"/>
        <w:rPr>
          <w:rFonts w:eastAsia="Arial" w:cs="Arial"/>
          <w:sz w:val="20"/>
          <w:szCs w:val="20"/>
        </w:rPr>
      </w:pPr>
      <w:r>
        <w:rPr>
          <w:rFonts w:eastAsia="Arial" w:cs="Arial"/>
          <w:sz w:val="20"/>
          <w:szCs w:val="20"/>
        </w:rPr>
        <w:t xml:space="preserve">Personnel </w:t>
      </w:r>
    </w:p>
    <w:p>
      <w:pPr>
        <w:numPr>
          <w:ilvl w:val="0"/>
          <w:numId w:val="834"/>
        </w:numPr>
        <w:ind w:left="720" w:hanging="192"/>
        <w:jc w:val="left"/>
        <w:rPr>
          <w:rFonts w:eastAsia="Arial" w:cs="Arial"/>
          <w:sz w:val="20"/>
          <w:szCs w:val="20"/>
        </w:rPr>
      </w:pPr>
      <w:r>
        <w:rPr>
          <w:rFonts w:eastAsia="Arial" w:cs="Arial"/>
          <w:sz w:val="20"/>
          <w:szCs w:val="20"/>
        </w:rPr>
        <w:t xml:space="preserve">Health and safety </w:t>
      </w:r>
    </w:p>
    <w:p>
      <w:pPr>
        <w:numPr>
          <w:ilvl w:val="0"/>
          <w:numId w:val="834"/>
        </w:numPr>
        <w:ind w:left="720" w:hanging="192"/>
        <w:jc w:val="left"/>
        <w:rPr>
          <w:rFonts w:eastAsia="Arial" w:cs="Arial"/>
          <w:sz w:val="20"/>
          <w:szCs w:val="20"/>
        </w:rPr>
      </w:pPr>
      <w:r>
        <w:rPr>
          <w:rFonts w:eastAsia="Arial" w:cs="Arial"/>
          <w:sz w:val="20"/>
          <w:szCs w:val="20"/>
        </w:rPr>
        <w:t xml:space="preserve">Computer operations </w:t>
      </w:r>
    </w:p>
    <w:p>
      <w:pPr>
        <w:numPr>
          <w:ilvl w:val="0"/>
          <w:numId w:val="834"/>
        </w:numPr>
        <w:ind w:left="720" w:hanging="192"/>
        <w:jc w:val="left"/>
        <w:rPr>
          <w:rFonts w:eastAsia="Arial" w:cs="Arial"/>
          <w:sz w:val="20"/>
          <w:szCs w:val="20"/>
        </w:rPr>
      </w:pPr>
      <w:r>
        <w:rPr>
          <w:rFonts w:eastAsia="Arial" w:cs="Arial"/>
          <w:sz w:val="20"/>
          <w:szCs w:val="20"/>
        </w:rPr>
        <w:t xml:space="preserve">Communication </w:t>
      </w:r>
    </w:p>
    <w:p>
      <w:pPr>
        <w:numPr>
          <w:ilvl w:val="0"/>
          <w:numId w:val="834"/>
        </w:numPr>
        <w:ind w:left="720" w:hanging="192"/>
        <w:jc w:val="left"/>
        <w:rPr>
          <w:rFonts w:eastAsia="Arial" w:cs="Arial"/>
          <w:sz w:val="20"/>
          <w:szCs w:val="20"/>
        </w:rPr>
      </w:pPr>
      <w:r>
        <w:rPr>
          <w:rFonts w:eastAsia="Arial" w:cs="Arial"/>
          <w:sz w:val="20"/>
          <w:szCs w:val="20"/>
        </w:rPr>
        <w:t xml:space="preserve">Equipment </w:t>
      </w:r>
    </w:p>
    <w:p>
      <w:pPr>
        <w:numPr>
          <w:ilvl w:val="0"/>
          <w:numId w:val="834"/>
        </w:numPr>
        <w:spacing w:after="200"/>
        <w:ind w:left="720" w:hanging="192"/>
        <w:jc w:val="left"/>
        <w:rPr>
          <w:rFonts w:eastAsia="Arial" w:cs="Arial"/>
          <w:sz w:val="20"/>
          <w:szCs w:val="20"/>
        </w:rPr>
      </w:pPr>
      <w:r>
        <w:rPr>
          <w:rFonts w:eastAsia="Arial" w:cs="Arial"/>
          <w:sz w:val="20"/>
          <w:szCs w:val="20"/>
        </w:rPr>
        <w:t>Disaster situation</w:t>
      </w:r>
    </w:p>
    <w:p>
      <w:pPr>
        <w:pStyle w:val="normal0"/>
        <w:spacing w:before="200" w:after="200"/>
        <w:rPr>
          <w:rFonts w:eastAsia="Arial" w:cs="Arial"/>
          <w:sz w:val="20"/>
          <w:szCs w:val="20"/>
        </w:rPr>
      </w:pPr>
      <w:r>
        <w:rPr>
          <w:rFonts w:eastAsia="Arial" w:cs="Arial"/>
          <w:sz w:val="20"/>
          <w:szCs w:val="20"/>
        </w:rPr>
        <w:t>6. The Disaster Recovery Team shall determine appropriate response strategies, including offering assistance to employees displaced or otherwise adversely impacted by the disaster.</w:t>
      </w:r>
    </w:p>
    <w:p>
      <w:pPr>
        <w:pStyle w:val="normal0"/>
        <w:spacing w:before="200" w:after="200"/>
        <w:rPr>
          <w:rFonts w:eastAsia="Arial" w:cs="Arial"/>
          <w:sz w:val="20"/>
          <w:szCs w:val="20"/>
        </w:rPr>
      </w:pPr>
      <w:r>
        <w:rPr>
          <w:rFonts w:eastAsia="Arial" w:cs="Arial"/>
          <w:sz w:val="20"/>
          <w:szCs w:val="20"/>
        </w:rPr>
        <w:t>7. The Disaster Recovery Team shall request and obtain necessary resources to implement response strategies, which may include:</w:t>
      </w:r>
    </w:p>
    <w:p>
      <w:pPr>
        <w:numPr>
          <w:ilvl w:val="0"/>
          <w:numId w:val="835"/>
        </w:numPr>
        <w:spacing w:before="200"/>
        <w:ind w:left="720" w:hanging="192"/>
        <w:jc w:val="left"/>
        <w:rPr>
          <w:rFonts w:eastAsia="Arial" w:cs="Arial"/>
          <w:sz w:val="20"/>
          <w:szCs w:val="20"/>
        </w:rPr>
      </w:pPr>
      <w:r>
        <w:rPr>
          <w:rFonts w:eastAsia="Arial" w:cs="Arial"/>
          <w:b/>
          <w:bCs/>
          <w:sz w:val="20"/>
          <w:szCs w:val="20"/>
        </w:rPr>
        <w:t>People</w:t>
      </w:r>
      <w:r>
        <w:rPr>
          <w:rFonts w:eastAsia="Arial" w:cs="Arial"/>
          <w:sz w:val="20"/>
          <w:szCs w:val="20"/>
        </w:rPr>
        <w:t xml:space="preserve"> </w:t>
      </w:r>
    </w:p>
    <w:p>
      <w:pPr>
        <w:numPr>
          <w:ilvl w:val="1"/>
          <w:numId w:val="835"/>
        </w:numPr>
        <w:ind w:left="1440" w:hanging="220"/>
        <w:jc w:val="left"/>
        <w:rPr>
          <w:rFonts w:eastAsia="Arial" w:cs="Arial"/>
          <w:sz w:val="20"/>
          <w:szCs w:val="20"/>
        </w:rPr>
      </w:pPr>
      <w:r>
        <w:rPr>
          <w:rFonts w:eastAsia="Arial" w:cs="Arial"/>
          <w:sz w:val="20"/>
          <w:szCs w:val="20"/>
        </w:rPr>
        <w:t xml:space="preserve">Recovery team members </w:t>
      </w:r>
    </w:p>
    <w:p>
      <w:pPr>
        <w:numPr>
          <w:ilvl w:val="1"/>
          <w:numId w:val="835"/>
        </w:numPr>
        <w:ind w:left="1440" w:hanging="220"/>
        <w:jc w:val="left"/>
        <w:rPr>
          <w:rFonts w:eastAsia="Arial" w:cs="Arial"/>
          <w:sz w:val="20"/>
          <w:szCs w:val="20"/>
        </w:rPr>
      </w:pPr>
      <w:r>
        <w:rPr>
          <w:rFonts w:eastAsia="Arial" w:cs="Arial"/>
          <w:sz w:val="20"/>
          <w:szCs w:val="20"/>
        </w:rPr>
        <w:t xml:space="preserve">Security guards </w:t>
      </w:r>
    </w:p>
    <w:p>
      <w:pPr>
        <w:numPr>
          <w:ilvl w:val="1"/>
          <w:numId w:val="835"/>
        </w:numPr>
        <w:ind w:left="1440" w:hanging="220"/>
        <w:jc w:val="left"/>
        <w:rPr>
          <w:rFonts w:eastAsia="Arial" w:cs="Arial"/>
          <w:sz w:val="20"/>
          <w:szCs w:val="20"/>
        </w:rPr>
      </w:pPr>
      <w:r>
        <w:rPr>
          <w:rFonts w:eastAsia="Arial" w:cs="Arial"/>
          <w:sz w:val="20"/>
          <w:szCs w:val="20"/>
        </w:rPr>
        <w:t xml:space="preserve">Cleaning staff </w:t>
      </w:r>
    </w:p>
    <w:p>
      <w:pPr>
        <w:numPr>
          <w:ilvl w:val="1"/>
          <w:numId w:val="835"/>
        </w:numPr>
        <w:ind w:left="1440" w:hanging="220"/>
        <w:jc w:val="left"/>
        <w:rPr>
          <w:rFonts w:eastAsia="Arial" w:cs="Arial"/>
          <w:sz w:val="20"/>
          <w:szCs w:val="20"/>
        </w:rPr>
      </w:pPr>
      <w:r>
        <w:rPr>
          <w:rFonts w:eastAsia="Arial" w:cs="Arial"/>
          <w:sz w:val="20"/>
          <w:szCs w:val="20"/>
        </w:rPr>
        <w:t xml:space="preserve">Drivers </w:t>
      </w:r>
    </w:p>
    <w:p>
      <w:pPr>
        <w:numPr>
          <w:ilvl w:val="1"/>
          <w:numId w:val="835"/>
        </w:numPr>
        <w:ind w:left="1440" w:hanging="220"/>
        <w:jc w:val="left"/>
        <w:rPr>
          <w:rFonts w:eastAsia="Arial" w:cs="Arial"/>
          <w:sz w:val="20"/>
          <w:szCs w:val="20"/>
        </w:rPr>
      </w:pPr>
      <w:r>
        <w:rPr>
          <w:rFonts w:eastAsia="Arial" w:cs="Arial"/>
          <w:sz w:val="20"/>
          <w:szCs w:val="20"/>
        </w:rPr>
        <w:t>Temporary employees</w:t>
      </w:r>
    </w:p>
    <w:p>
      <w:pPr>
        <w:numPr>
          <w:ilvl w:val="0"/>
          <w:numId w:val="835"/>
        </w:numPr>
        <w:ind w:left="720" w:hanging="192"/>
        <w:jc w:val="left"/>
        <w:rPr>
          <w:rFonts w:eastAsia="Arial" w:cs="Arial"/>
          <w:sz w:val="20"/>
          <w:szCs w:val="20"/>
        </w:rPr>
      </w:pPr>
      <w:r>
        <w:rPr>
          <w:rFonts w:eastAsia="Arial" w:cs="Arial"/>
          <w:b/>
          <w:bCs/>
          <w:sz w:val="20"/>
          <w:szCs w:val="20"/>
        </w:rPr>
        <w:t>Supplies</w:t>
      </w:r>
      <w:r>
        <w:rPr>
          <w:rFonts w:eastAsia="Arial" w:cs="Arial"/>
          <w:sz w:val="20"/>
          <w:szCs w:val="20"/>
        </w:rPr>
        <w:t xml:space="preserve"> </w:t>
      </w:r>
    </w:p>
    <w:p>
      <w:pPr>
        <w:numPr>
          <w:ilvl w:val="1"/>
          <w:numId w:val="835"/>
        </w:numPr>
        <w:ind w:left="1440" w:hanging="220"/>
        <w:jc w:val="left"/>
        <w:rPr>
          <w:rFonts w:eastAsia="Arial" w:cs="Arial"/>
          <w:sz w:val="20"/>
          <w:szCs w:val="20"/>
        </w:rPr>
      </w:pPr>
      <w:r>
        <w:rPr>
          <w:rFonts w:eastAsia="Arial" w:cs="Arial"/>
          <w:sz w:val="20"/>
          <w:szCs w:val="20"/>
        </w:rPr>
        <w:t xml:space="preserve">Replacement office supplies </w:t>
      </w:r>
    </w:p>
    <w:p>
      <w:pPr>
        <w:numPr>
          <w:ilvl w:val="1"/>
          <w:numId w:val="835"/>
        </w:numPr>
        <w:ind w:left="1440" w:hanging="220"/>
        <w:jc w:val="left"/>
        <w:rPr>
          <w:rFonts w:eastAsia="Arial" w:cs="Arial"/>
          <w:sz w:val="20"/>
          <w:szCs w:val="20"/>
        </w:rPr>
      </w:pPr>
      <w:r>
        <w:rPr>
          <w:rFonts w:eastAsia="Arial" w:cs="Arial"/>
          <w:sz w:val="20"/>
          <w:szCs w:val="20"/>
        </w:rPr>
        <w:t xml:space="preserve">Recovery supplies </w:t>
      </w:r>
    </w:p>
    <w:p>
      <w:pPr>
        <w:numPr>
          <w:ilvl w:val="1"/>
          <w:numId w:val="835"/>
        </w:numPr>
        <w:ind w:left="1440" w:hanging="220"/>
        <w:jc w:val="left"/>
        <w:rPr>
          <w:rFonts w:eastAsia="Arial" w:cs="Arial"/>
          <w:sz w:val="20"/>
          <w:szCs w:val="20"/>
        </w:rPr>
      </w:pPr>
      <w:r>
        <w:rPr>
          <w:rFonts w:eastAsia="Arial" w:cs="Arial"/>
          <w:sz w:val="20"/>
          <w:szCs w:val="20"/>
        </w:rPr>
        <w:t>Computer printer paper</w:t>
      </w:r>
    </w:p>
    <w:p>
      <w:pPr>
        <w:numPr>
          <w:ilvl w:val="0"/>
          <w:numId w:val="835"/>
        </w:numPr>
        <w:ind w:left="720" w:hanging="192"/>
        <w:jc w:val="left"/>
        <w:rPr>
          <w:rFonts w:eastAsia="Arial" w:cs="Arial"/>
          <w:sz w:val="20"/>
          <w:szCs w:val="20"/>
        </w:rPr>
      </w:pPr>
      <w:r>
        <w:rPr>
          <w:rFonts w:eastAsia="Arial" w:cs="Arial"/>
          <w:b/>
          <w:bCs/>
          <w:sz w:val="20"/>
          <w:szCs w:val="20"/>
        </w:rPr>
        <w:t>Health and safety</w:t>
      </w:r>
      <w:r>
        <w:rPr>
          <w:rFonts w:eastAsia="Arial" w:cs="Arial"/>
          <w:sz w:val="20"/>
          <w:szCs w:val="20"/>
        </w:rPr>
        <w:t xml:space="preserve"> </w:t>
      </w:r>
    </w:p>
    <w:p>
      <w:pPr>
        <w:numPr>
          <w:ilvl w:val="1"/>
          <w:numId w:val="835"/>
        </w:numPr>
        <w:ind w:left="1440" w:hanging="220"/>
        <w:jc w:val="left"/>
        <w:rPr>
          <w:rFonts w:eastAsia="Arial" w:cs="Arial"/>
          <w:sz w:val="20"/>
          <w:szCs w:val="20"/>
        </w:rPr>
      </w:pPr>
      <w:r>
        <w:rPr>
          <w:rFonts w:eastAsia="Arial" w:cs="Arial"/>
          <w:sz w:val="20"/>
          <w:szCs w:val="20"/>
        </w:rPr>
        <w:t xml:space="preserve">Food and water </w:t>
      </w:r>
    </w:p>
    <w:p>
      <w:pPr>
        <w:numPr>
          <w:ilvl w:val="1"/>
          <w:numId w:val="835"/>
        </w:numPr>
        <w:ind w:left="1440" w:hanging="220"/>
        <w:jc w:val="left"/>
        <w:rPr>
          <w:rFonts w:eastAsia="Arial" w:cs="Arial"/>
          <w:sz w:val="20"/>
          <w:szCs w:val="20"/>
        </w:rPr>
      </w:pPr>
      <w:r>
        <w:rPr>
          <w:rFonts w:eastAsia="Arial" w:cs="Arial"/>
          <w:sz w:val="20"/>
          <w:szCs w:val="20"/>
        </w:rPr>
        <w:t xml:space="preserve">Sanitary </w:t>
      </w:r>
    </w:p>
    <w:p>
      <w:pPr>
        <w:numPr>
          <w:ilvl w:val="1"/>
          <w:numId w:val="835"/>
        </w:numPr>
        <w:ind w:left="1440" w:hanging="220"/>
        <w:jc w:val="left"/>
        <w:rPr>
          <w:rFonts w:eastAsia="Arial" w:cs="Arial"/>
          <w:sz w:val="20"/>
          <w:szCs w:val="20"/>
        </w:rPr>
      </w:pPr>
      <w:r>
        <w:rPr>
          <w:rFonts w:eastAsia="Arial" w:cs="Arial"/>
          <w:sz w:val="20"/>
          <w:szCs w:val="20"/>
        </w:rPr>
        <w:t xml:space="preserve">First aid kit </w:t>
      </w:r>
    </w:p>
    <w:p>
      <w:pPr>
        <w:numPr>
          <w:ilvl w:val="0"/>
          <w:numId w:val="835"/>
        </w:numPr>
        <w:ind w:left="720" w:hanging="192"/>
        <w:jc w:val="left"/>
        <w:rPr>
          <w:rFonts w:eastAsia="Arial" w:cs="Arial"/>
          <w:sz w:val="20"/>
          <w:szCs w:val="20"/>
        </w:rPr>
      </w:pPr>
      <w:r>
        <w:rPr>
          <w:rFonts w:eastAsia="Arial" w:cs="Arial"/>
          <w:b/>
          <w:bCs/>
          <w:sz w:val="20"/>
          <w:szCs w:val="20"/>
        </w:rPr>
        <w:t>Equipment</w:t>
      </w:r>
      <w:r>
        <w:rPr>
          <w:rFonts w:eastAsia="Arial" w:cs="Arial"/>
          <w:sz w:val="20"/>
          <w:szCs w:val="20"/>
        </w:rPr>
        <w:t xml:space="preserve"> </w:t>
      </w:r>
    </w:p>
    <w:p>
      <w:pPr>
        <w:numPr>
          <w:ilvl w:val="1"/>
          <w:numId w:val="835"/>
        </w:numPr>
        <w:ind w:left="1440" w:hanging="220"/>
        <w:jc w:val="left"/>
        <w:rPr>
          <w:rFonts w:eastAsia="Arial" w:cs="Arial"/>
          <w:sz w:val="20"/>
          <w:szCs w:val="20"/>
        </w:rPr>
      </w:pPr>
      <w:r>
        <w:rPr>
          <w:rFonts w:eastAsia="Arial" w:cs="Arial"/>
          <w:sz w:val="20"/>
          <w:szCs w:val="20"/>
        </w:rPr>
        <w:t xml:space="preserve">Replacement computer equipment </w:t>
      </w:r>
    </w:p>
    <w:p>
      <w:pPr>
        <w:numPr>
          <w:ilvl w:val="1"/>
          <w:numId w:val="835"/>
        </w:numPr>
        <w:ind w:left="1440" w:hanging="220"/>
        <w:jc w:val="left"/>
        <w:rPr>
          <w:rFonts w:eastAsia="Arial" w:cs="Arial"/>
          <w:sz w:val="20"/>
          <w:szCs w:val="20"/>
        </w:rPr>
      </w:pPr>
      <w:r>
        <w:rPr>
          <w:rFonts w:eastAsia="Arial" w:cs="Arial"/>
          <w:sz w:val="20"/>
          <w:szCs w:val="20"/>
        </w:rPr>
        <w:t>Replacement communications equipment</w:t>
      </w:r>
    </w:p>
    <w:p>
      <w:pPr>
        <w:numPr>
          <w:ilvl w:val="0"/>
          <w:numId w:val="835"/>
        </w:numPr>
        <w:ind w:left="720" w:hanging="192"/>
        <w:jc w:val="left"/>
        <w:rPr>
          <w:rFonts w:eastAsia="Arial" w:cs="Arial"/>
          <w:sz w:val="20"/>
          <w:szCs w:val="20"/>
        </w:rPr>
      </w:pPr>
      <w:r>
        <w:rPr>
          <w:rFonts w:eastAsia="Arial" w:cs="Arial"/>
          <w:b/>
          <w:bCs/>
          <w:sz w:val="20"/>
          <w:szCs w:val="20"/>
        </w:rPr>
        <w:t>Furniture</w:t>
      </w:r>
      <w:r>
        <w:rPr>
          <w:rFonts w:eastAsia="Arial" w:cs="Arial"/>
          <w:sz w:val="20"/>
          <w:szCs w:val="20"/>
        </w:rPr>
        <w:t xml:space="preserve"> </w:t>
      </w:r>
    </w:p>
    <w:p>
      <w:pPr>
        <w:numPr>
          <w:ilvl w:val="1"/>
          <w:numId w:val="835"/>
        </w:numPr>
        <w:ind w:left="1440" w:hanging="220"/>
        <w:jc w:val="left"/>
        <w:rPr>
          <w:rFonts w:eastAsia="Arial" w:cs="Arial"/>
          <w:sz w:val="20"/>
          <w:szCs w:val="20"/>
        </w:rPr>
      </w:pPr>
      <w:r>
        <w:rPr>
          <w:rFonts w:eastAsia="Arial" w:cs="Arial"/>
          <w:sz w:val="20"/>
          <w:szCs w:val="20"/>
        </w:rPr>
        <w:t xml:space="preserve">Desks </w:t>
      </w:r>
    </w:p>
    <w:p>
      <w:pPr>
        <w:numPr>
          <w:ilvl w:val="1"/>
          <w:numId w:val="835"/>
        </w:numPr>
        <w:spacing w:after="200"/>
        <w:ind w:left="1440" w:hanging="220"/>
        <w:jc w:val="left"/>
        <w:rPr>
          <w:rFonts w:eastAsia="Arial" w:cs="Arial"/>
          <w:sz w:val="20"/>
          <w:szCs w:val="20"/>
        </w:rPr>
      </w:pPr>
      <w:r>
        <w:rPr>
          <w:rFonts w:eastAsia="Arial" w:cs="Arial"/>
          <w:sz w:val="20"/>
          <w:szCs w:val="20"/>
        </w:rPr>
        <w:t>Chairs</w:t>
      </w:r>
    </w:p>
    <w:p>
      <w:pPr>
        <w:pStyle w:val="normal0"/>
        <w:spacing w:before="200" w:after="200"/>
        <w:rPr>
          <w:rFonts w:eastAsia="Arial" w:cs="Arial"/>
          <w:sz w:val="20"/>
          <w:szCs w:val="20"/>
        </w:rPr>
      </w:pPr>
      <w:r>
        <w:rPr>
          <w:rFonts w:eastAsia="Arial" w:cs="Arial"/>
          <w:sz w:val="20"/>
          <w:szCs w:val="20"/>
        </w:rPr>
        <w:t xml:space="preserve">8. The Disaster Recovery Team shall activate resources. </w:t>
      </w:r>
    </w:p>
    <w:p>
      <w:pPr>
        <w:pStyle w:val="normal0"/>
        <w:spacing w:before="200" w:after="200"/>
        <w:rPr>
          <w:rFonts w:eastAsia="Arial" w:cs="Arial"/>
          <w:sz w:val="20"/>
          <w:szCs w:val="20"/>
        </w:rPr>
      </w:pPr>
      <w:r>
        <w:rPr>
          <w:rFonts w:eastAsia="Arial" w:cs="Arial"/>
          <w:sz w:val="20"/>
          <w:szCs w:val="20"/>
        </w:rPr>
        <w:t xml:space="preserve">9. The Disaster Recovery Team shall oversee activities related to disaster response and recovery. </w:t>
      </w:r>
    </w:p>
    <w:p>
      <w:pPr>
        <w:pStyle w:val="normal0"/>
        <w:spacing w:before="200" w:after="200"/>
        <w:rPr>
          <w:rFonts w:eastAsia="Arial" w:cs="Arial"/>
          <w:sz w:val="20"/>
          <w:szCs w:val="20"/>
        </w:rPr>
      </w:pPr>
      <w:r>
        <w:rPr>
          <w:rFonts w:eastAsia="Arial" w:cs="Arial"/>
          <w:sz w:val="20"/>
          <w:szCs w:val="20"/>
        </w:rPr>
        <w:t>10. The Disaster Recovery Team shall declare, at the appropriate time, the incident is over and that KCD and its personnel should return to normal business operations.</w:t>
      </w:r>
    </w:p>
    <w:p>
      <w:bookmarkEnd w:id="970"/>
      <w:bookmarkStart w:id="971" w:name="Sec_Chp_061016102258531_061016102258875"/>
    </w:p>
    <w:p>
      <w:pPr>
        <w:pStyle w:val="Heading4"/>
      </w:pPr>
      <w:r>
        <w:t xml:space="preserve">12.3.3.4 Critical Business Functions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identified the following as being critical to its operations and developed the following back-up plans to keep them functioning during an emergency or disruption:</w:t>
      </w:r>
    </w:p>
    <w:p>
      <w:pPr>
        <w:pStyle w:val="normal0"/>
        <w:spacing w:before="200" w:after="200"/>
        <w:rPr>
          <w:rFonts w:eastAsia="Arial" w:cs="Arial"/>
          <w:sz w:val="20"/>
          <w:szCs w:val="20"/>
        </w:rPr>
      </w:pPr>
      <w:r>
        <w:rPr>
          <w:rFonts w:eastAsia="Arial" w:cs="Arial"/>
          <w:sz w:val="20"/>
          <w:szCs w:val="20"/>
        </w:rPr>
        <w:t xml:space="preserve">1. </w:t>
      </w:r>
      <w:r>
        <w:rPr>
          <w:rFonts w:eastAsia="Arial" w:cs="Arial"/>
          <w:sz w:val="20"/>
          <w:szCs w:val="20"/>
          <w:u w:val="single"/>
        </w:rPr>
        <w:t>Building</w:t>
      </w:r>
    </w:p>
    <w:p>
      <w:pPr>
        <w:pStyle w:val="normal0"/>
        <w:spacing w:before="200" w:after="200"/>
        <w:rPr>
          <w:rFonts w:eastAsia="Arial" w:cs="Arial"/>
          <w:sz w:val="20"/>
          <w:szCs w:val="20"/>
        </w:rPr>
      </w:pPr>
      <w:r>
        <w:rPr>
          <w:rFonts w:eastAsia="Arial" w:cs="Arial"/>
          <w:sz w:val="20"/>
          <w:szCs w:val="20"/>
        </w:rPr>
        <w:t xml:space="preserve">If the office housing the primary operations of KCD is unable to function and continue normal business activities, critical business activities will be activated at a back-up location pre-designated by the Disaster Recovery Supervisor and key personnel will relocate to that location. </w:t>
      </w:r>
    </w:p>
    <w:p>
      <w:pPr>
        <w:rPr>
          <w:rFonts w:ascii="Times New Roman" w:eastAsia="Times New Roman" w:hAnsi="Times New Roman" w:cs="Times New Roman"/>
          <w:sz w:val="24"/>
        </w:rPr>
      </w:pPr>
      <w:bookmarkEnd w:id="971"/>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established a "cold site" that will provide workspace for trading, client services and other critical operations if KCD's primary location and back-up location (hot site) are temporarily unavailable.</w:t>
      </w:r>
    </w:p>
    <w:p>
      <w:pPr>
        <w:rPr>
          <w:rFonts w:ascii="Times New Roman" w:eastAsia="Times New Roman" w:hAnsi="Times New Roman" w:cs="Times New Roman"/>
          <w:sz w:val="24"/>
        </w:rPr>
      </w:pPr>
      <w:bookmarkStart w:id="972" w:name="Sec_Chp_061016102258531_0610161022588752"/>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the relocation decision has been made, essential personnel will be gathered. The Disaster Recovery Supervisor will determine the safe route to the Back-Up Location and arrange for transportation. Once at the location, the Disaster Recovery Team will activate the back-up systems and take all other steps that will allow the essential personnel to carry on operations at the new location. </w:t>
      </w:r>
    </w:p>
    <w:p>
      <w:pPr>
        <w:pStyle w:val="normal0"/>
        <w:spacing w:before="200" w:after="200"/>
        <w:rPr>
          <w:rFonts w:eastAsia="Arial" w:cs="Arial"/>
          <w:sz w:val="20"/>
          <w:szCs w:val="20"/>
        </w:rPr>
      </w:pPr>
      <w:r>
        <w:rPr>
          <w:rFonts w:eastAsia="Arial" w:cs="Arial"/>
          <w:sz w:val="20"/>
          <w:szCs w:val="20"/>
        </w:rPr>
        <w:t>KCD will consider maintaining electronic equipment on floors above ground level due to the possibility of flooding.</w:t>
      </w:r>
    </w:p>
    <w:p>
      <w:pPr>
        <w:pStyle w:val="normal0"/>
        <w:spacing w:before="200" w:after="200"/>
        <w:rPr>
          <w:rFonts w:eastAsia="Arial" w:cs="Arial"/>
          <w:sz w:val="20"/>
          <w:szCs w:val="20"/>
        </w:rPr>
      </w:pPr>
      <w:r>
        <w:rPr>
          <w:rFonts w:eastAsia="Arial" w:cs="Arial"/>
          <w:sz w:val="20"/>
          <w:szCs w:val="20"/>
        </w:rPr>
        <w:t xml:space="preserve">2. </w:t>
      </w:r>
      <w:r>
        <w:rPr>
          <w:rFonts w:eastAsia="Arial" w:cs="Arial"/>
          <w:sz w:val="20"/>
          <w:szCs w:val="20"/>
          <w:u w:val="single"/>
        </w:rPr>
        <w:t>Data/Records</w:t>
      </w:r>
    </w:p>
    <w:p>
      <w:pPr>
        <w:pStyle w:val="normal0"/>
        <w:spacing w:before="200" w:after="200"/>
        <w:rPr>
          <w:rFonts w:eastAsia="Arial" w:cs="Arial"/>
          <w:sz w:val="20"/>
          <w:szCs w:val="20"/>
        </w:rPr>
      </w:pPr>
      <w:r>
        <w:rPr>
          <w:rFonts w:eastAsia="Arial" w:cs="Arial"/>
          <w:sz w:val="20"/>
          <w:szCs w:val="20"/>
        </w:rPr>
        <w:t xml:space="preserve">KCD stores data about clients, client transactions, the firm and other operations on servers, hard drives or other storage medium located at its various business location(s). KCD maintains software for portfolio management, word processing and other firm operations. It is essential that this data and software is preserved and accessible. </w:t>
      </w:r>
    </w:p>
    <w:p>
      <w:pPr>
        <w:rPr>
          <w:rFonts w:ascii="Times New Roman" w:eastAsia="Times New Roman" w:hAnsi="Times New Roman" w:cs="Times New Roman"/>
          <w:sz w:val="24"/>
        </w:rPr>
      </w:pPr>
      <w:bookmarkEnd w:id="972"/>
      <w:bookmarkStart w:id="973" w:name="Sec_Chp_061016102258531_0610161022588754"/>
    </w:p>
    <w:p>
      <w:pPr>
        <w:rPr>
          <w:rFonts w:eastAsia="Arial" w:cs="Arial"/>
          <w:sz w:val="16"/>
          <w:szCs w:val="16"/>
        </w:rPr>
      </w:pPr>
    </w:p>
    <w:p>
      <w:pPr>
        <w:pStyle w:val="normal0"/>
        <w:spacing w:after="200"/>
        <w:rPr>
          <w:rFonts w:eastAsia="Arial" w:cs="Arial"/>
          <w:sz w:val="20"/>
          <w:szCs w:val="20"/>
        </w:rPr>
      </w:pPr>
      <w:r>
        <w:rPr>
          <w:rFonts w:eastAsia="Arial" w:cs="Arial"/>
          <w:sz w:val="20"/>
          <w:szCs w:val="20"/>
        </w:rPr>
        <w:t>KCD employs firewalls to ensure data is only accessed by individuals with a need to know and with the correct access privileges. Where deemed necessary, KCD encrypts data.</w:t>
      </w:r>
    </w:p>
    <w:p>
      <w:pPr>
        <w:rPr>
          <w:rFonts w:ascii="Times New Roman" w:eastAsia="Times New Roman" w:hAnsi="Times New Roman" w:cs="Times New Roman"/>
          <w:sz w:val="24"/>
        </w:rPr>
      </w:pPr>
      <w:bookmarkEnd w:id="973"/>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has installed an access control security system that allows only authorized personnel to access data. </w:t>
      </w:r>
    </w:p>
    <w:p>
      <w:pPr>
        <w:rPr>
          <w:rFonts w:ascii="Times New Roman" w:eastAsia="Times New Roman" w:hAnsi="Times New Roman" w:cs="Times New Roman"/>
          <w:sz w:val="24"/>
        </w:rPr>
      </w:pPr>
      <w:bookmarkStart w:id="974" w:name="Sec_Chp_061016102258531_0610161022588755"/>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3. </w:t>
      </w:r>
      <w:r>
        <w:rPr>
          <w:rFonts w:eastAsia="Arial" w:cs="Arial"/>
          <w:sz w:val="20"/>
          <w:szCs w:val="20"/>
          <w:u w:val="single"/>
        </w:rPr>
        <w:t>Client Communication/Customer Service</w:t>
      </w:r>
    </w:p>
    <w:p>
      <w:pPr>
        <w:pStyle w:val="normal0"/>
        <w:spacing w:before="200" w:after="200"/>
        <w:rPr>
          <w:rFonts w:eastAsia="Arial" w:cs="Arial"/>
          <w:sz w:val="20"/>
          <w:szCs w:val="20"/>
        </w:rPr>
      </w:pPr>
      <w:r>
        <w:rPr>
          <w:rFonts w:eastAsia="Arial" w:cs="Arial"/>
          <w:sz w:val="20"/>
          <w:szCs w:val="20"/>
        </w:rPr>
        <w:t xml:space="preserve">KCD communicates to its clients by telephone, electronic mail, regular mail and facsimile. Any and all methods of communications may be unavailable for periods of time. KCD will take the necessary steps to implement an alternative communication system in the event of a disaster. </w:t>
      </w:r>
    </w:p>
    <w:p>
      <w:pPr>
        <w:rPr>
          <w:rFonts w:ascii="Times New Roman" w:eastAsia="Times New Roman" w:hAnsi="Times New Roman" w:cs="Times New Roman"/>
          <w:sz w:val="24"/>
        </w:rPr>
      </w:pPr>
      <w:bookmarkEnd w:id="974"/>
      <w:bookmarkStart w:id="975" w:name="Sec_Chp_061016102258531_0610161022588756"/>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a call forwarding system for its telephone lines. If telephone service is interrupted, calls will be automatically forwarded to another location and KCD staff can travel to that location to receive calls.</w:t>
      </w:r>
    </w:p>
    <w:p>
      <w:pPr>
        <w:rPr>
          <w:rFonts w:ascii="Times New Roman" w:eastAsia="Times New Roman" w:hAnsi="Times New Roman" w:cs="Times New Roman"/>
          <w:sz w:val="24"/>
        </w:rPr>
      </w:pPr>
      <w:bookmarkEnd w:id="975"/>
      <w:bookmarkStart w:id="976" w:name="Sec_Chp_061016102258531_0610161022588757"/>
    </w:p>
    <w:p>
      <w:pPr>
        <w:rPr>
          <w:rFonts w:eastAsia="Arial" w:cs="Arial"/>
          <w:sz w:val="16"/>
          <w:szCs w:val="16"/>
        </w:rPr>
      </w:pPr>
    </w:p>
    <w:p>
      <w:pPr>
        <w:pStyle w:val="normal0"/>
        <w:spacing w:after="200"/>
        <w:rPr>
          <w:rFonts w:eastAsia="Arial" w:cs="Arial"/>
          <w:sz w:val="20"/>
          <w:szCs w:val="20"/>
        </w:rPr>
      </w:pPr>
      <w:r>
        <w:rPr>
          <w:rFonts w:eastAsia="Arial" w:cs="Arial"/>
          <w:sz w:val="20"/>
          <w:szCs w:val="20"/>
        </w:rPr>
        <w:t>KCD has installed or arranged for the availability of redundant data and voice lines. When necessary, KCD will consider contracting with multiple telecommunications carriers to provide a failover to a different carrier to maintain fax, voice mail and landline and VOIP services. KCD will consider using multiple telecommunication providers, secondary phone lines, cloud technology, temporary phone lines, mobile telecom units and Wi-Fi for staff without power, as well as back-up mobile phone services with different carriers.</w:t>
      </w:r>
    </w:p>
    <w:p>
      <w:pPr>
        <w:pStyle w:val="normal0"/>
        <w:spacing w:before="200" w:after="200"/>
        <w:rPr>
          <w:rFonts w:eastAsia="Arial" w:cs="Arial"/>
          <w:sz w:val="20"/>
          <w:szCs w:val="20"/>
        </w:rPr>
      </w:pPr>
      <w:r>
        <w:rPr>
          <w:rFonts w:eastAsia="Arial" w:cs="Arial"/>
          <w:sz w:val="20"/>
          <w:szCs w:val="20"/>
        </w:rPr>
        <w:t>KCD will consider having alternate Internet providers available or obtain guaranteed redundancy from Internet providers.</w:t>
      </w:r>
    </w:p>
    <w:p>
      <w:pPr>
        <w:pStyle w:val="normal0"/>
        <w:spacing w:before="200" w:after="200"/>
        <w:rPr>
          <w:rFonts w:eastAsia="Arial" w:cs="Arial"/>
          <w:sz w:val="20"/>
          <w:szCs w:val="20"/>
        </w:rPr>
      </w:pPr>
      <w:r>
        <w:rPr>
          <w:rFonts w:eastAsia="Arial" w:cs="Arial"/>
          <w:sz w:val="20"/>
          <w:szCs w:val="20"/>
        </w:rPr>
        <w:t xml:space="preserve">When there is an impending disaster or other event reasonably expected to disrupt or potentially disrupt Firm operations, KCD will communicate the status of its operations with the clients, including, for example, by: </w:t>
      </w:r>
    </w:p>
    <w:p>
      <w:pPr>
        <w:numPr>
          <w:ilvl w:val="0"/>
          <w:numId w:val="836"/>
        </w:numPr>
        <w:spacing w:before="200"/>
        <w:ind w:left="720" w:hanging="192"/>
        <w:jc w:val="left"/>
        <w:rPr>
          <w:rFonts w:eastAsia="Arial" w:cs="Arial"/>
          <w:sz w:val="20"/>
          <w:szCs w:val="20"/>
        </w:rPr>
      </w:pPr>
      <w:r>
        <w:rPr>
          <w:rFonts w:eastAsia="Arial" w:cs="Arial"/>
          <w:sz w:val="20"/>
          <w:szCs w:val="20"/>
        </w:rPr>
        <w:t>Maintaining a telephone line that provides a recorded message stating that offices are closed and that provides the clients with instructions for contacting KCD and employees who will be working remotely;</w:t>
      </w:r>
    </w:p>
    <w:p>
      <w:pPr>
        <w:numPr>
          <w:ilvl w:val="0"/>
          <w:numId w:val="836"/>
        </w:numPr>
        <w:ind w:left="720" w:hanging="192"/>
        <w:jc w:val="left"/>
        <w:rPr>
          <w:rFonts w:eastAsia="Arial" w:cs="Arial"/>
          <w:sz w:val="20"/>
          <w:szCs w:val="20"/>
        </w:rPr>
      </w:pPr>
      <w:r>
        <w:rPr>
          <w:rFonts w:eastAsia="Arial" w:cs="Arial"/>
          <w:sz w:val="20"/>
          <w:szCs w:val="20"/>
        </w:rPr>
        <w:t>Maintaining websites providing information regarding KCD's status; and</w:t>
      </w:r>
    </w:p>
    <w:p>
      <w:pPr>
        <w:numPr>
          <w:ilvl w:val="0"/>
          <w:numId w:val="836"/>
        </w:numPr>
        <w:spacing w:after="200"/>
        <w:ind w:left="720" w:hanging="192"/>
        <w:jc w:val="left"/>
        <w:rPr>
          <w:rFonts w:eastAsia="Arial" w:cs="Arial"/>
          <w:sz w:val="20"/>
          <w:szCs w:val="20"/>
        </w:rPr>
      </w:pPr>
      <w:r>
        <w:rPr>
          <w:rFonts w:eastAsia="Arial" w:cs="Arial"/>
          <w:sz w:val="20"/>
          <w:szCs w:val="20"/>
        </w:rPr>
        <w:t>Utilizing third party vendors, if possible, to send e-mails to clients in connection with the impending event.</w:t>
      </w:r>
    </w:p>
    <w:p>
      <w:pPr>
        <w:pStyle w:val="normal0"/>
        <w:spacing w:before="200" w:after="200"/>
        <w:rPr>
          <w:rFonts w:eastAsia="Arial" w:cs="Arial"/>
          <w:sz w:val="20"/>
          <w:szCs w:val="20"/>
        </w:rPr>
      </w:pPr>
      <w:r>
        <w:rPr>
          <w:rFonts w:eastAsia="Arial" w:cs="Arial"/>
          <w:sz w:val="20"/>
          <w:szCs w:val="20"/>
        </w:rPr>
        <w:t>KCD will also consider contacting clients (directly and/or via an e-mail blast) before a major disaster or anticipated major disaster to see if they have any transactions (cash raised, funds transferred, wire instructions executed, etc.) they will need executed if an extended outage occurs.</w:t>
      </w:r>
    </w:p>
    <w:p>
      <w:pPr>
        <w:pStyle w:val="normal0"/>
        <w:spacing w:before="200" w:after="200"/>
        <w:rPr>
          <w:rFonts w:eastAsia="Arial" w:cs="Arial"/>
          <w:sz w:val="20"/>
          <w:szCs w:val="20"/>
        </w:rPr>
      </w:pPr>
      <w:r>
        <w:rPr>
          <w:rFonts w:eastAsia="Arial" w:cs="Arial"/>
          <w:sz w:val="20"/>
          <w:szCs w:val="20"/>
        </w:rPr>
        <w:t xml:space="preserve">4. </w:t>
      </w:r>
      <w:r>
        <w:rPr>
          <w:rFonts w:eastAsia="Arial" w:cs="Arial"/>
          <w:sz w:val="20"/>
          <w:szCs w:val="20"/>
          <w:u w:val="single"/>
        </w:rPr>
        <w:t>Vendors/Transaction Processing</w:t>
      </w:r>
    </w:p>
    <w:p>
      <w:pPr>
        <w:pStyle w:val="normal0"/>
        <w:spacing w:before="200" w:after="200"/>
        <w:rPr>
          <w:rFonts w:eastAsia="Arial" w:cs="Arial"/>
          <w:sz w:val="20"/>
          <w:szCs w:val="20"/>
        </w:rPr>
      </w:pPr>
      <w:r>
        <w:rPr>
          <w:rFonts w:eastAsia="Arial" w:cs="Arial"/>
          <w:sz w:val="20"/>
          <w:szCs w:val="20"/>
        </w:rPr>
        <w:t>KCD has a number of relationships with vendors that supply services that are critical to its business operations. The Disaster Recovery Supervisor shall maintain emergency phone numbers at contacts of all critical vendors. The Disaster Recovery Supervisor shall coordinate with vendors to determine procedures in the event there is a disaster that impacts the delivery of services to KCD. Such contingency planning shall cover a disaster at KCD, the vendor or both.</w:t>
      </w:r>
    </w:p>
    <w:p>
      <w:pPr>
        <w:pStyle w:val="normal0"/>
        <w:spacing w:before="200" w:after="200"/>
        <w:rPr>
          <w:rFonts w:eastAsia="Arial" w:cs="Arial"/>
          <w:sz w:val="20"/>
          <w:szCs w:val="20"/>
        </w:rPr>
      </w:pPr>
      <w:r>
        <w:rPr>
          <w:rFonts w:eastAsia="Arial" w:cs="Arial"/>
          <w:sz w:val="20"/>
          <w:szCs w:val="20"/>
        </w:rPr>
        <w:t>KCD will provide key vendors with updated contact information should alternate telephone lines or other means of communication be used.</w:t>
      </w:r>
    </w:p>
    <w:p>
      <w:pPr>
        <w:pStyle w:val="normal0"/>
        <w:spacing w:before="200" w:after="200"/>
        <w:rPr>
          <w:rFonts w:eastAsia="Arial" w:cs="Arial"/>
          <w:sz w:val="20"/>
          <w:szCs w:val="20"/>
        </w:rPr>
      </w:pPr>
      <w:r>
        <w:rPr>
          <w:rFonts w:eastAsia="Arial" w:cs="Arial"/>
          <w:sz w:val="20"/>
          <w:szCs w:val="20"/>
        </w:rPr>
        <w:t>KCD will periodically review and evaluate the disaster recovery plans of its key vendors and, if available, will request key vendors to provide KCD with copies of any SSAE 16 reports on the vendors' disaster recovery plans. KCD will evaluate how a vendor's contingency plans will affect KCD's ability to operate. KCD will make sure that it can perform key functions normally dependent upon a vendor if such vendor is unable to operate due to a disaster or similar event.</w:t>
      </w:r>
    </w:p>
    <w:p>
      <w:pPr>
        <w:rPr>
          <w:rFonts w:ascii="Times New Roman" w:eastAsia="Times New Roman" w:hAnsi="Times New Roman" w:cs="Times New Roman"/>
          <w:sz w:val="24"/>
        </w:rPr>
      </w:pPr>
      <w:bookmarkEnd w:id="976"/>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5. </w:t>
      </w:r>
      <w:r>
        <w:rPr>
          <w:rFonts w:eastAsia="Arial" w:cs="Arial"/>
          <w:sz w:val="20"/>
          <w:szCs w:val="20"/>
          <w:u w:val="single"/>
        </w:rPr>
        <w:t>Power</w:t>
      </w:r>
    </w:p>
    <w:p>
      <w:pPr>
        <w:pStyle w:val="normal0"/>
        <w:spacing w:before="200" w:after="200"/>
        <w:rPr>
          <w:rFonts w:eastAsia="Arial" w:cs="Arial"/>
          <w:sz w:val="20"/>
          <w:szCs w:val="20"/>
        </w:rPr>
      </w:pPr>
      <w:r>
        <w:rPr>
          <w:rFonts w:eastAsia="Arial" w:cs="Arial"/>
          <w:sz w:val="20"/>
          <w:szCs w:val="20"/>
        </w:rPr>
        <w:t>KCD uses electricity to run its computer systems, trading systems and lighting and in other ways that are essential to its operation. Periodically, there may be power interruptions to the building where it is located. If possible, KCD will locate one or more offices on a power grid that is separate from the power grid where the main office is located.</w:t>
      </w:r>
    </w:p>
    <w:p>
      <w:pPr>
        <w:pStyle w:val="normal0"/>
        <w:spacing w:before="200" w:after="200"/>
        <w:rPr>
          <w:rFonts w:eastAsia="Arial" w:cs="Arial"/>
          <w:sz w:val="20"/>
          <w:szCs w:val="20"/>
        </w:rPr>
      </w:pPr>
      <w:r>
        <w:rPr>
          <w:rFonts w:eastAsia="Arial" w:cs="Arial"/>
          <w:sz w:val="20"/>
          <w:szCs w:val="20"/>
        </w:rPr>
        <w:t>In the event of loss or anticipation of loss of commercial power, KCD's uninterrupted power system (UPS) automatically activates. This backup power supply eliminates an abrupt power loss and allows time for the systems to be safely shut down and prevent the loss of data.</w:t>
      </w:r>
    </w:p>
    <w:p>
      <w:pPr>
        <w:rPr>
          <w:rFonts w:ascii="Times New Roman" w:eastAsia="Times New Roman" w:hAnsi="Times New Roman" w:cs="Times New Roman"/>
          <w:sz w:val="24"/>
        </w:rPr>
      </w:pPr>
      <w:bookmarkStart w:id="977" w:name="Sec_Chp_061016102258531_0610161022588758"/>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6. </w:t>
      </w:r>
      <w:r>
        <w:rPr>
          <w:rFonts w:eastAsia="Arial" w:cs="Arial"/>
          <w:sz w:val="20"/>
          <w:szCs w:val="20"/>
          <w:u w:val="single"/>
        </w:rPr>
        <w:t>Personnel</w:t>
      </w:r>
    </w:p>
    <w:p>
      <w:pPr>
        <w:pStyle w:val="normal0"/>
        <w:spacing w:before="200" w:after="200"/>
        <w:rPr>
          <w:rFonts w:eastAsia="Arial" w:cs="Arial"/>
          <w:sz w:val="20"/>
          <w:szCs w:val="20"/>
        </w:rPr>
      </w:pPr>
      <w:r>
        <w:rPr>
          <w:rFonts w:eastAsia="Arial" w:cs="Arial"/>
          <w:sz w:val="20"/>
          <w:szCs w:val="20"/>
        </w:rPr>
        <w:t>KCD recognizes that a certain percentage of its work force must be physically able to be present at its office(s) in order for KCD to provide its advisory and other services. Periodically, KCD shall assess the impact on its operations if only certain percentages (</w:t>
      </w:r>
      <w:r>
        <w:rPr>
          <w:rFonts w:eastAsia="Arial" w:cs="Arial"/>
          <w:i/>
          <w:iCs/>
          <w:sz w:val="20"/>
          <w:szCs w:val="20"/>
        </w:rPr>
        <w:t>e.g.,</w:t>
      </w:r>
      <w:r>
        <w:rPr>
          <w:rFonts w:eastAsia="Arial" w:cs="Arial"/>
          <w:sz w:val="20"/>
          <w:szCs w:val="20"/>
        </w:rPr>
        <w:t xml:space="preserve"> 30%, 40%, 50% . . .) of its workforce could report to its home office, hot site or cold site because of an epidemic, pandemic or other event. In such event, KCD shall have systems in place that allow KCD to operate on a basic level with key employees working at home or at other non-Firm locations. This may necessitate employees having at their house - equipment, data lines and other systems that allow them to perform the same core functions they perform at KCD's office at their home.</w:t>
      </w:r>
    </w:p>
    <w:p>
      <w:pPr>
        <w:rPr>
          <w:rFonts w:ascii="Times New Roman" w:eastAsia="Times New Roman" w:hAnsi="Times New Roman" w:cs="Times New Roman"/>
          <w:sz w:val="24"/>
        </w:rPr>
      </w:pPr>
      <w:bookmarkEnd w:id="977"/>
      <w:bookmarkStart w:id="978" w:name="Sec_Chp_061016102258531_061016102212334j"/>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7. </w:t>
      </w:r>
      <w:r>
        <w:rPr>
          <w:rFonts w:eastAsia="Arial" w:cs="Arial"/>
          <w:sz w:val="20"/>
          <w:szCs w:val="20"/>
          <w:u w:val="single"/>
        </w:rPr>
        <w:t>Testing</w:t>
      </w:r>
    </w:p>
    <w:p>
      <w:pPr>
        <w:pStyle w:val="normal0"/>
        <w:spacing w:before="200" w:after="200"/>
        <w:rPr>
          <w:rFonts w:eastAsia="Arial" w:cs="Arial"/>
          <w:sz w:val="20"/>
          <w:szCs w:val="20"/>
        </w:rPr>
      </w:pPr>
      <w:r>
        <w:rPr>
          <w:rFonts w:eastAsia="Arial" w:cs="Arial"/>
          <w:sz w:val="20"/>
          <w:szCs w:val="20"/>
        </w:rPr>
        <w:t>KCD will periodically test the operability of all critical systems under the business continuity plan using various scenarios.</w:t>
      </w:r>
    </w:p>
    <w:p>
      <w:bookmarkEnd w:id="978"/>
    </w:p>
    <w:p>
      <w:pPr>
        <w:pStyle w:val="Heading4"/>
      </w:pPr>
      <w:r>
        <w:t>12.3.3.5 Technology Governance</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KCD implementing or incorporating new technology such as new software and hardware into its systems or that enhances existing technology, KCD will:</w:t>
      </w:r>
    </w:p>
    <w:p>
      <w:pPr>
        <w:numPr>
          <w:ilvl w:val="0"/>
          <w:numId w:val="837"/>
        </w:numPr>
        <w:spacing w:before="200"/>
        <w:ind w:left="720" w:hanging="192"/>
        <w:jc w:val="left"/>
        <w:rPr>
          <w:rFonts w:eastAsia="Arial" w:cs="Arial"/>
          <w:sz w:val="20"/>
          <w:szCs w:val="20"/>
        </w:rPr>
      </w:pPr>
      <w:r>
        <w:rPr>
          <w:rFonts w:eastAsia="Arial" w:cs="Arial"/>
          <w:sz w:val="20"/>
          <w:szCs w:val="20"/>
        </w:rPr>
        <w:t>Examine how the new technology will be implemented;</w:t>
      </w:r>
    </w:p>
    <w:p>
      <w:pPr>
        <w:numPr>
          <w:ilvl w:val="0"/>
          <w:numId w:val="837"/>
        </w:numPr>
        <w:ind w:left="720" w:hanging="192"/>
        <w:jc w:val="left"/>
        <w:rPr>
          <w:rFonts w:eastAsia="Arial" w:cs="Arial"/>
          <w:sz w:val="20"/>
          <w:szCs w:val="20"/>
        </w:rPr>
      </w:pPr>
      <w:r>
        <w:rPr>
          <w:rFonts w:eastAsia="Arial" w:cs="Arial"/>
          <w:sz w:val="20"/>
          <w:szCs w:val="20"/>
        </w:rPr>
        <w:t>Coordinate with all relevant third-party vendors (if any) regarding the implementation;</w:t>
      </w:r>
    </w:p>
    <w:p>
      <w:pPr>
        <w:numPr>
          <w:ilvl w:val="0"/>
          <w:numId w:val="837"/>
        </w:numPr>
        <w:ind w:left="720" w:hanging="192"/>
        <w:jc w:val="left"/>
        <w:rPr>
          <w:rFonts w:eastAsia="Arial" w:cs="Arial"/>
          <w:sz w:val="20"/>
          <w:szCs w:val="20"/>
        </w:rPr>
      </w:pPr>
      <w:r>
        <w:rPr>
          <w:rFonts w:eastAsia="Arial" w:cs="Arial"/>
          <w:sz w:val="20"/>
          <w:szCs w:val="20"/>
        </w:rPr>
        <w:t>Ascertain what investment management functions may be potentially disrupted by the implementation; and</w:t>
      </w:r>
    </w:p>
    <w:p>
      <w:pPr>
        <w:numPr>
          <w:ilvl w:val="0"/>
          <w:numId w:val="837"/>
        </w:numPr>
        <w:spacing w:after="200"/>
        <w:ind w:left="720" w:hanging="192"/>
        <w:jc w:val="left"/>
        <w:rPr>
          <w:rFonts w:eastAsia="Arial" w:cs="Arial"/>
          <w:sz w:val="20"/>
          <w:szCs w:val="20"/>
        </w:rPr>
      </w:pPr>
      <w:r>
        <w:rPr>
          <w:rFonts w:eastAsia="Arial" w:cs="Arial"/>
          <w:sz w:val="20"/>
          <w:szCs w:val="20"/>
        </w:rPr>
        <w:t>Where necessary, devise back-up operations for all critical investment management and other functions in the event such functions might be compromised for a period of time during the implementation.</w:t>
      </w:r>
    </w:p>
    <w:p>
      <w:bookmarkStart w:id="979" w:name="Sec_Chp_061016102258531_061016102258890"/>
    </w:p>
    <w:p>
      <w:pPr>
        <w:pStyle w:val="Heading4"/>
      </w:pPr>
      <w:r>
        <w:t>12.3.3.6 Training</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Periodically, the Disaster Recovery Supervisor will conduct disaster recovery training drills. The Disaster Recovery Supervisor shall inform each new employee about this Disaster Recovery Plan.</w:t>
      </w:r>
    </w:p>
    <w:p>
      <w:bookmarkEnd w:id="979"/>
      <w:bookmarkStart w:id="980" w:name="Sec_Chp_061016102258531_0610161022588901"/>
    </w:p>
    <w:p>
      <w:pPr>
        <w:pStyle w:val="Heading4"/>
      </w:pPr>
      <w:r>
        <w:t>12.3.3.7 Communication</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have in place a system governing communication among key employees during a disaster. This system shall:</w:t>
      </w:r>
    </w:p>
    <w:p>
      <w:pPr>
        <w:numPr>
          <w:ilvl w:val="0"/>
          <w:numId w:val="838"/>
        </w:numPr>
        <w:spacing w:before="200"/>
        <w:ind w:left="720" w:hanging="192"/>
        <w:jc w:val="left"/>
        <w:rPr>
          <w:rFonts w:eastAsia="Arial" w:cs="Arial"/>
          <w:sz w:val="20"/>
          <w:szCs w:val="20"/>
        </w:rPr>
      </w:pPr>
      <w:r>
        <w:rPr>
          <w:rFonts w:eastAsia="Arial" w:cs="Arial"/>
          <w:sz w:val="20"/>
          <w:szCs w:val="20"/>
        </w:rPr>
        <w:t>Provide an alert to key employees immediately upon any employee learning of a disaster;</w:t>
      </w:r>
    </w:p>
    <w:p>
      <w:pPr>
        <w:numPr>
          <w:ilvl w:val="0"/>
          <w:numId w:val="838"/>
        </w:numPr>
        <w:ind w:left="720" w:hanging="192"/>
        <w:jc w:val="left"/>
        <w:rPr>
          <w:rFonts w:eastAsia="Arial" w:cs="Arial"/>
          <w:sz w:val="20"/>
          <w:szCs w:val="20"/>
        </w:rPr>
      </w:pPr>
      <w:r>
        <w:rPr>
          <w:rFonts w:eastAsia="Arial" w:cs="Arial"/>
          <w:sz w:val="20"/>
          <w:szCs w:val="20"/>
        </w:rPr>
        <w:t>Provide periodic messages to key employees updating them on the status of the disaster and workings of the disaster recovery plan;</w:t>
      </w:r>
    </w:p>
    <w:p>
      <w:pPr>
        <w:numPr>
          <w:ilvl w:val="0"/>
          <w:numId w:val="838"/>
        </w:numPr>
        <w:ind w:left="720" w:hanging="192"/>
        <w:jc w:val="left"/>
        <w:rPr>
          <w:rFonts w:eastAsia="Arial" w:cs="Arial"/>
          <w:sz w:val="20"/>
          <w:szCs w:val="20"/>
        </w:rPr>
      </w:pPr>
      <w:r>
        <w:rPr>
          <w:rFonts w:eastAsia="Arial" w:cs="Arial"/>
          <w:sz w:val="20"/>
          <w:szCs w:val="20"/>
        </w:rPr>
        <w:t>Maintain up-to-date non-office phone numbers of each employee;</w:t>
      </w:r>
    </w:p>
    <w:p>
      <w:pPr>
        <w:numPr>
          <w:ilvl w:val="0"/>
          <w:numId w:val="838"/>
        </w:numPr>
        <w:ind w:left="720" w:hanging="192"/>
        <w:jc w:val="left"/>
        <w:rPr>
          <w:rFonts w:eastAsia="Arial" w:cs="Arial"/>
          <w:sz w:val="20"/>
          <w:szCs w:val="20"/>
        </w:rPr>
      </w:pPr>
      <w:r>
        <w:rPr>
          <w:rFonts w:eastAsia="Arial" w:cs="Arial"/>
          <w:sz w:val="20"/>
          <w:szCs w:val="20"/>
        </w:rPr>
        <w:t>Have redundant communication capabilities including the use of web site postings, text messages, outgoing telephone and cell phone calls, toll-free numbers to a prepared message, and e-mail blasts;</w:t>
      </w:r>
    </w:p>
    <w:p>
      <w:pPr>
        <w:numPr>
          <w:ilvl w:val="0"/>
          <w:numId w:val="838"/>
        </w:numPr>
        <w:ind w:left="720" w:hanging="192"/>
        <w:jc w:val="left"/>
        <w:rPr>
          <w:rFonts w:eastAsia="Arial" w:cs="Arial"/>
          <w:sz w:val="20"/>
          <w:szCs w:val="20"/>
        </w:rPr>
      </w:pPr>
      <w:r>
        <w:rPr>
          <w:rFonts w:eastAsia="Arial" w:cs="Arial"/>
          <w:sz w:val="20"/>
          <w:szCs w:val="20"/>
        </w:rPr>
        <w:t>Include key employees of KCD as well as key employees of third-party service providers in the alert system; and</w:t>
      </w:r>
    </w:p>
    <w:p>
      <w:pPr>
        <w:numPr>
          <w:ilvl w:val="0"/>
          <w:numId w:val="838"/>
        </w:numPr>
        <w:spacing w:after="200"/>
        <w:ind w:left="720" w:hanging="192"/>
        <w:jc w:val="left"/>
        <w:rPr>
          <w:rFonts w:eastAsia="Arial" w:cs="Arial"/>
          <w:sz w:val="20"/>
          <w:szCs w:val="20"/>
        </w:rPr>
      </w:pPr>
      <w:r>
        <w:rPr>
          <w:rFonts w:eastAsia="Arial" w:cs="Arial"/>
          <w:sz w:val="20"/>
          <w:szCs w:val="20"/>
        </w:rPr>
        <w:t>Maintain cold and hot sites equipped with communication devices, including sites located outside the geographic area of the home office of KCD.</w:t>
      </w:r>
    </w:p>
    <w:p>
      <w:pPr>
        <w:pStyle w:val="normal0"/>
        <w:spacing w:before="200" w:after="200"/>
        <w:rPr>
          <w:rFonts w:eastAsia="Arial" w:cs="Arial"/>
          <w:sz w:val="20"/>
          <w:szCs w:val="20"/>
        </w:rPr>
      </w:pPr>
      <w:r>
        <w:rPr>
          <w:rFonts w:eastAsia="Arial" w:cs="Arial"/>
          <w:sz w:val="20"/>
          <w:szCs w:val="20"/>
        </w:rPr>
        <w:t>In the event of a disaster, each key employee shall follow a pre-established check-in procedure in an attempt to establish communication and report the form of communication he or she is using.</w:t>
      </w:r>
    </w:p>
    <w:p>
      <w:bookmarkEnd w:id="980"/>
      <w:bookmarkStart w:id="981" w:name="Sec_Chp_061016102258531_0610161022589001"/>
    </w:p>
    <w:p>
      <w:pPr>
        <w:pStyle w:val="Heading3"/>
      </w:pPr>
      <w:bookmarkStart w:id="982" w:name="_Toc256000244"/>
      <w:r>
        <w:t>12.3.4 Service Providers</w:t>
      </w:r>
      <w:bookmarkEnd w:id="982"/>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 list of all of its key service providers (vendors) that contains the following information about each service provider:</w:t>
      </w:r>
    </w:p>
    <w:p>
      <w:pPr>
        <w:numPr>
          <w:ilvl w:val="0"/>
          <w:numId w:val="839"/>
        </w:numPr>
        <w:spacing w:before="200"/>
        <w:ind w:left="720" w:hanging="192"/>
        <w:jc w:val="left"/>
        <w:rPr>
          <w:rFonts w:eastAsia="Arial" w:cs="Arial"/>
          <w:sz w:val="20"/>
          <w:szCs w:val="20"/>
        </w:rPr>
      </w:pPr>
      <w:r>
        <w:rPr>
          <w:rFonts w:eastAsia="Arial" w:cs="Arial"/>
          <w:sz w:val="20"/>
          <w:szCs w:val="20"/>
        </w:rPr>
        <w:t>Name;</w:t>
      </w:r>
    </w:p>
    <w:p>
      <w:pPr>
        <w:numPr>
          <w:ilvl w:val="0"/>
          <w:numId w:val="839"/>
        </w:numPr>
        <w:ind w:left="720" w:hanging="192"/>
        <w:jc w:val="left"/>
        <w:rPr>
          <w:rFonts w:eastAsia="Arial" w:cs="Arial"/>
          <w:sz w:val="20"/>
          <w:szCs w:val="20"/>
        </w:rPr>
      </w:pPr>
      <w:r>
        <w:rPr>
          <w:rFonts w:eastAsia="Arial" w:cs="Arial"/>
          <w:sz w:val="20"/>
          <w:szCs w:val="20"/>
        </w:rPr>
        <w:t>Description of services performed;</w:t>
      </w:r>
    </w:p>
    <w:p>
      <w:pPr>
        <w:numPr>
          <w:ilvl w:val="0"/>
          <w:numId w:val="839"/>
        </w:numPr>
        <w:ind w:left="720" w:hanging="192"/>
        <w:jc w:val="left"/>
        <w:rPr>
          <w:rFonts w:eastAsia="Arial" w:cs="Arial"/>
          <w:sz w:val="20"/>
          <w:szCs w:val="20"/>
        </w:rPr>
      </w:pPr>
      <w:r>
        <w:rPr>
          <w:rFonts w:eastAsia="Arial" w:cs="Arial"/>
          <w:sz w:val="20"/>
          <w:szCs w:val="20"/>
        </w:rPr>
        <w:t>Description, if any, of the due diligence performed prior to retaining the service provider;</w:t>
      </w:r>
    </w:p>
    <w:p>
      <w:pPr>
        <w:numPr>
          <w:ilvl w:val="0"/>
          <w:numId w:val="839"/>
        </w:numPr>
        <w:ind w:left="720" w:hanging="192"/>
        <w:jc w:val="left"/>
        <w:rPr>
          <w:rFonts w:eastAsia="Arial" w:cs="Arial"/>
          <w:sz w:val="20"/>
          <w:szCs w:val="20"/>
        </w:rPr>
      </w:pPr>
      <w:r>
        <w:rPr>
          <w:rFonts w:eastAsia="Arial" w:cs="Arial"/>
          <w:sz w:val="20"/>
          <w:szCs w:val="20"/>
        </w:rPr>
        <w:t>Date of most recent review and evaluation of quality of services provided by the service provider; and</w:t>
      </w:r>
    </w:p>
    <w:p>
      <w:pPr>
        <w:numPr>
          <w:ilvl w:val="0"/>
          <w:numId w:val="839"/>
        </w:numPr>
        <w:spacing w:after="200"/>
        <w:ind w:left="720" w:hanging="192"/>
        <w:jc w:val="left"/>
        <w:rPr>
          <w:rFonts w:eastAsia="Arial" w:cs="Arial"/>
          <w:sz w:val="20"/>
          <w:szCs w:val="20"/>
        </w:rPr>
      </w:pPr>
      <w:r>
        <w:rPr>
          <w:rFonts w:eastAsia="Arial" w:cs="Arial"/>
          <w:sz w:val="20"/>
          <w:szCs w:val="20"/>
        </w:rPr>
        <w:t>Whether they are affiliated or unaffiliated with KCD.</w:t>
      </w:r>
    </w:p>
    <w:p>
      <w:pPr>
        <w:pStyle w:val="normal0"/>
        <w:spacing w:before="200" w:after="200"/>
        <w:rPr>
          <w:rFonts w:eastAsia="Arial" w:cs="Arial"/>
          <w:sz w:val="20"/>
          <w:szCs w:val="20"/>
        </w:rPr>
      </w:pPr>
      <w:r>
        <w:rPr>
          <w:rFonts w:eastAsia="Arial" w:cs="Arial"/>
          <w:sz w:val="20"/>
          <w:szCs w:val="20"/>
        </w:rPr>
        <w:t>Areas to review for potential key service providers that will be subject to these procedures are:</w:t>
      </w:r>
    </w:p>
    <w:p>
      <w:pPr>
        <w:numPr>
          <w:ilvl w:val="0"/>
          <w:numId w:val="840"/>
        </w:numPr>
        <w:spacing w:before="200"/>
        <w:ind w:left="720" w:hanging="192"/>
        <w:jc w:val="left"/>
        <w:rPr>
          <w:rFonts w:eastAsia="Arial" w:cs="Arial"/>
          <w:sz w:val="20"/>
          <w:szCs w:val="20"/>
        </w:rPr>
      </w:pPr>
      <w:r>
        <w:rPr>
          <w:rFonts w:eastAsia="Arial" w:cs="Arial"/>
          <w:sz w:val="20"/>
          <w:szCs w:val="20"/>
        </w:rPr>
        <w:t>Business continuity</w:t>
      </w:r>
    </w:p>
    <w:p>
      <w:pPr>
        <w:numPr>
          <w:ilvl w:val="0"/>
          <w:numId w:val="840"/>
        </w:numPr>
        <w:ind w:left="720" w:hanging="192"/>
        <w:jc w:val="left"/>
        <w:rPr>
          <w:rFonts w:eastAsia="Arial" w:cs="Arial"/>
          <w:sz w:val="20"/>
          <w:szCs w:val="20"/>
        </w:rPr>
      </w:pPr>
      <w:r>
        <w:rPr>
          <w:rFonts w:eastAsia="Arial" w:cs="Arial"/>
          <w:sz w:val="20"/>
          <w:szCs w:val="20"/>
        </w:rPr>
        <w:t>Communication</w:t>
      </w:r>
    </w:p>
    <w:p>
      <w:pPr>
        <w:numPr>
          <w:ilvl w:val="0"/>
          <w:numId w:val="840"/>
        </w:numPr>
        <w:ind w:left="720" w:hanging="192"/>
        <w:jc w:val="left"/>
        <w:rPr>
          <w:rFonts w:eastAsia="Arial" w:cs="Arial"/>
          <w:sz w:val="20"/>
          <w:szCs w:val="20"/>
        </w:rPr>
      </w:pPr>
      <w:r>
        <w:rPr>
          <w:rFonts w:eastAsia="Arial" w:cs="Arial"/>
          <w:sz w:val="20"/>
          <w:szCs w:val="20"/>
        </w:rPr>
        <w:t>Cybersecurity</w:t>
      </w:r>
    </w:p>
    <w:p>
      <w:pPr>
        <w:numPr>
          <w:ilvl w:val="0"/>
          <w:numId w:val="840"/>
        </w:numPr>
        <w:ind w:left="720" w:hanging="192"/>
        <w:jc w:val="left"/>
        <w:rPr>
          <w:rFonts w:eastAsia="Arial" w:cs="Arial"/>
          <w:sz w:val="20"/>
          <w:szCs w:val="20"/>
        </w:rPr>
      </w:pPr>
      <w:r>
        <w:rPr>
          <w:rFonts w:eastAsia="Arial" w:cs="Arial"/>
          <w:sz w:val="20"/>
          <w:szCs w:val="20"/>
        </w:rPr>
        <w:t>Data storage including cloud</w:t>
      </w:r>
    </w:p>
    <w:p>
      <w:pPr>
        <w:numPr>
          <w:ilvl w:val="0"/>
          <w:numId w:val="840"/>
        </w:numPr>
        <w:ind w:left="720" w:hanging="192"/>
        <w:jc w:val="left"/>
        <w:rPr>
          <w:rFonts w:eastAsia="Arial" w:cs="Arial"/>
          <w:sz w:val="20"/>
          <w:szCs w:val="20"/>
        </w:rPr>
      </w:pPr>
      <w:r>
        <w:rPr>
          <w:rFonts w:eastAsia="Arial" w:cs="Arial"/>
          <w:sz w:val="20"/>
          <w:szCs w:val="20"/>
        </w:rPr>
        <w:t>Index licensors</w:t>
      </w:r>
    </w:p>
    <w:p>
      <w:pPr>
        <w:numPr>
          <w:ilvl w:val="0"/>
          <w:numId w:val="840"/>
        </w:numPr>
        <w:ind w:left="720" w:hanging="192"/>
        <w:jc w:val="left"/>
        <w:rPr>
          <w:rFonts w:eastAsia="Arial" w:cs="Arial"/>
          <w:sz w:val="20"/>
          <w:szCs w:val="20"/>
        </w:rPr>
      </w:pPr>
      <w:r>
        <w:rPr>
          <w:rFonts w:eastAsia="Arial" w:cs="Arial"/>
          <w:sz w:val="20"/>
          <w:szCs w:val="20"/>
        </w:rPr>
        <w:t>Investment research</w:t>
      </w:r>
    </w:p>
    <w:p>
      <w:pPr>
        <w:numPr>
          <w:ilvl w:val="0"/>
          <w:numId w:val="840"/>
        </w:numPr>
        <w:ind w:left="720" w:hanging="192"/>
        <w:jc w:val="left"/>
        <w:rPr>
          <w:rFonts w:eastAsia="Arial" w:cs="Arial"/>
          <w:sz w:val="20"/>
          <w:szCs w:val="20"/>
        </w:rPr>
      </w:pPr>
      <w:r>
        <w:rPr>
          <w:rFonts w:eastAsia="Arial" w:cs="Arial"/>
          <w:sz w:val="20"/>
          <w:szCs w:val="20"/>
        </w:rPr>
        <w:t>Personal securities trading software</w:t>
      </w:r>
    </w:p>
    <w:p>
      <w:pPr>
        <w:numPr>
          <w:ilvl w:val="0"/>
          <w:numId w:val="840"/>
        </w:numPr>
        <w:ind w:left="720" w:hanging="192"/>
        <w:jc w:val="left"/>
        <w:rPr>
          <w:rFonts w:eastAsia="Arial" w:cs="Arial"/>
          <w:sz w:val="20"/>
          <w:szCs w:val="20"/>
        </w:rPr>
      </w:pPr>
      <w:r>
        <w:rPr>
          <w:rFonts w:eastAsia="Arial" w:cs="Arial"/>
          <w:sz w:val="20"/>
          <w:szCs w:val="20"/>
        </w:rPr>
        <w:t>Portfolio accounting</w:t>
      </w:r>
    </w:p>
    <w:p>
      <w:pPr>
        <w:numPr>
          <w:ilvl w:val="0"/>
          <w:numId w:val="840"/>
        </w:numPr>
        <w:ind w:left="720" w:hanging="192"/>
        <w:jc w:val="left"/>
        <w:rPr>
          <w:rFonts w:eastAsia="Arial" w:cs="Arial"/>
          <w:sz w:val="20"/>
          <w:szCs w:val="20"/>
        </w:rPr>
      </w:pPr>
      <w:r>
        <w:rPr>
          <w:rFonts w:eastAsia="Arial" w:cs="Arial"/>
          <w:sz w:val="20"/>
          <w:szCs w:val="20"/>
        </w:rPr>
        <w:t>Pricing services</w:t>
      </w:r>
    </w:p>
    <w:p>
      <w:pPr>
        <w:numPr>
          <w:ilvl w:val="0"/>
          <w:numId w:val="840"/>
        </w:numPr>
        <w:ind w:left="720" w:hanging="192"/>
        <w:jc w:val="left"/>
        <w:rPr>
          <w:rFonts w:eastAsia="Arial" w:cs="Arial"/>
          <w:sz w:val="20"/>
          <w:szCs w:val="20"/>
        </w:rPr>
      </w:pPr>
      <w:r>
        <w:rPr>
          <w:rFonts w:eastAsia="Arial" w:cs="Arial"/>
          <w:sz w:val="20"/>
          <w:szCs w:val="20"/>
        </w:rPr>
        <w:t>Sub-advisers</w:t>
      </w:r>
    </w:p>
    <w:p>
      <w:pPr>
        <w:numPr>
          <w:ilvl w:val="0"/>
          <w:numId w:val="840"/>
        </w:numPr>
        <w:ind w:left="720" w:hanging="192"/>
        <w:jc w:val="left"/>
        <w:rPr>
          <w:rFonts w:eastAsia="Arial" w:cs="Arial"/>
          <w:sz w:val="20"/>
          <w:szCs w:val="20"/>
        </w:rPr>
      </w:pPr>
      <w:r>
        <w:rPr>
          <w:rFonts w:eastAsia="Arial" w:cs="Arial"/>
          <w:sz w:val="20"/>
          <w:szCs w:val="20"/>
        </w:rPr>
        <w:t>Trading systems</w:t>
      </w:r>
    </w:p>
    <w:p>
      <w:pPr>
        <w:numPr>
          <w:ilvl w:val="0"/>
          <w:numId w:val="840"/>
        </w:numPr>
        <w:ind w:left="720" w:hanging="192"/>
        <w:jc w:val="left"/>
        <w:rPr>
          <w:rFonts w:eastAsia="Arial" w:cs="Arial"/>
          <w:sz w:val="20"/>
          <w:szCs w:val="20"/>
        </w:rPr>
      </w:pPr>
      <w:r>
        <w:rPr>
          <w:rFonts w:eastAsia="Arial" w:cs="Arial"/>
          <w:sz w:val="20"/>
          <w:szCs w:val="20"/>
        </w:rPr>
        <w:t>Valuation</w:t>
      </w:r>
    </w:p>
    <w:p>
      <w:pPr>
        <w:numPr>
          <w:ilvl w:val="0"/>
          <w:numId w:val="840"/>
        </w:numPr>
        <w:spacing w:after="200"/>
        <w:ind w:left="720" w:hanging="192"/>
        <w:jc w:val="left"/>
        <w:rPr>
          <w:rFonts w:eastAsia="Arial" w:cs="Arial"/>
          <w:sz w:val="20"/>
          <w:szCs w:val="20"/>
        </w:rPr>
      </w:pPr>
      <w:r>
        <w:rPr>
          <w:rFonts w:eastAsia="Arial" w:cs="Arial"/>
          <w:sz w:val="20"/>
          <w:szCs w:val="20"/>
        </w:rPr>
        <w:t>VaR and other derivatives and risk metrics</w:t>
      </w:r>
    </w:p>
    <w:p>
      <w:pPr>
        <w:pStyle w:val="normal0"/>
        <w:spacing w:before="200" w:after="200"/>
        <w:rPr>
          <w:rFonts w:eastAsia="Arial" w:cs="Arial"/>
          <w:sz w:val="20"/>
          <w:szCs w:val="20"/>
        </w:rPr>
      </w:pPr>
      <w:r>
        <w:rPr>
          <w:rFonts w:eastAsia="Arial" w:cs="Arial"/>
          <w:sz w:val="20"/>
          <w:szCs w:val="20"/>
        </w:rPr>
        <w:t>Promptly after KCD replaces an existing service provider with a new service provider, any procedures, disclosure and other documents referencing the applicable service provider shall be updated.</w:t>
      </w:r>
    </w:p>
    <w:p>
      <w:bookmarkEnd w:id="981"/>
      <w:bookmarkStart w:id="983" w:name="Sec_Chp_061016102258531_061016102258906"/>
    </w:p>
    <w:p>
      <w:pPr>
        <w:pStyle w:val="Heading3"/>
      </w:pPr>
      <w:bookmarkStart w:id="984" w:name="_Toc256000245"/>
      <w:r>
        <w:t>12.3.5 Insurance</w:t>
      </w:r>
      <w:bookmarkEnd w:id="984"/>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Investment Advisers Act of 1940 does not impose insurance requirements on investment advisers. If KCD is a state-registered investment adviser, it will comply with all applicable state insurance requirements. Irrespective of legal requirements, KCD will consider obtaining the appropriate type and level of business insurance, including errors and omissions insurance, if such insurance can be underwritten at reasonable rates.</w:t>
      </w:r>
    </w:p>
    <w:p>
      <w:pPr>
        <w:pStyle w:val="normal0"/>
        <w:spacing w:before="200" w:after="200"/>
        <w:rPr>
          <w:rFonts w:eastAsia="Arial" w:cs="Arial"/>
          <w:sz w:val="20"/>
          <w:szCs w:val="20"/>
        </w:rPr>
      </w:pPr>
      <w:r>
        <w:rPr>
          <w:rFonts w:eastAsia="Arial" w:cs="Arial"/>
          <w:sz w:val="20"/>
          <w:szCs w:val="20"/>
        </w:rPr>
        <w:t>At least annually, KCD shall consider whether it should obtain Errors &amp; Omission insurance or other insurance, or if it has such insurance, whether it should modify its current insurance, based on the following factors:</w:t>
      </w:r>
    </w:p>
    <w:p>
      <w:pPr>
        <w:numPr>
          <w:ilvl w:val="0"/>
          <w:numId w:val="841"/>
        </w:numPr>
        <w:spacing w:before="200"/>
        <w:ind w:left="720" w:hanging="192"/>
        <w:jc w:val="left"/>
        <w:rPr>
          <w:rFonts w:eastAsia="Arial" w:cs="Arial"/>
          <w:sz w:val="20"/>
          <w:szCs w:val="20"/>
        </w:rPr>
      </w:pPr>
      <w:r>
        <w:rPr>
          <w:rFonts w:eastAsia="Arial" w:cs="Arial"/>
          <w:sz w:val="20"/>
          <w:szCs w:val="20"/>
        </w:rPr>
        <w:t>assets under management;</w:t>
      </w:r>
    </w:p>
    <w:p>
      <w:pPr>
        <w:numPr>
          <w:ilvl w:val="0"/>
          <w:numId w:val="841"/>
        </w:numPr>
        <w:ind w:left="720" w:hanging="192"/>
        <w:jc w:val="left"/>
        <w:rPr>
          <w:rFonts w:eastAsia="Arial" w:cs="Arial"/>
          <w:sz w:val="20"/>
          <w:szCs w:val="20"/>
        </w:rPr>
      </w:pPr>
      <w:r>
        <w:rPr>
          <w:rFonts w:eastAsia="Arial" w:cs="Arial"/>
          <w:sz w:val="20"/>
          <w:szCs w:val="20"/>
        </w:rPr>
        <w:t>how much KCD can absorb from a loss perspective;</w:t>
      </w:r>
    </w:p>
    <w:p>
      <w:pPr>
        <w:numPr>
          <w:ilvl w:val="0"/>
          <w:numId w:val="841"/>
        </w:numPr>
        <w:ind w:left="720" w:hanging="192"/>
        <w:jc w:val="left"/>
        <w:rPr>
          <w:rFonts w:eastAsia="Arial" w:cs="Arial"/>
          <w:sz w:val="20"/>
          <w:szCs w:val="20"/>
        </w:rPr>
      </w:pPr>
      <w:r>
        <w:rPr>
          <w:rFonts w:eastAsia="Arial" w:cs="Arial"/>
          <w:sz w:val="20"/>
          <w:szCs w:val="20"/>
        </w:rPr>
        <w:t>its historical litigation experience;</w:t>
      </w:r>
    </w:p>
    <w:p>
      <w:pPr>
        <w:numPr>
          <w:ilvl w:val="0"/>
          <w:numId w:val="841"/>
        </w:numPr>
        <w:ind w:left="720" w:hanging="192"/>
        <w:jc w:val="left"/>
        <w:rPr>
          <w:rFonts w:eastAsia="Arial" w:cs="Arial"/>
          <w:sz w:val="20"/>
          <w:szCs w:val="20"/>
        </w:rPr>
      </w:pPr>
      <w:r>
        <w:rPr>
          <w:rFonts w:eastAsia="Arial" w:cs="Arial"/>
          <w:sz w:val="20"/>
          <w:szCs w:val="20"/>
        </w:rPr>
        <w:t>regulatory climate, including how active the SEC's Enforcement Division is;</w:t>
      </w:r>
    </w:p>
    <w:p>
      <w:pPr>
        <w:numPr>
          <w:ilvl w:val="0"/>
          <w:numId w:val="841"/>
        </w:numPr>
        <w:ind w:left="720" w:hanging="192"/>
        <w:jc w:val="left"/>
        <w:rPr>
          <w:rFonts w:eastAsia="Arial" w:cs="Arial"/>
          <w:sz w:val="20"/>
          <w:szCs w:val="20"/>
        </w:rPr>
      </w:pPr>
      <w:r>
        <w:rPr>
          <w:rFonts w:eastAsia="Arial" w:cs="Arial"/>
          <w:sz w:val="20"/>
          <w:szCs w:val="20"/>
        </w:rPr>
        <w:t>market conditions (a downturn may increase the potential for claims);</w:t>
      </w:r>
    </w:p>
    <w:p>
      <w:pPr>
        <w:numPr>
          <w:ilvl w:val="0"/>
          <w:numId w:val="841"/>
        </w:numPr>
        <w:ind w:left="720" w:hanging="192"/>
        <w:jc w:val="left"/>
        <w:rPr>
          <w:rFonts w:eastAsia="Arial" w:cs="Arial"/>
          <w:sz w:val="20"/>
          <w:szCs w:val="20"/>
        </w:rPr>
      </w:pPr>
      <w:r>
        <w:rPr>
          <w:rFonts w:eastAsia="Arial" w:cs="Arial"/>
          <w:sz w:val="20"/>
          <w:szCs w:val="20"/>
        </w:rPr>
        <w:t>the cost of the coverage; and</w:t>
      </w:r>
    </w:p>
    <w:p>
      <w:pPr>
        <w:numPr>
          <w:ilvl w:val="0"/>
          <w:numId w:val="841"/>
        </w:numPr>
        <w:spacing w:after="200"/>
        <w:ind w:left="720" w:hanging="192"/>
        <w:jc w:val="left"/>
        <w:rPr>
          <w:rFonts w:eastAsia="Arial" w:cs="Arial"/>
          <w:sz w:val="20"/>
          <w:szCs w:val="20"/>
        </w:rPr>
      </w:pPr>
      <w:r>
        <w:rPr>
          <w:rFonts w:eastAsia="Arial" w:cs="Arial"/>
          <w:sz w:val="20"/>
          <w:szCs w:val="20"/>
        </w:rPr>
        <w:t>KCD's risk profile based on the investment management products and advisory services it offers.</w:t>
      </w:r>
    </w:p>
    <w:p>
      <w:pPr>
        <w:spacing w:before="200" w:after="200"/>
        <w:rPr>
          <w:rFonts w:eastAsia="Arial" w:cs="Arial"/>
          <w:sz w:val="20"/>
          <w:szCs w:val="20"/>
        </w:rPr>
      </w:pPr>
      <w:r>
        <w:rPr>
          <w:rFonts w:eastAsia="Arial" w:cs="Arial"/>
          <w:sz w:val="20"/>
          <w:szCs w:val="20"/>
        </w:rPr>
        <w:t>The following is a list of the insurance policies that KCD currently has in place:</w:t>
      </w:r>
    </w:p>
    <w:p>
      <w:pPr>
        <w:rPr>
          <w:rFonts w:eastAsia="Arial" w:cs="Arial"/>
          <w:sz w:val="20"/>
          <w:szCs w:val="20"/>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2756"/>
        <w:gridCol w:w="2017"/>
        <w:gridCol w:w="5147"/>
      </w:tblGrid>
      <w:tr>
        <w:tblPrEx>
          <w:tblW w:w="5000" w:type="pct"/>
          <w:tblLook w:val="05E0"/>
        </w:tblPrEx>
        <w:trPr>
          <w:tblHeader/>
        </w:trPr>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Style w:val="Strong"/>
                <w:rFonts w:eastAsia="Arial" w:cs="Arial"/>
                <w:b/>
                <w:bCs/>
                <w:i w:val="0"/>
                <w:iCs w:val="0"/>
                <w:smallCaps w:val="0"/>
                <w:color w:val="000000"/>
                <w:sz w:val="24"/>
              </w:rPr>
              <w:t>Policy</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Style w:val="Strong"/>
                <w:rFonts w:eastAsia="Arial" w:cs="Arial"/>
                <w:b/>
                <w:bCs/>
                <w:i w:val="0"/>
                <w:iCs w:val="0"/>
                <w:smallCaps w:val="0"/>
                <w:color w:val="000000"/>
                <w:sz w:val="24"/>
              </w:rPr>
              <w:t>Amount of Coverage</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Style w:val="Strong"/>
                <w:rFonts w:eastAsia="Arial" w:cs="Arial"/>
                <w:b/>
                <w:bCs/>
                <w:i w:val="0"/>
                <w:iCs w:val="0"/>
                <w:smallCaps w:val="0"/>
                <w:color w:val="000000"/>
                <w:sz w:val="24"/>
              </w:rPr>
              <w:t>Description</w:t>
            </w:r>
          </w:p>
        </w:tc>
      </w:tr>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Investment Advisers Errors and Omissions</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$1,000,000.00</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Coverage unsuitable trades for a particular client, lack of trading, and certain other items</w:t>
            </w:r>
          </w:p>
        </w:tc>
      </w:tr>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Employment Practices</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$0.00</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Employee harassment policy</w:t>
            </w:r>
          </w:p>
        </w:tc>
      </w:tr>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ERISA</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$0.00</w:t>
            </w:r>
          </w:p>
        </w:tc>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Required by ERISA regulations</w:t>
            </w:r>
          </w:p>
        </w:tc>
      </w:tr>
    </w:tbl>
    <w:p>
      <w:pPr>
        <w:rPr>
          <w:rFonts w:eastAsia="Arial" w:cs="Arial"/>
          <w:sz w:val="20"/>
          <w:szCs w:val="20"/>
        </w:rPr>
      </w:pPr>
      <w:r>
        <w:rPr>
          <w:rFonts w:eastAsia="Arial" w:cs="Arial"/>
          <w:sz w:val="20"/>
          <w:szCs w:val="20"/>
        </w:rPr>
        <w:br/>
      </w:r>
    </w:p>
    <w:p>
      <w:bookmarkEnd w:id="983"/>
      <w:bookmarkStart w:id="985" w:name="Sec_Chp_061016102258531_061016102258921"/>
    </w:p>
    <w:p>
      <w:pPr>
        <w:pStyle w:val="Heading3"/>
      </w:pPr>
      <w:bookmarkStart w:id="986" w:name="_Toc256000246"/>
      <w:r>
        <w:t>12.3.6 Bonds</w:t>
      </w:r>
      <w:bookmarkEnd w:id="986"/>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Investment Advisers Act of 1940 does not impose bonding requirements on investment advisers. If KCD is a state-registered investment adviser, it will comply with all applicable state bonding requirements.</w:t>
      </w:r>
    </w:p>
    <w:p>
      <w:pPr>
        <w:rPr>
          <w:rFonts w:ascii="Times New Roman" w:eastAsia="Times New Roman" w:hAnsi="Times New Roman" w:cs="Times New Roman"/>
          <w:sz w:val="24"/>
        </w:rPr>
      </w:pPr>
      <w:bookmarkEnd w:id="985"/>
      <w:bookmarkStart w:id="987" w:name="Sec_Chp_061016102258531_0610161022589211"/>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Whenever KCD exercises investment discretion over retirement plan assets, it will obtain a fiduciary bond if required by ERISA. The Chief Compliance Officer will consult an attorney with ERISA expertise to review the ERISA bond requirements, including the necessity of a bond when KCD acts as an investment adviser to a retirement plan, but does not have discretionary authority over the assets it is advising. </w:t>
      </w:r>
    </w:p>
    <w:p>
      <w:bookmarkEnd w:id="987"/>
      <w:bookmarkStart w:id="988" w:name="Sec_Chp_061016102258531_061016102258953"/>
    </w:p>
    <w:p>
      <w:pPr>
        <w:pStyle w:val="Heading4"/>
      </w:pPr>
      <w:r>
        <w:t>12.3.6.1 Limited Liability Status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The Chief Compliance Officer shall take, or cause others to take, the following steps to minimize the possibility of a court reaching the personal assets of owners of KCD or its officers and employees to satisfy obligations of the business entity: </w:t>
      </w:r>
    </w:p>
    <w:p>
      <w:pPr>
        <w:numPr>
          <w:ilvl w:val="0"/>
          <w:numId w:val="842"/>
        </w:numPr>
        <w:spacing w:before="200"/>
        <w:ind w:left="720" w:hanging="192"/>
        <w:jc w:val="left"/>
        <w:rPr>
          <w:rFonts w:eastAsia="Arial" w:cs="Arial"/>
          <w:sz w:val="20"/>
          <w:szCs w:val="20"/>
        </w:rPr>
      </w:pPr>
      <w:r>
        <w:rPr>
          <w:rFonts w:eastAsia="Arial" w:cs="Arial"/>
          <w:sz w:val="20"/>
          <w:szCs w:val="20"/>
        </w:rPr>
        <w:t xml:space="preserve">Ensure that KCD is adequately capitalized in accordance with the procedures discussed above; </w:t>
      </w:r>
    </w:p>
    <w:p>
      <w:pPr>
        <w:numPr>
          <w:ilvl w:val="0"/>
          <w:numId w:val="842"/>
        </w:numPr>
        <w:ind w:left="720" w:hanging="192"/>
        <w:jc w:val="left"/>
        <w:rPr>
          <w:rFonts w:eastAsia="Arial" w:cs="Arial"/>
          <w:sz w:val="20"/>
          <w:szCs w:val="20"/>
        </w:rPr>
      </w:pPr>
      <w:r>
        <w:rPr>
          <w:rFonts w:eastAsia="Arial" w:cs="Arial"/>
          <w:sz w:val="20"/>
          <w:szCs w:val="20"/>
        </w:rPr>
        <w:t xml:space="preserve">Open checking and other financial accounts in the name of KCD; </w:t>
      </w:r>
    </w:p>
    <w:p>
      <w:pPr>
        <w:numPr>
          <w:ilvl w:val="0"/>
          <w:numId w:val="842"/>
        </w:numPr>
        <w:ind w:left="720" w:hanging="192"/>
        <w:jc w:val="left"/>
        <w:rPr>
          <w:rFonts w:eastAsia="Arial" w:cs="Arial"/>
          <w:sz w:val="20"/>
          <w:szCs w:val="20"/>
        </w:rPr>
      </w:pPr>
      <w:r>
        <w:rPr>
          <w:rFonts w:eastAsia="Arial" w:cs="Arial"/>
          <w:sz w:val="20"/>
          <w:szCs w:val="20"/>
        </w:rPr>
        <w:t xml:space="preserve">Hold meetings of KCD on a regular basis and record actions taken by the meetings in a minute book; </w:t>
      </w:r>
    </w:p>
    <w:p>
      <w:pPr>
        <w:numPr>
          <w:ilvl w:val="0"/>
          <w:numId w:val="842"/>
        </w:numPr>
        <w:ind w:left="720" w:hanging="192"/>
        <w:jc w:val="left"/>
        <w:rPr>
          <w:rFonts w:eastAsia="Arial" w:cs="Arial"/>
          <w:sz w:val="20"/>
          <w:szCs w:val="20"/>
        </w:rPr>
      </w:pPr>
      <w:r>
        <w:rPr>
          <w:rFonts w:eastAsia="Arial" w:cs="Arial"/>
          <w:sz w:val="20"/>
          <w:szCs w:val="20"/>
        </w:rPr>
        <w:t xml:space="preserve">When taking actions for KCD, follow procedures set forth in KCD's bylaws or other organizational documents; </w:t>
      </w:r>
    </w:p>
    <w:p>
      <w:pPr>
        <w:numPr>
          <w:ilvl w:val="0"/>
          <w:numId w:val="842"/>
        </w:numPr>
        <w:ind w:left="720" w:hanging="192"/>
        <w:jc w:val="left"/>
        <w:rPr>
          <w:rFonts w:eastAsia="Arial" w:cs="Arial"/>
          <w:sz w:val="20"/>
          <w:szCs w:val="20"/>
        </w:rPr>
      </w:pPr>
      <w:r>
        <w:rPr>
          <w:rFonts w:eastAsia="Arial" w:cs="Arial"/>
          <w:sz w:val="20"/>
          <w:szCs w:val="20"/>
        </w:rPr>
        <w:t xml:space="preserve">Ensure that authorized officers of KCD sign contracts as officers on behalf of KCD; </w:t>
      </w:r>
    </w:p>
    <w:p>
      <w:pPr>
        <w:numPr>
          <w:ilvl w:val="0"/>
          <w:numId w:val="842"/>
        </w:numPr>
        <w:ind w:left="720" w:hanging="192"/>
        <w:jc w:val="left"/>
        <w:rPr>
          <w:rFonts w:eastAsia="Arial" w:cs="Arial"/>
          <w:sz w:val="20"/>
          <w:szCs w:val="20"/>
        </w:rPr>
      </w:pPr>
      <w:r>
        <w:rPr>
          <w:rFonts w:eastAsia="Arial" w:cs="Arial"/>
          <w:sz w:val="20"/>
          <w:szCs w:val="20"/>
        </w:rPr>
        <w:t xml:space="preserve">Consider obtaining liability insurance for KCD; and </w:t>
      </w:r>
    </w:p>
    <w:p>
      <w:pPr>
        <w:numPr>
          <w:ilvl w:val="0"/>
          <w:numId w:val="842"/>
        </w:numPr>
        <w:spacing w:after="200"/>
        <w:ind w:left="720" w:hanging="192"/>
        <w:jc w:val="left"/>
        <w:rPr>
          <w:rFonts w:eastAsia="Arial" w:cs="Arial"/>
          <w:sz w:val="20"/>
          <w:szCs w:val="20"/>
        </w:rPr>
      </w:pPr>
      <w:r>
        <w:rPr>
          <w:rFonts w:eastAsia="Arial" w:cs="Arial"/>
          <w:sz w:val="20"/>
          <w:szCs w:val="20"/>
        </w:rPr>
        <w:t>Ensure officers and employees of KCD keep their personal affairs separate from the business affairs of KCD.</w:t>
      </w:r>
    </w:p>
    <w:p>
      <w:pPr>
        <w:pStyle w:val="normal0"/>
        <w:spacing w:before="200" w:after="200"/>
        <w:rPr>
          <w:rFonts w:eastAsia="Arial" w:cs="Arial"/>
          <w:sz w:val="20"/>
          <w:szCs w:val="20"/>
        </w:rPr>
      </w:pPr>
      <w:r>
        <w:rPr>
          <w:rFonts w:eastAsia="Arial" w:cs="Arial"/>
          <w:sz w:val="20"/>
          <w:szCs w:val="20"/>
        </w:rPr>
        <w:t xml:space="preserve">The Chief Compliance Officer will cause KCD employees and officers to diligently perform these and other administrative functions required to operate the advisory business in an effort to shield such persons' personal assets from the creditors of the advisory business. </w:t>
      </w:r>
    </w:p>
    <w:p>
      <w:bookmarkEnd w:id="988"/>
      <w:bookmarkStart w:id="989" w:name="Sec_Chp_061016102258531_061016102259000"/>
    </w:p>
    <w:p>
      <w:pPr>
        <w:pStyle w:val="Heading4"/>
      </w:pPr>
      <w:r>
        <w:t xml:space="preserve">12.3.6.2 Corporate Governance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If KCD is organized as a legal entity pursuant to state law, it will comply with all state and local laws and ordinances that apply to such entity. KCD shall also comply with all organization and governance documents. </w:t>
      </w:r>
    </w:p>
    <w:p>
      <w:bookmarkEnd w:id="989"/>
      <w:bookmarkStart w:id="990" w:name="Sec_Chp_061016102258531_061016102259015"/>
    </w:p>
    <w:p>
      <w:pPr>
        <w:pStyle w:val="Heading3"/>
      </w:pPr>
      <w:bookmarkStart w:id="991" w:name="_Toc256000247"/>
      <w:r>
        <w:t>12.3.7 Political Contributions</w:t>
      </w:r>
      <w:bookmarkEnd w:id="991"/>
      <w:r>
        <w:t xml:space="preserve"> </w:t>
      </w:r>
    </w:p>
    <w:p/>
    <w:p>
      <w:pPr>
        <w:rPr>
          <w:rFonts w:eastAsia="Arial" w:cs="Arial"/>
          <w:sz w:val="16"/>
          <w:szCs w:val="16"/>
        </w:rPr>
      </w:pPr>
    </w:p>
    <w:p>
      <w:bookmarkEnd w:id="990"/>
      <w:bookmarkStart w:id="992" w:name="Sec_Chp_061016102258531_061016102259031"/>
    </w:p>
    <w:p>
      <w:pPr>
        <w:pStyle w:val="Heading4"/>
      </w:pPr>
      <w:r>
        <w:t>12.3.7.1 Political Contributions Policy</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generally does not make political contributions. Exceptions to this policy are noted below.</w:t>
      </w:r>
    </w:p>
    <w:p>
      <w:bookmarkEnd w:id="992"/>
      <w:bookmarkStart w:id="993" w:name="Sec_Chp_061016102258531_061016102259046"/>
    </w:p>
    <w:p>
      <w:pPr>
        <w:pStyle w:val="Heading4"/>
      </w:pPr>
      <w:r>
        <w:t xml:space="preserve">12.3.7.2 Firm Contributions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may only make a political contribution if: </w:t>
      </w:r>
    </w:p>
    <w:p>
      <w:pPr>
        <w:numPr>
          <w:ilvl w:val="0"/>
          <w:numId w:val="843"/>
        </w:numPr>
        <w:spacing w:before="200"/>
        <w:ind w:left="720" w:hanging="192"/>
        <w:jc w:val="left"/>
        <w:rPr>
          <w:rFonts w:eastAsia="Arial" w:cs="Arial"/>
          <w:sz w:val="20"/>
          <w:szCs w:val="20"/>
        </w:rPr>
      </w:pPr>
      <w:r>
        <w:rPr>
          <w:rFonts w:eastAsia="Arial" w:cs="Arial"/>
          <w:sz w:val="20"/>
          <w:szCs w:val="20"/>
        </w:rPr>
        <w:t xml:space="preserve">The contribution is approved by KCD's Chief Executive Officer or designee; </w:t>
      </w:r>
    </w:p>
    <w:p>
      <w:pPr>
        <w:numPr>
          <w:ilvl w:val="0"/>
          <w:numId w:val="843"/>
        </w:numPr>
        <w:ind w:left="720" w:hanging="192"/>
        <w:jc w:val="left"/>
        <w:rPr>
          <w:rFonts w:eastAsia="Arial" w:cs="Arial"/>
          <w:sz w:val="20"/>
          <w:szCs w:val="20"/>
        </w:rPr>
      </w:pPr>
      <w:r>
        <w:rPr>
          <w:rFonts w:eastAsia="Arial" w:cs="Arial"/>
          <w:sz w:val="20"/>
          <w:szCs w:val="20"/>
        </w:rPr>
        <w:t xml:space="preserve">The contribution is permitted by applicable law, as determined by KCD's counsel or outside counsel; </w:t>
      </w:r>
    </w:p>
    <w:p>
      <w:pPr>
        <w:numPr>
          <w:ilvl w:val="0"/>
          <w:numId w:val="843"/>
        </w:numPr>
        <w:ind w:left="720" w:hanging="192"/>
        <w:jc w:val="left"/>
        <w:rPr>
          <w:rFonts w:eastAsia="Arial" w:cs="Arial"/>
          <w:sz w:val="20"/>
          <w:szCs w:val="20"/>
        </w:rPr>
      </w:pPr>
      <w:r>
        <w:rPr>
          <w:rFonts w:eastAsia="Arial" w:cs="Arial"/>
          <w:sz w:val="20"/>
          <w:szCs w:val="20"/>
        </w:rPr>
        <w:t xml:space="preserve">The following information about the contribution is obtained, recorded and maintained: (1) name of candidate/political party; (2) office/position for which candidate is running; (3) state/jurisdiction; (4) party affiliation; (5) date of election; (6) type of election (primary, general or special); (7) description of why KCD should support candidate/political party; (8) information about whether KCD has done business with the state or local agency the candidate is trying to join (e.g., served as adviser to a municipal bond offering); and (9) name and signature of person submitting this information; and </w:t>
      </w:r>
    </w:p>
    <w:p>
      <w:pPr>
        <w:numPr>
          <w:ilvl w:val="0"/>
          <w:numId w:val="843"/>
        </w:numPr>
        <w:spacing w:after="200"/>
        <w:ind w:left="720" w:hanging="192"/>
        <w:jc w:val="left"/>
        <w:rPr>
          <w:rFonts w:eastAsia="Arial" w:cs="Arial"/>
          <w:sz w:val="20"/>
          <w:szCs w:val="20"/>
        </w:rPr>
      </w:pPr>
      <w:r>
        <w:rPr>
          <w:rFonts w:eastAsia="Arial" w:cs="Arial"/>
          <w:sz w:val="20"/>
          <w:szCs w:val="20"/>
        </w:rPr>
        <w:t>The contribution does not present a conflict of interest or is detrimental to KCD's advisory clients.</w:t>
      </w:r>
    </w:p>
    <w:p>
      <w:bookmarkEnd w:id="993"/>
      <w:bookmarkStart w:id="994" w:name="Sec_Chp_061016102258531_061016102259062"/>
    </w:p>
    <w:p>
      <w:pPr>
        <w:pStyle w:val="Heading4"/>
      </w:pPr>
      <w:r>
        <w:t>12.3.7.3 Individual Contributions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employees may contribute to candidates for federal, state and local elective offices to the extent permitted by law. Because such contribution may cause a conflict of interest with KCD's business, an employee making a political contribution should contact the Chief Compliance Officer prior to making a contribution that the employee believes may potentially raise such a conflict. </w:t>
      </w:r>
    </w:p>
    <w:p>
      <w:bookmarkEnd w:id="994"/>
      <w:bookmarkStart w:id="995" w:name="Sec_Chp_061016102258531_06101611239"/>
    </w:p>
    <w:p>
      <w:pPr>
        <w:pStyle w:val="Heading3"/>
      </w:pPr>
      <w:bookmarkStart w:id="996" w:name="_Toc256000248"/>
      <w:r>
        <w:t>12.3.8 Offices</w:t>
      </w:r>
      <w:bookmarkEnd w:id="996"/>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if it has multiple offices, and/or shared office space, will follow the procedures set forth below.</w:t>
      </w:r>
    </w:p>
    <w:p>
      <w:pPr>
        <w:pStyle w:val="normal0"/>
        <w:spacing w:before="200" w:after="200"/>
        <w:rPr>
          <w:rFonts w:eastAsia="Arial" w:cs="Arial"/>
          <w:sz w:val="20"/>
          <w:szCs w:val="20"/>
        </w:rPr>
      </w:pPr>
      <w:r>
        <w:rPr>
          <w:rFonts w:eastAsia="Arial" w:cs="Arial"/>
          <w:sz w:val="20"/>
          <w:szCs w:val="20"/>
          <w:u w:val="single"/>
        </w:rPr>
        <w:t>Multiple Offices</w:t>
      </w:r>
    </w:p>
    <w:p>
      <w:pPr>
        <w:pStyle w:val="normal0"/>
        <w:spacing w:before="200" w:after="200"/>
        <w:rPr>
          <w:rFonts w:eastAsia="Arial" w:cs="Arial"/>
          <w:sz w:val="20"/>
          <w:szCs w:val="20"/>
        </w:rPr>
      </w:pPr>
      <w:r>
        <w:rPr>
          <w:rFonts w:eastAsia="Arial" w:cs="Arial"/>
          <w:sz w:val="20"/>
          <w:szCs w:val="20"/>
        </w:rPr>
        <w:t>KCD, if it has multiple offices, shall designate one of its offices as its principal office and place of business. It shall maintain a list of its offices that contains the following information about each office:</w:t>
      </w:r>
    </w:p>
    <w:p>
      <w:pPr>
        <w:numPr>
          <w:ilvl w:val="0"/>
          <w:numId w:val="844"/>
        </w:numPr>
        <w:spacing w:before="200"/>
        <w:ind w:left="720" w:hanging="192"/>
        <w:jc w:val="left"/>
        <w:rPr>
          <w:rFonts w:eastAsia="Arial" w:cs="Arial"/>
          <w:sz w:val="20"/>
          <w:szCs w:val="20"/>
        </w:rPr>
      </w:pPr>
      <w:r>
        <w:rPr>
          <w:rFonts w:eastAsia="Arial" w:cs="Arial"/>
          <w:sz w:val="20"/>
          <w:szCs w:val="20"/>
        </w:rPr>
        <w:t>Name of the office</w:t>
      </w:r>
    </w:p>
    <w:p>
      <w:pPr>
        <w:numPr>
          <w:ilvl w:val="0"/>
          <w:numId w:val="844"/>
        </w:numPr>
        <w:ind w:left="720" w:hanging="192"/>
        <w:jc w:val="left"/>
        <w:rPr>
          <w:rFonts w:eastAsia="Arial" w:cs="Arial"/>
          <w:sz w:val="20"/>
          <w:szCs w:val="20"/>
        </w:rPr>
      </w:pPr>
      <w:r>
        <w:rPr>
          <w:rFonts w:eastAsia="Arial" w:cs="Arial"/>
          <w:sz w:val="20"/>
          <w:szCs w:val="20"/>
        </w:rPr>
        <w:t>Address of the office</w:t>
      </w:r>
    </w:p>
    <w:p>
      <w:pPr>
        <w:numPr>
          <w:ilvl w:val="0"/>
          <w:numId w:val="844"/>
        </w:numPr>
        <w:ind w:left="720" w:hanging="192"/>
        <w:jc w:val="left"/>
        <w:rPr>
          <w:rFonts w:eastAsia="Arial" w:cs="Arial"/>
          <w:sz w:val="20"/>
          <w:szCs w:val="20"/>
        </w:rPr>
      </w:pPr>
      <w:r>
        <w:rPr>
          <w:rFonts w:eastAsia="Arial" w:cs="Arial"/>
          <w:sz w:val="20"/>
          <w:szCs w:val="20"/>
        </w:rPr>
        <w:t>Phone number of the office</w:t>
      </w:r>
    </w:p>
    <w:p>
      <w:pPr>
        <w:numPr>
          <w:ilvl w:val="0"/>
          <w:numId w:val="844"/>
        </w:numPr>
        <w:ind w:left="720" w:hanging="192"/>
        <w:jc w:val="left"/>
        <w:rPr>
          <w:rFonts w:eastAsia="Arial" w:cs="Arial"/>
          <w:sz w:val="20"/>
          <w:szCs w:val="20"/>
        </w:rPr>
      </w:pPr>
      <w:r>
        <w:rPr>
          <w:rFonts w:eastAsia="Arial" w:cs="Arial"/>
          <w:sz w:val="20"/>
          <w:szCs w:val="20"/>
        </w:rPr>
        <w:t>Supervisor of the office</w:t>
      </w:r>
    </w:p>
    <w:p>
      <w:pPr>
        <w:numPr>
          <w:ilvl w:val="0"/>
          <w:numId w:val="844"/>
        </w:numPr>
        <w:ind w:left="720" w:hanging="192"/>
        <w:jc w:val="left"/>
        <w:rPr>
          <w:rFonts w:eastAsia="Arial" w:cs="Arial"/>
          <w:sz w:val="20"/>
          <w:szCs w:val="20"/>
        </w:rPr>
      </w:pPr>
      <w:r>
        <w:rPr>
          <w:rFonts w:eastAsia="Arial" w:cs="Arial"/>
          <w:sz w:val="20"/>
          <w:szCs w:val="20"/>
        </w:rPr>
        <w:t>Employees who work in the office</w:t>
      </w:r>
    </w:p>
    <w:p>
      <w:pPr>
        <w:numPr>
          <w:ilvl w:val="0"/>
          <w:numId w:val="844"/>
        </w:numPr>
        <w:ind w:left="720" w:hanging="192"/>
        <w:jc w:val="left"/>
        <w:rPr>
          <w:rFonts w:eastAsia="Arial" w:cs="Arial"/>
          <w:sz w:val="20"/>
          <w:szCs w:val="20"/>
        </w:rPr>
      </w:pPr>
      <w:r>
        <w:rPr>
          <w:rFonts w:eastAsia="Arial" w:cs="Arial"/>
          <w:sz w:val="20"/>
          <w:szCs w:val="20"/>
        </w:rPr>
        <w:t>Whether investment advisory business is conducted in the office</w:t>
      </w:r>
    </w:p>
    <w:p>
      <w:pPr>
        <w:numPr>
          <w:ilvl w:val="0"/>
          <w:numId w:val="844"/>
        </w:numPr>
        <w:ind w:left="720" w:hanging="192"/>
        <w:jc w:val="left"/>
        <w:rPr>
          <w:rFonts w:eastAsia="Arial" w:cs="Arial"/>
          <w:sz w:val="20"/>
          <w:szCs w:val="20"/>
        </w:rPr>
      </w:pPr>
      <w:r>
        <w:rPr>
          <w:rFonts w:eastAsia="Arial" w:cs="Arial"/>
          <w:sz w:val="20"/>
          <w:szCs w:val="20"/>
        </w:rPr>
        <w:t>Whether a registered representative of a broker-dealer conducts business out of such office</w:t>
      </w:r>
    </w:p>
    <w:p>
      <w:pPr>
        <w:numPr>
          <w:ilvl w:val="0"/>
          <w:numId w:val="844"/>
        </w:numPr>
        <w:spacing w:after="200"/>
        <w:ind w:left="720" w:hanging="192"/>
        <w:jc w:val="left"/>
        <w:rPr>
          <w:rFonts w:eastAsia="Arial" w:cs="Arial"/>
          <w:sz w:val="20"/>
          <w:szCs w:val="20"/>
        </w:rPr>
      </w:pPr>
      <w:r>
        <w:rPr>
          <w:rFonts w:eastAsia="Arial" w:cs="Arial"/>
          <w:sz w:val="20"/>
          <w:szCs w:val="20"/>
        </w:rPr>
        <w:t>Nature and type of any non-advisory business conducted at such office</w:t>
      </w:r>
    </w:p>
    <w:p>
      <w:pPr>
        <w:pStyle w:val="normal0"/>
        <w:spacing w:before="200" w:after="200"/>
        <w:rPr>
          <w:rFonts w:eastAsia="Arial" w:cs="Arial"/>
          <w:sz w:val="20"/>
          <w:szCs w:val="20"/>
        </w:rPr>
      </w:pPr>
      <w:r>
        <w:rPr>
          <w:rFonts w:eastAsia="Arial" w:cs="Arial"/>
          <w:sz w:val="20"/>
          <w:szCs w:val="20"/>
        </w:rPr>
        <w:t>KCD shall identify each office where it conducts its advisory business in Part 1A of its Form ADV.</w:t>
      </w:r>
    </w:p>
    <w:p>
      <w:pPr>
        <w:pStyle w:val="normal0"/>
        <w:spacing w:before="200" w:after="200"/>
        <w:rPr>
          <w:rFonts w:eastAsia="Arial" w:cs="Arial"/>
          <w:sz w:val="20"/>
          <w:szCs w:val="20"/>
        </w:rPr>
      </w:pPr>
      <w:r>
        <w:rPr>
          <w:rFonts w:eastAsia="Arial" w:cs="Arial"/>
          <w:sz w:val="20"/>
          <w:szCs w:val="20"/>
          <w:u w:val="single"/>
        </w:rPr>
        <w:t>Shared Office Space</w:t>
      </w:r>
    </w:p>
    <w:p>
      <w:pPr>
        <w:pStyle w:val="normal0"/>
        <w:spacing w:before="200" w:after="200"/>
        <w:rPr>
          <w:rFonts w:eastAsia="Arial" w:cs="Arial"/>
          <w:sz w:val="20"/>
          <w:szCs w:val="20"/>
        </w:rPr>
      </w:pPr>
      <w:r>
        <w:rPr>
          <w:rFonts w:eastAsia="Arial" w:cs="Arial"/>
          <w:sz w:val="20"/>
          <w:szCs w:val="20"/>
        </w:rPr>
        <w:t>KCD, if it shares office space with an unaffiliated company, shall:</w:t>
      </w:r>
    </w:p>
    <w:p>
      <w:pPr>
        <w:numPr>
          <w:ilvl w:val="0"/>
          <w:numId w:val="845"/>
        </w:numPr>
        <w:spacing w:before="200"/>
        <w:ind w:left="720" w:hanging="192"/>
        <w:jc w:val="left"/>
        <w:rPr>
          <w:rFonts w:eastAsia="Arial" w:cs="Arial"/>
          <w:sz w:val="20"/>
          <w:szCs w:val="20"/>
        </w:rPr>
      </w:pPr>
      <w:r>
        <w:rPr>
          <w:rFonts w:eastAsia="Arial" w:cs="Arial"/>
          <w:sz w:val="20"/>
          <w:szCs w:val="20"/>
        </w:rPr>
        <w:t>Take steps to safeguard client information including securing such information from the personnel of the unaffiliated sharing office space with KCD;</w:t>
      </w:r>
    </w:p>
    <w:p>
      <w:pPr>
        <w:numPr>
          <w:ilvl w:val="0"/>
          <w:numId w:val="845"/>
        </w:numPr>
        <w:ind w:left="720" w:hanging="192"/>
        <w:jc w:val="left"/>
        <w:rPr>
          <w:rFonts w:eastAsia="Arial" w:cs="Arial"/>
          <w:sz w:val="20"/>
          <w:szCs w:val="20"/>
        </w:rPr>
      </w:pPr>
      <w:r>
        <w:rPr>
          <w:rFonts w:eastAsia="Arial" w:cs="Arial"/>
          <w:sz w:val="20"/>
          <w:szCs w:val="20"/>
        </w:rPr>
        <w:t>Disclose in Part 2A of its Form ADV the risks of sharing office space with an unaffiliated company; and</w:t>
      </w:r>
    </w:p>
    <w:p>
      <w:pPr>
        <w:numPr>
          <w:ilvl w:val="0"/>
          <w:numId w:val="845"/>
        </w:numPr>
        <w:spacing w:after="200"/>
        <w:ind w:left="720" w:hanging="192"/>
        <w:jc w:val="left"/>
        <w:rPr>
          <w:rFonts w:eastAsia="Arial" w:cs="Arial"/>
          <w:sz w:val="20"/>
          <w:szCs w:val="20"/>
        </w:rPr>
      </w:pPr>
      <w:r>
        <w:rPr>
          <w:rFonts w:eastAsia="Arial" w:cs="Arial"/>
          <w:sz w:val="20"/>
          <w:szCs w:val="20"/>
        </w:rPr>
        <w:t xml:space="preserve">Inform the personnel of the unaffiliated company including its officers that KCD is a regulated entity and that its business and client information is sensitive and that unaffiliated company should not access its computers, network or physical office space. </w:t>
      </w:r>
    </w:p>
    <w:p>
      <w:bookmarkEnd w:id="995"/>
      <w:bookmarkStart w:id="997" w:name="Sec_Chp_061016102258531_0610161123912310"/>
    </w:p>
    <w:p>
      <w:pPr>
        <w:pStyle w:val="Heading3"/>
      </w:pPr>
      <w:bookmarkStart w:id="998" w:name="_Toc256000249"/>
      <w:r>
        <w:t>12.3.9 Transition Plan</w:t>
      </w:r>
      <w:bookmarkEnd w:id="998"/>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the policy of KCD to have in place a transition plan that facilitates a smooth transition of ownership of KCD and avoids a disruption of the advisory services it provides to clients.</w:t>
      </w:r>
    </w:p>
    <w:p>
      <w:pPr>
        <w:numPr>
          <w:ilvl w:val="0"/>
          <w:numId w:val="846"/>
        </w:numPr>
        <w:spacing w:before="200"/>
        <w:ind w:left="720" w:hanging="267"/>
        <w:jc w:val="left"/>
        <w:rPr>
          <w:rFonts w:eastAsia="Arial" w:cs="Arial"/>
          <w:sz w:val="20"/>
          <w:szCs w:val="20"/>
        </w:rPr>
      </w:pPr>
      <w:r>
        <w:rPr>
          <w:rFonts w:eastAsia="Arial" w:cs="Arial"/>
          <w:b/>
          <w:bCs/>
          <w:sz w:val="20"/>
          <w:szCs w:val="20"/>
        </w:rPr>
        <w:t>Notice</w:t>
      </w:r>
      <w:r>
        <w:rPr>
          <w:rFonts w:eastAsia="Arial" w:cs="Arial"/>
          <w:sz w:val="20"/>
          <w:szCs w:val="20"/>
        </w:rPr>
        <w:t>. KCD shall provide notice to clients:</w:t>
      </w:r>
    </w:p>
    <w:p>
      <w:pPr>
        <w:numPr>
          <w:ilvl w:val="1"/>
          <w:numId w:val="846"/>
        </w:numPr>
        <w:ind w:left="1440" w:hanging="220"/>
        <w:jc w:val="left"/>
        <w:rPr>
          <w:rFonts w:eastAsia="Arial" w:cs="Arial"/>
          <w:sz w:val="20"/>
          <w:szCs w:val="20"/>
        </w:rPr>
      </w:pPr>
      <w:r>
        <w:rPr>
          <w:rFonts w:eastAsia="Arial" w:cs="Arial"/>
          <w:sz w:val="20"/>
          <w:szCs w:val="20"/>
        </w:rPr>
        <w:t>within five business days from the death, incapacity, termination, retirement or resignation of a key employee; and</w:t>
      </w:r>
    </w:p>
    <w:p>
      <w:pPr>
        <w:numPr>
          <w:ilvl w:val="1"/>
          <w:numId w:val="846"/>
        </w:numPr>
        <w:ind w:left="1440" w:hanging="220"/>
        <w:jc w:val="left"/>
        <w:rPr>
          <w:rFonts w:eastAsia="Arial" w:cs="Arial"/>
          <w:sz w:val="20"/>
          <w:szCs w:val="20"/>
        </w:rPr>
      </w:pPr>
      <w:r>
        <w:rPr>
          <w:rFonts w:eastAsia="Arial" w:cs="Arial"/>
          <w:sz w:val="20"/>
          <w:szCs w:val="20"/>
        </w:rPr>
        <w:t>within 30 business days from the decision to close or sell KCD.</w:t>
      </w:r>
    </w:p>
    <w:p>
      <w:pPr>
        <w:numPr>
          <w:ilvl w:val="0"/>
          <w:numId w:val="846"/>
        </w:numPr>
        <w:ind w:left="720" w:hanging="267"/>
        <w:jc w:val="left"/>
        <w:rPr>
          <w:rFonts w:eastAsia="Arial" w:cs="Arial"/>
          <w:sz w:val="20"/>
          <w:szCs w:val="20"/>
        </w:rPr>
      </w:pPr>
      <w:r>
        <w:rPr>
          <w:rFonts w:eastAsia="Arial" w:cs="Arial"/>
          <w:b/>
          <w:bCs/>
          <w:sz w:val="20"/>
          <w:szCs w:val="20"/>
        </w:rPr>
        <w:t>Transition Team</w:t>
      </w:r>
      <w:r>
        <w:rPr>
          <w:rFonts w:eastAsia="Arial" w:cs="Arial"/>
          <w:sz w:val="20"/>
          <w:szCs w:val="20"/>
        </w:rPr>
        <w:t>. The following Firm employees are designated members of the transition team who are responsible for implementing these procedures and taking all other actions to effect a smooth transition:</w:t>
      </w:r>
    </w:p>
    <w:p>
      <w:pPr>
        <w:numPr>
          <w:ilvl w:val="1"/>
          <w:numId w:val="846"/>
        </w:numPr>
        <w:ind w:left="1440" w:hanging="220"/>
        <w:jc w:val="left"/>
        <w:rPr>
          <w:rFonts w:eastAsia="Arial" w:cs="Arial"/>
          <w:sz w:val="20"/>
          <w:szCs w:val="20"/>
        </w:rPr>
      </w:pPr>
      <w:r>
        <w:rPr>
          <w:rFonts w:eastAsia="Arial" w:cs="Arial"/>
          <w:sz w:val="20"/>
          <w:szCs w:val="20"/>
        </w:rPr>
        <w:t>[Transition Team members]</w:t>
      </w:r>
    </w:p>
    <w:p>
      <w:pPr>
        <w:numPr>
          <w:ilvl w:val="0"/>
          <w:numId w:val="846"/>
        </w:numPr>
        <w:ind w:left="720" w:hanging="267"/>
        <w:jc w:val="left"/>
        <w:rPr>
          <w:rFonts w:eastAsia="Arial" w:cs="Arial"/>
          <w:sz w:val="20"/>
          <w:szCs w:val="20"/>
        </w:rPr>
      </w:pPr>
      <w:r>
        <w:rPr>
          <w:rFonts w:eastAsia="Arial" w:cs="Arial"/>
          <w:b/>
          <w:bCs/>
          <w:sz w:val="20"/>
          <w:szCs w:val="20"/>
        </w:rPr>
        <w:t>Monitoring of Client Accounts</w:t>
      </w:r>
      <w:r>
        <w:rPr>
          <w:rFonts w:eastAsia="Arial" w:cs="Arial"/>
          <w:sz w:val="20"/>
          <w:szCs w:val="20"/>
        </w:rPr>
        <w:t>. Each client's account will be monitored on a daily basis until an orderly liquidation, distribution or transfer of the client's portfolio to another adviser can be achieved.</w:t>
      </w:r>
    </w:p>
    <w:p>
      <w:pPr>
        <w:numPr>
          <w:ilvl w:val="0"/>
          <w:numId w:val="846"/>
        </w:numPr>
        <w:ind w:left="720" w:hanging="267"/>
        <w:jc w:val="left"/>
        <w:rPr>
          <w:rFonts w:eastAsia="Arial" w:cs="Arial"/>
          <w:sz w:val="20"/>
          <w:szCs w:val="20"/>
        </w:rPr>
      </w:pPr>
      <w:r>
        <w:rPr>
          <w:rFonts w:eastAsia="Arial" w:cs="Arial"/>
          <w:b/>
          <w:bCs/>
          <w:sz w:val="20"/>
          <w:szCs w:val="20"/>
        </w:rPr>
        <w:t>Successor Adviser Candidates</w:t>
      </w:r>
      <w:r>
        <w:rPr>
          <w:rFonts w:eastAsia="Arial" w:cs="Arial"/>
          <w:sz w:val="20"/>
          <w:szCs w:val="20"/>
        </w:rPr>
        <w:t>. KCD shall identify and maintain a list of potential advisers that can act as a short-term substitute or long-term successor. During this process, KCD will verify registrations in relevant states, professional certifications, educational background, disciplinary history and work experience.</w:t>
      </w:r>
    </w:p>
    <w:p>
      <w:pPr>
        <w:numPr>
          <w:ilvl w:val="0"/>
          <w:numId w:val="846"/>
        </w:numPr>
        <w:ind w:left="720" w:hanging="267"/>
        <w:jc w:val="left"/>
        <w:rPr>
          <w:rFonts w:eastAsia="Arial" w:cs="Arial"/>
          <w:sz w:val="20"/>
          <w:szCs w:val="20"/>
        </w:rPr>
      </w:pPr>
      <w:r>
        <w:rPr>
          <w:rFonts w:eastAsia="Arial" w:cs="Arial"/>
          <w:b/>
          <w:bCs/>
          <w:sz w:val="20"/>
          <w:szCs w:val="20"/>
        </w:rPr>
        <w:t>Employment Agreements</w:t>
      </w:r>
      <w:r>
        <w:rPr>
          <w:rFonts w:eastAsia="Arial" w:cs="Arial"/>
          <w:sz w:val="20"/>
          <w:szCs w:val="20"/>
        </w:rPr>
        <w:t>. KCD's employment agreements with key personnel, if possible, will contain provisions:</w:t>
      </w:r>
    </w:p>
    <w:p>
      <w:pPr>
        <w:numPr>
          <w:ilvl w:val="1"/>
          <w:numId w:val="846"/>
        </w:numPr>
        <w:ind w:left="1440" w:hanging="220"/>
        <w:jc w:val="left"/>
        <w:rPr>
          <w:rFonts w:eastAsia="Arial" w:cs="Arial"/>
          <w:sz w:val="20"/>
          <w:szCs w:val="20"/>
        </w:rPr>
      </w:pPr>
      <w:r>
        <w:rPr>
          <w:rFonts w:eastAsia="Arial" w:cs="Arial"/>
          <w:sz w:val="20"/>
          <w:szCs w:val="20"/>
        </w:rPr>
        <w:t>protecting KCD's proprietary interests in client relationships;</w:t>
      </w:r>
    </w:p>
    <w:p>
      <w:pPr>
        <w:numPr>
          <w:ilvl w:val="1"/>
          <w:numId w:val="846"/>
        </w:numPr>
        <w:ind w:left="1440" w:hanging="220"/>
        <w:jc w:val="left"/>
        <w:rPr>
          <w:rFonts w:eastAsia="Arial" w:cs="Arial"/>
          <w:sz w:val="20"/>
          <w:szCs w:val="20"/>
        </w:rPr>
      </w:pPr>
      <w:r>
        <w:rPr>
          <w:rFonts w:eastAsia="Arial" w:cs="Arial"/>
          <w:sz w:val="20"/>
          <w:szCs w:val="20"/>
        </w:rPr>
        <w:t>requiring at least 60 days' notification of resignation; and</w:t>
      </w:r>
    </w:p>
    <w:p>
      <w:pPr>
        <w:numPr>
          <w:ilvl w:val="1"/>
          <w:numId w:val="846"/>
        </w:numPr>
        <w:ind w:left="1440" w:hanging="220"/>
        <w:jc w:val="left"/>
        <w:rPr>
          <w:rFonts w:eastAsia="Arial" w:cs="Arial"/>
          <w:sz w:val="20"/>
          <w:szCs w:val="20"/>
        </w:rPr>
      </w:pPr>
      <w:r>
        <w:rPr>
          <w:rFonts w:eastAsia="Arial" w:cs="Arial"/>
          <w:sz w:val="20"/>
          <w:szCs w:val="20"/>
        </w:rPr>
        <w:t>training by such key personnel of other Firm personnel who can substitute for them after they depart.</w:t>
      </w:r>
    </w:p>
    <w:p>
      <w:pPr>
        <w:numPr>
          <w:ilvl w:val="0"/>
          <w:numId w:val="846"/>
        </w:numPr>
        <w:ind w:left="720" w:hanging="267"/>
        <w:jc w:val="left"/>
        <w:rPr>
          <w:rFonts w:eastAsia="Arial" w:cs="Arial"/>
          <w:sz w:val="20"/>
          <w:szCs w:val="20"/>
        </w:rPr>
      </w:pPr>
      <w:r>
        <w:rPr>
          <w:rFonts w:eastAsia="Arial" w:cs="Arial"/>
          <w:b/>
          <w:bCs/>
          <w:sz w:val="20"/>
          <w:szCs w:val="20"/>
        </w:rPr>
        <w:t>Custodian and Other Key Service Providers</w:t>
      </w:r>
      <w:r>
        <w:rPr>
          <w:rFonts w:eastAsia="Arial" w:cs="Arial"/>
          <w:sz w:val="20"/>
          <w:szCs w:val="20"/>
        </w:rPr>
        <w:t>. KCD maintains a list of the specific documents or processes that must be completed for client accounts serviced by the third-party service provider to allow the substitute advisor to transact business.</w:t>
      </w:r>
    </w:p>
    <w:p>
      <w:pPr>
        <w:numPr>
          <w:ilvl w:val="0"/>
          <w:numId w:val="846"/>
        </w:numPr>
        <w:ind w:left="720" w:hanging="267"/>
        <w:jc w:val="left"/>
        <w:rPr>
          <w:rFonts w:eastAsia="Arial" w:cs="Arial"/>
          <w:sz w:val="20"/>
          <w:szCs w:val="20"/>
        </w:rPr>
      </w:pPr>
      <w:r>
        <w:rPr>
          <w:rFonts w:eastAsia="Arial" w:cs="Arial"/>
          <w:b/>
          <w:bCs/>
          <w:sz w:val="20"/>
          <w:szCs w:val="20"/>
        </w:rPr>
        <w:t>Illiquid Assets</w:t>
      </w:r>
      <w:r>
        <w:rPr>
          <w:rFonts w:eastAsia="Arial" w:cs="Arial"/>
          <w:sz w:val="20"/>
          <w:szCs w:val="20"/>
        </w:rPr>
        <w:t>. In the event of a likely succession or incapacitation of KCD, KCD will review client accounts for illiquid assets and form a plan on how they may be orderly liquidated, distributed or transferred to another adviser can be achieved.</w:t>
      </w:r>
    </w:p>
    <w:p>
      <w:pPr>
        <w:numPr>
          <w:ilvl w:val="0"/>
          <w:numId w:val="846"/>
        </w:numPr>
        <w:ind w:left="720" w:hanging="267"/>
        <w:jc w:val="left"/>
        <w:rPr>
          <w:rFonts w:eastAsia="Arial" w:cs="Arial"/>
          <w:sz w:val="20"/>
          <w:szCs w:val="20"/>
        </w:rPr>
      </w:pPr>
      <w:r>
        <w:rPr>
          <w:rFonts w:eastAsia="Arial" w:cs="Arial"/>
          <w:b/>
          <w:bCs/>
          <w:sz w:val="20"/>
          <w:szCs w:val="20"/>
        </w:rPr>
        <w:t>Portfolio Transition</w:t>
      </w:r>
      <w:r>
        <w:rPr>
          <w:rFonts w:eastAsia="Arial" w:cs="Arial"/>
          <w:sz w:val="20"/>
          <w:szCs w:val="20"/>
        </w:rPr>
        <w:t>. KCD will cooperate with the successor adviser or transition manager in terms of restructuring client portfolios so that they may be transitioned to the successor adviser in a manner consistent with the investment strategy employed by such successor.</w:t>
      </w:r>
    </w:p>
    <w:p>
      <w:pPr>
        <w:numPr>
          <w:ilvl w:val="0"/>
          <w:numId w:val="846"/>
        </w:numPr>
        <w:spacing w:after="200"/>
        <w:ind w:left="720" w:hanging="267"/>
        <w:jc w:val="left"/>
        <w:rPr>
          <w:rFonts w:eastAsia="Arial" w:cs="Arial"/>
          <w:sz w:val="20"/>
          <w:szCs w:val="20"/>
        </w:rPr>
      </w:pPr>
      <w:r>
        <w:rPr>
          <w:rFonts w:eastAsia="Arial" w:cs="Arial"/>
          <w:b/>
          <w:bCs/>
          <w:sz w:val="20"/>
          <w:szCs w:val="20"/>
        </w:rPr>
        <w:t>Change of Control</w:t>
      </w:r>
      <w:r>
        <w:rPr>
          <w:rFonts w:eastAsia="Arial" w:cs="Arial"/>
          <w:sz w:val="20"/>
          <w:szCs w:val="20"/>
        </w:rPr>
        <w:t>. Because an assignment of an investment advisory contract automatically terminates such contract and a change of a control of an investment adviser constitutes an "assignment," any succession plan or actual succession must be analyzed by KCD (including its outside counsel) to determine whether it will result in a change of control for purposes of the Investment Advisers Act of 1940. If a change of control will occur, KCD shall obtain the consent of clients in a manner meeting the requirements of the Advisers Act and guidance provided by the SEC in no-action letters and interpretive releases.</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 xml:space="preserve">On June 28, 2016, the SEC proposed Rule 206(4)-4 under the Advisers Act, which if it had been adopted, would have required registered investment advisers to adopt and implement a plan of transition in the event the adviser is winding down or is unable to continue providing advisory services. On October 26, 2017, the U.S. Department of Treasury released a report (Treasury Report) that examines the current regulatory framework for the investment management industry, including investment advisers, and makes recommendations to ensure the regulatory framework is aligned with the Trump administration's core principles for financial regulation. The Treasury Report recommended that proposed Rule 206(4)-4's requirement that an investment adviser have a plan of transition in the event the adviser is winding down or is unable to continue providing advisory services be withdrawn. </w:t>
            </w:r>
          </w:p>
        </w:tc>
      </w:tr>
    </w:tbl>
    <w:p>
      <w:bookmarkEnd w:id="997"/>
      <w:bookmarkStart w:id="999" w:name="Sec_Chp_061016102258531_278226"/>
    </w:p>
    <w:p>
      <w:pPr>
        <w:pStyle w:val="Heading3"/>
      </w:pPr>
      <w:bookmarkStart w:id="1000" w:name="_Toc256000250"/>
      <w:r>
        <w:t>12.3.10 Mergers and Consolidations</w:t>
      </w:r>
      <w:bookmarkEnd w:id="1000"/>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KCD merging or consolidating with, or being acquired by another advisory firm, KCD including the Chief Compliance Officer will conduct a review of the other firm to ascertain whether such transaction will result in operational and compliance complexities and new conflicts of interest. Among other things, KCD shall:</w:t>
      </w:r>
    </w:p>
    <w:p>
      <w:pPr>
        <w:numPr>
          <w:ilvl w:val="0"/>
          <w:numId w:val="847"/>
        </w:numPr>
        <w:spacing w:before="200"/>
        <w:ind w:left="720" w:hanging="192"/>
        <w:jc w:val="left"/>
        <w:rPr>
          <w:rFonts w:eastAsia="Arial" w:cs="Arial"/>
          <w:sz w:val="20"/>
          <w:szCs w:val="20"/>
        </w:rPr>
      </w:pPr>
      <w:r>
        <w:rPr>
          <w:rFonts w:eastAsia="Arial" w:cs="Arial"/>
          <w:sz w:val="20"/>
          <w:szCs w:val="20"/>
        </w:rPr>
        <w:t>Review the other firm's Form ADV;</w:t>
      </w:r>
    </w:p>
    <w:p>
      <w:pPr>
        <w:numPr>
          <w:ilvl w:val="0"/>
          <w:numId w:val="847"/>
        </w:numPr>
        <w:ind w:left="720" w:hanging="192"/>
        <w:jc w:val="left"/>
        <w:rPr>
          <w:rFonts w:eastAsia="Arial" w:cs="Arial"/>
          <w:sz w:val="20"/>
          <w:szCs w:val="20"/>
        </w:rPr>
      </w:pPr>
      <w:r>
        <w:rPr>
          <w:rFonts w:eastAsia="Arial" w:cs="Arial"/>
          <w:sz w:val="20"/>
          <w:szCs w:val="20"/>
        </w:rPr>
        <w:t>Conduct due diligence on the other firm;</w:t>
      </w:r>
    </w:p>
    <w:p>
      <w:pPr>
        <w:numPr>
          <w:ilvl w:val="0"/>
          <w:numId w:val="847"/>
        </w:numPr>
        <w:ind w:left="720" w:hanging="192"/>
        <w:jc w:val="left"/>
        <w:rPr>
          <w:rFonts w:eastAsia="Arial" w:cs="Arial"/>
          <w:sz w:val="20"/>
          <w:szCs w:val="20"/>
        </w:rPr>
      </w:pPr>
      <w:r>
        <w:rPr>
          <w:rFonts w:eastAsia="Arial" w:cs="Arial"/>
          <w:sz w:val="20"/>
          <w:szCs w:val="20"/>
        </w:rPr>
        <w:t>Interview the chief compliance officer and chief operating officer of the other firm;</w:t>
      </w:r>
    </w:p>
    <w:p>
      <w:pPr>
        <w:numPr>
          <w:ilvl w:val="0"/>
          <w:numId w:val="847"/>
        </w:numPr>
        <w:ind w:left="720" w:hanging="192"/>
        <w:jc w:val="left"/>
        <w:rPr>
          <w:rFonts w:eastAsia="Arial" w:cs="Arial"/>
          <w:sz w:val="20"/>
          <w:szCs w:val="20"/>
        </w:rPr>
      </w:pPr>
      <w:r>
        <w:rPr>
          <w:rFonts w:eastAsia="Arial" w:cs="Arial"/>
          <w:sz w:val="20"/>
          <w:szCs w:val="20"/>
        </w:rPr>
        <w:t>Review the compliance manual of the other firm; and</w:t>
      </w:r>
    </w:p>
    <w:p>
      <w:pPr>
        <w:numPr>
          <w:ilvl w:val="0"/>
          <w:numId w:val="847"/>
        </w:numPr>
        <w:spacing w:after="200"/>
        <w:ind w:left="720" w:hanging="192"/>
        <w:jc w:val="left"/>
        <w:rPr>
          <w:rFonts w:eastAsia="Arial" w:cs="Arial"/>
          <w:sz w:val="20"/>
          <w:szCs w:val="20"/>
        </w:rPr>
      </w:pPr>
      <w:r>
        <w:rPr>
          <w:rFonts w:eastAsia="Arial" w:cs="Arial"/>
          <w:sz w:val="20"/>
          <w:szCs w:val="20"/>
        </w:rPr>
        <w:t>Review material agreements that the other firm has entered into including agreements with providers of financial products and platforms.</w:t>
      </w:r>
    </w:p>
    <w:p>
      <w:bookmarkEnd w:id="999"/>
      <w:bookmarkStart w:id="1001" w:name="Sec_Chp_061016102258531_061016102259078"/>
    </w:p>
    <w:p>
      <w:pPr>
        <w:pStyle w:val="Heading2"/>
      </w:pPr>
      <w:bookmarkStart w:id="1002" w:name="_Toc256000251"/>
      <w:r>
        <w:t>12.4 Form ADV Disclosure</w:t>
      </w:r>
      <w:bookmarkEnd w:id="1002"/>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will accurately describe its form of business in its Brochure (Part 2A). </w:t>
      </w:r>
    </w:p>
    <w:p>
      <w:bookmarkEnd w:id="1001"/>
      <w:bookmarkStart w:id="1003" w:name="Sec_Chp_061016102258531_061016102259093"/>
    </w:p>
    <w:p>
      <w:pPr>
        <w:pStyle w:val="Heading2"/>
      </w:pPr>
      <w:bookmarkStart w:id="1004" w:name="_Toc256000252"/>
      <w:r>
        <w:t>12.5 Books and Records</w:t>
      </w:r>
      <w:bookmarkEnd w:id="1004"/>
    </w:p>
    <w:p/>
    <w:p>
      <w:pPr>
        <w:rPr>
          <w:rFonts w:eastAsia="Arial" w:cs="Arial"/>
          <w:sz w:val="16"/>
          <w:szCs w:val="16"/>
        </w:rPr>
      </w:pPr>
      <w:r>
        <w:rPr>
          <w:rFonts w:eastAsia="Arial" w:cs="Arial"/>
          <w:sz w:val="16"/>
          <w:szCs w:val="16"/>
        </w:rPr>
        <w:t>[Investment Advisers Act of 1940 Rule 204-2(a)(1), 204-2(a)(2), 204-2(a)(4), 204-2(a)(5) and 204-2(a)(6)]</w:t>
      </w:r>
    </w:p>
    <w:p/>
    <w:p>
      <w:pPr>
        <w:pStyle w:val="normal0"/>
        <w:spacing w:after="200"/>
        <w:rPr>
          <w:rFonts w:eastAsia="Arial" w:cs="Arial"/>
          <w:sz w:val="20"/>
          <w:szCs w:val="20"/>
        </w:rPr>
      </w:pPr>
      <w:r>
        <w:rPr>
          <w:rFonts w:eastAsia="Arial" w:cs="Arial"/>
          <w:sz w:val="20"/>
          <w:szCs w:val="20"/>
        </w:rPr>
        <w:t>KCD will maintain, in its Business books and records:</w:t>
      </w:r>
    </w:p>
    <w:p>
      <w:pPr>
        <w:numPr>
          <w:ilvl w:val="0"/>
          <w:numId w:val="848"/>
        </w:numPr>
        <w:spacing w:before="200"/>
        <w:ind w:left="720" w:hanging="192"/>
        <w:jc w:val="left"/>
        <w:rPr>
          <w:rFonts w:eastAsia="Arial" w:cs="Arial"/>
          <w:sz w:val="20"/>
          <w:szCs w:val="20"/>
        </w:rPr>
      </w:pPr>
      <w:r>
        <w:rPr>
          <w:rFonts w:eastAsia="Arial" w:cs="Arial"/>
          <w:sz w:val="20"/>
          <w:szCs w:val="20"/>
        </w:rPr>
        <w:t>A journal or journals, including cash receipts and disbursements records, and any other records of original entry forming the basis of entries in a ledger (Rule 204-2(a)(1));</w:t>
      </w:r>
    </w:p>
    <w:p>
      <w:pPr>
        <w:numPr>
          <w:ilvl w:val="0"/>
          <w:numId w:val="848"/>
        </w:numPr>
        <w:ind w:left="720" w:hanging="192"/>
        <w:jc w:val="left"/>
        <w:rPr>
          <w:rFonts w:eastAsia="Arial" w:cs="Arial"/>
          <w:sz w:val="20"/>
          <w:szCs w:val="20"/>
        </w:rPr>
      </w:pPr>
      <w:r>
        <w:rPr>
          <w:rFonts w:eastAsia="Arial" w:cs="Arial"/>
          <w:sz w:val="20"/>
          <w:szCs w:val="20"/>
        </w:rPr>
        <w:t>General and auxiliary ledgers (or other comparable records) reflecting asset, liability, reserve, capital, income and expense accounts (Rule 204-2(a)(2));</w:t>
      </w:r>
    </w:p>
    <w:p>
      <w:pPr>
        <w:numPr>
          <w:ilvl w:val="0"/>
          <w:numId w:val="848"/>
        </w:numPr>
        <w:ind w:left="720" w:hanging="192"/>
        <w:jc w:val="left"/>
        <w:rPr>
          <w:rFonts w:eastAsia="Arial" w:cs="Arial"/>
          <w:sz w:val="20"/>
          <w:szCs w:val="20"/>
        </w:rPr>
      </w:pPr>
      <w:r>
        <w:rPr>
          <w:rFonts w:eastAsia="Arial" w:cs="Arial"/>
          <w:sz w:val="20"/>
          <w:szCs w:val="20"/>
        </w:rPr>
        <w:t>Check books, bank statements, cancelled checks and cash reconciliations of KCD (Rule 204-2(a)(4));</w:t>
      </w:r>
    </w:p>
    <w:p>
      <w:pPr>
        <w:numPr>
          <w:ilvl w:val="0"/>
          <w:numId w:val="848"/>
        </w:numPr>
        <w:ind w:left="720" w:hanging="192"/>
        <w:jc w:val="left"/>
        <w:rPr>
          <w:rFonts w:eastAsia="Arial" w:cs="Arial"/>
          <w:sz w:val="20"/>
          <w:szCs w:val="20"/>
        </w:rPr>
      </w:pPr>
      <w:r>
        <w:rPr>
          <w:rFonts w:eastAsia="Arial" w:cs="Arial"/>
          <w:sz w:val="20"/>
          <w:szCs w:val="20"/>
        </w:rPr>
        <w:t>Bills or statements (or copies thereof), paid or unpaid, relating to KCD's business (Rule 204-2(a)(5));</w:t>
      </w:r>
    </w:p>
    <w:p>
      <w:pPr>
        <w:numPr>
          <w:ilvl w:val="0"/>
          <w:numId w:val="848"/>
        </w:numPr>
        <w:ind w:left="720" w:hanging="192"/>
        <w:jc w:val="left"/>
        <w:rPr>
          <w:rFonts w:eastAsia="Arial" w:cs="Arial"/>
          <w:sz w:val="20"/>
          <w:szCs w:val="20"/>
        </w:rPr>
      </w:pPr>
      <w:r>
        <w:rPr>
          <w:rFonts w:eastAsia="Arial" w:cs="Arial"/>
          <w:sz w:val="20"/>
          <w:szCs w:val="20"/>
        </w:rPr>
        <w:t>Trial balances, financial statements and internal audit working papers relating to KCD's business (Rule 204-2(a)(6));</w:t>
      </w:r>
    </w:p>
    <w:p>
      <w:pPr>
        <w:numPr>
          <w:ilvl w:val="0"/>
          <w:numId w:val="848"/>
        </w:numPr>
        <w:ind w:left="720" w:hanging="192"/>
        <w:jc w:val="left"/>
        <w:rPr>
          <w:rFonts w:eastAsia="Arial" w:cs="Arial"/>
          <w:sz w:val="20"/>
          <w:szCs w:val="20"/>
        </w:rPr>
      </w:pPr>
      <w:r>
        <w:rPr>
          <w:rFonts w:eastAsia="Arial" w:cs="Arial"/>
          <w:sz w:val="20"/>
          <w:szCs w:val="20"/>
        </w:rPr>
        <w:t xml:space="preserve">documents related to the planning for disasters; and </w:t>
      </w:r>
    </w:p>
    <w:p>
      <w:pPr>
        <w:numPr>
          <w:ilvl w:val="0"/>
          <w:numId w:val="848"/>
        </w:numPr>
        <w:spacing w:after="200"/>
        <w:ind w:left="720" w:hanging="192"/>
        <w:jc w:val="left"/>
        <w:rPr>
          <w:rFonts w:eastAsia="Arial" w:cs="Arial"/>
          <w:sz w:val="20"/>
          <w:szCs w:val="20"/>
        </w:rPr>
      </w:pPr>
      <w:r>
        <w:rPr>
          <w:rFonts w:eastAsia="Arial" w:cs="Arial"/>
          <w:sz w:val="20"/>
          <w:szCs w:val="20"/>
        </w:rPr>
        <w:t xml:space="preserve">all documents necessary to support the conclusion that KCD is acting as a business, separate and apart from the affairs of its employees. </w:t>
      </w:r>
    </w:p>
    <w:p>
      <w:pPr>
        <w:rPr>
          <w:rFonts w:ascii="Times New Roman" w:eastAsia="Times New Roman" w:hAnsi="Times New Roman" w:cs="Times New Roman"/>
          <w:sz w:val="24"/>
        </w:rPr>
      </w:pPr>
      <w:bookmarkEnd w:id="1003"/>
    </w:p>
    <w:p>
      <w:r>
        <w:rPr>
          <w:rFonts w:ascii="Times New Roman" w:eastAsia="Times New Roman" w:hAnsi="Times New Roman" w:cs="Times New Roman"/>
          <w:sz w:val="24"/>
        </w:rPr>
        <w:br w:type="page"/>
      </w:r>
    </w:p>
    <w:p>
      <w:pPr>
        <w:pStyle w:val="Heading1"/>
      </w:pPr>
      <w:bookmarkStart w:id="1005" w:name="_Toc256000253"/>
      <w:r>
        <w:t>13 BOOKS AND RECORDS</w:t>
      </w:r>
      <w:bookmarkEnd w:id="1005"/>
    </w:p>
    <w:p>
      <w:bookmarkStart w:id="1006" w:name="Sec_Chp_061016102259171_061016102259218"/>
    </w:p>
    <w:p>
      <w:pPr>
        <w:pStyle w:val="Heading2"/>
      </w:pPr>
      <w:bookmarkStart w:id="1007" w:name="_Toc256000254"/>
      <w:r>
        <w:t>Introduction</w:t>
      </w:r>
      <w:bookmarkEnd w:id="1007"/>
    </w:p>
    <w:p/>
    <w:p>
      <w:pPr>
        <w:rPr>
          <w:rFonts w:eastAsia="Arial" w:cs="Arial"/>
          <w:sz w:val="16"/>
          <w:szCs w:val="16"/>
        </w:rPr>
      </w:pPr>
      <w:r>
        <w:rPr>
          <w:rFonts w:eastAsia="Arial" w:cs="Arial"/>
          <w:sz w:val="16"/>
          <w:szCs w:val="16"/>
        </w:rPr>
        <w:t>[Investment Advisers Act of 1940 Rule 204-2; State law corporate governance recordkeeping provisions]</w:t>
      </w:r>
    </w:p>
    <w:p/>
    <w:p>
      <w:pPr>
        <w:pStyle w:val="normal0"/>
        <w:spacing w:after="200"/>
        <w:rPr>
          <w:rFonts w:eastAsia="Arial" w:cs="Arial"/>
          <w:sz w:val="20"/>
          <w:szCs w:val="20"/>
        </w:rPr>
      </w:pPr>
      <w:r>
        <w:rPr>
          <w:rFonts w:eastAsia="Arial" w:cs="Arial"/>
          <w:sz w:val="20"/>
          <w:szCs w:val="20"/>
        </w:rPr>
        <w:t xml:space="preserve">Rule 204-2 under the Investment Advisers Act of 1940 requires investment advisers to make and keep true, accurate and current records that reflect the advisers' business. Depending on the nature of the adviser's operations, it may be subject to numerous other federal, state and local rules, each of which may have distinct recordkeeping requirements. At a minimum, an investment adviser should have in place a record management system that addresses: (1) the types and form of records to retain, (2) retention periods, and (3) records destruction. </w:t>
      </w:r>
    </w:p>
    <w:p>
      <w:bookmarkEnd w:id="1006"/>
      <w:bookmarkStart w:id="1008" w:name="Sec_Chp_061016102259171_061016102259234"/>
    </w:p>
    <w:p>
      <w:pPr>
        <w:pStyle w:val="Heading2"/>
      </w:pPr>
      <w:bookmarkStart w:id="1009" w:name="_Toc256000255"/>
      <w:r>
        <w:t>13.1 Compliance Reference Chart</w:t>
      </w:r>
      <w:bookmarkEnd w:id="1009"/>
    </w:p>
    <w:p/>
    <w:p>
      <w:pPr>
        <w:rPr>
          <w:rFonts w:eastAsia="Arial" w:cs="Arial"/>
          <w:sz w:val="16"/>
          <w:szCs w:val="16"/>
        </w:rPr>
      </w:pPr>
      <w:r>
        <w:rPr>
          <w:rFonts w:eastAsia="Arial" w:cs="Arial"/>
          <w:sz w:val="16"/>
          <w:szCs w:val="16"/>
        </w:rPr>
        <w:t>[Investment Advisers Act of 1940 Rule 204-2; State law corporate governance recordkeeping provisions]</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49"/>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5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 Management</w:t>
            </w:r>
          </w:p>
          <w:p>
            <w:pPr>
              <w:numPr>
                <w:ilvl w:val="0"/>
                <w:numId w:val="850"/>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p>
            <w:pPr>
              <w:numPr>
                <w:ilvl w:val="0"/>
                <w:numId w:val="850"/>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51"/>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On a given business day, KCD typically generates a number of business records that must be maintained</w:t>
            </w:r>
          </w:p>
          <w:p>
            <w:pPr>
              <w:numPr>
                <w:ilvl w:val="0"/>
                <w:numId w:val="85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Recordkeeping procedures should be periodically tested </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5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204-2 under the Investment Advisers Act of 1940</w:t>
            </w:r>
          </w:p>
          <w:p>
            <w:pPr>
              <w:numPr>
                <w:ilvl w:val="0"/>
                <w:numId w:val="85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State law corporate governance recordkeeping provisions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5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Documents demonstrating compliance with these recordkeeping procedures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5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KCD audits its Books and Records Procedures annually. </w:t>
            </w:r>
          </w:p>
        </w:tc>
      </w:tr>
    </w:tbl>
    <w:p>
      <w:bookmarkEnd w:id="1008"/>
      <w:bookmarkStart w:id="1010" w:name="Sec_Chp_061016102259171_061016102259281"/>
    </w:p>
    <w:p>
      <w:pPr>
        <w:pStyle w:val="Heading2"/>
      </w:pPr>
      <w:bookmarkStart w:id="1011" w:name="_Toc256000256"/>
      <w:r>
        <w:t>13.2 Policy</w:t>
      </w:r>
      <w:bookmarkEnd w:id="1011"/>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create all books and records that are required by law and that all books and records shall be current, accurate and complete.</w:t>
      </w:r>
    </w:p>
    <w:p>
      <w:bookmarkEnd w:id="1010"/>
      <w:bookmarkStart w:id="1012" w:name="Sec_Chp_061016102259171_061016102259296"/>
    </w:p>
    <w:p>
      <w:pPr>
        <w:pStyle w:val="Heading2"/>
      </w:pPr>
      <w:bookmarkStart w:id="1013" w:name="_Toc256000257"/>
      <w:r>
        <w:t>13.3 Procedures</w:t>
      </w:r>
      <w:bookmarkEnd w:id="1013"/>
    </w:p>
    <w:p/>
    <w:p>
      <w:pPr>
        <w:rPr>
          <w:rFonts w:eastAsia="Arial" w:cs="Arial"/>
          <w:sz w:val="16"/>
          <w:szCs w:val="16"/>
        </w:rPr>
      </w:pPr>
    </w:p>
    <w:p>
      <w:bookmarkEnd w:id="1012"/>
      <w:bookmarkStart w:id="1014" w:name="Sec_Chp_061016102259171_061016102259312"/>
    </w:p>
    <w:p>
      <w:pPr>
        <w:pStyle w:val="Heading3"/>
      </w:pPr>
      <w:bookmarkStart w:id="1015" w:name="_Toc256000258"/>
      <w:r>
        <w:t>13.3.1 Required Records</w:t>
      </w:r>
      <w:bookmarkEnd w:id="1015"/>
    </w:p>
    <w:p/>
    <w:p>
      <w:pPr>
        <w:rPr>
          <w:rFonts w:eastAsia="Arial" w:cs="Arial"/>
          <w:sz w:val="16"/>
          <w:szCs w:val="16"/>
        </w:rPr>
      </w:pPr>
      <w:r>
        <w:rPr>
          <w:rFonts w:eastAsia="Arial" w:cs="Arial"/>
          <w:sz w:val="16"/>
          <w:szCs w:val="16"/>
        </w:rPr>
        <w:t>[Investment Advisers Act of 1940 Rule 204-2]</w:t>
      </w:r>
    </w:p>
    <w:p/>
    <w:p>
      <w:pPr>
        <w:pStyle w:val="normal0"/>
        <w:spacing w:after="200"/>
        <w:rPr>
          <w:rFonts w:eastAsia="Arial" w:cs="Arial"/>
          <w:sz w:val="20"/>
          <w:szCs w:val="20"/>
        </w:rPr>
      </w:pPr>
      <w:r>
        <w:rPr>
          <w:rFonts w:eastAsia="Arial" w:cs="Arial"/>
          <w:sz w:val="20"/>
          <w:szCs w:val="20"/>
        </w:rPr>
        <w:t>Each chapter in this Compliance Manual lists records that should be maintained by KCD to comply with SEC rules or as a best practice. The Chief Compliance Officer shall take steps to cause such records to be created and maintained. In addition, the Chief Compliance Officer shall distinguish, mark or segregate those records specifically required to be maintained by Rule 204-2 under the Investment Advisers Act of 1940 ("Rule 204-2 Required Records") from other records retained by KCD pursuant to the requirements of this Compliance Manual, so that KCD may produce the Rule 204-2 Required Records expediently if so requested by an SEC or other government examiner.</w:t>
      </w:r>
    </w:p>
    <w:p>
      <w:bookmarkEnd w:id="1014"/>
      <w:bookmarkStart w:id="1016" w:name="Sec_Chp_061016102259171_061016102259328"/>
    </w:p>
    <w:p>
      <w:pPr>
        <w:pStyle w:val="Heading4"/>
      </w:pPr>
      <w:r>
        <w:t xml:space="preserve">13.3.1.1 Rule 204-2 Required Records </w:t>
      </w:r>
    </w:p>
    <w:p/>
    <w:p>
      <w:pPr>
        <w:rPr>
          <w:rFonts w:eastAsia="Arial" w:cs="Arial"/>
          <w:sz w:val="16"/>
          <w:szCs w:val="16"/>
        </w:rPr>
      </w:pPr>
      <w:r>
        <w:rPr>
          <w:rFonts w:eastAsia="Arial" w:cs="Arial"/>
          <w:sz w:val="16"/>
          <w:szCs w:val="16"/>
        </w:rPr>
        <w:t>[Investment Advisers Act of 1940 Rule 204-2]</w:t>
      </w:r>
    </w:p>
    <w:p/>
    <w:p>
      <w:pPr>
        <w:pStyle w:val="normal0"/>
        <w:spacing w:after="200"/>
        <w:rPr>
          <w:rFonts w:eastAsia="Arial" w:cs="Arial"/>
          <w:sz w:val="20"/>
          <w:szCs w:val="20"/>
        </w:rPr>
      </w:pPr>
      <w:r>
        <w:rPr>
          <w:rFonts w:eastAsia="Arial" w:cs="Arial"/>
          <w:sz w:val="20"/>
          <w:szCs w:val="20"/>
        </w:rPr>
        <w:t xml:space="preserve">The Chief Compliance Officer shall ensure that the following Rule 204-2 Required Records are maintained. The rule requiring each such record is in (parenthesis). Also, the Rule 204-2 Required Records for each chapter in the Compliance Manual are set forth at the end of each chapter. </w:t>
      </w:r>
    </w:p>
    <w:p>
      <w:bookmarkEnd w:id="1016"/>
      <w:bookmarkStart w:id="1017" w:name="Sec_Chp_061016102259171_061016102259343"/>
    </w:p>
    <w:p>
      <w:pPr>
        <w:pStyle w:val="Heading5"/>
      </w:pPr>
      <w:r>
        <w:t>13.3.1.1.1 General Rule 204-2 Required Records</w:t>
      </w:r>
    </w:p>
    <w:p/>
    <w:p>
      <w:pPr>
        <w:rPr>
          <w:rFonts w:eastAsia="Arial" w:cs="Arial"/>
          <w:sz w:val="16"/>
          <w:szCs w:val="16"/>
        </w:rPr>
      </w:pPr>
      <w:r>
        <w:rPr>
          <w:rFonts w:eastAsia="Arial" w:cs="Arial"/>
          <w:sz w:val="16"/>
          <w:szCs w:val="16"/>
        </w:rPr>
        <w:t>[Investment Advisers Act of 1940 Rule 204-2(a)(1), 204-2(a)(2), 204-2(a)(3), 204-2(a)(4), 204-2(a)(5), 204-2(a)(6), 204-2(a)(7), 204-2(a)(8), 204-2(a)(9), 204-2(a)(10), 204-2(a)(11), 204-2(a)(13), 204-2(a)(14), 204-2(a)(15), 204-2(a)(16), 204-3, 204A-1, 204A-1(a)(5), 204A-1(b), 204A-1(c) and 206(4)-1]</w:t>
      </w:r>
    </w:p>
    <w:p/>
    <w:p>
      <w:pPr>
        <w:pStyle w:val="normal0"/>
        <w:spacing w:after="200"/>
        <w:rPr>
          <w:rFonts w:eastAsia="Arial" w:cs="Arial"/>
          <w:sz w:val="20"/>
          <w:szCs w:val="20"/>
        </w:rPr>
      </w:pPr>
      <w:r>
        <w:rPr>
          <w:rFonts w:eastAsia="Arial" w:cs="Arial"/>
          <w:sz w:val="20"/>
          <w:szCs w:val="20"/>
        </w:rPr>
        <w:t>KCD shall make and keep true, accurate and current the following general books and records relating to its investment advisory business:</w:t>
      </w:r>
    </w:p>
    <w:p>
      <w:pPr>
        <w:pStyle w:val="normal0"/>
        <w:spacing w:before="200" w:after="200"/>
        <w:rPr>
          <w:rFonts w:eastAsia="Arial" w:cs="Arial"/>
          <w:sz w:val="20"/>
          <w:szCs w:val="20"/>
        </w:rPr>
      </w:pPr>
      <w:r>
        <w:rPr>
          <w:rFonts w:eastAsia="Arial" w:cs="Arial"/>
          <w:sz w:val="20"/>
          <w:szCs w:val="20"/>
        </w:rPr>
        <w:t>1. A journal or journals, including cash receipts and disbursements records, and any other records of original entry forming the basis of entries in a ledger (Rule 204-2(a)(1)).</w:t>
      </w:r>
    </w:p>
    <w:p>
      <w:pPr>
        <w:pStyle w:val="normal0"/>
        <w:spacing w:before="200" w:after="200"/>
        <w:rPr>
          <w:rFonts w:eastAsia="Arial" w:cs="Arial"/>
          <w:sz w:val="20"/>
          <w:szCs w:val="20"/>
        </w:rPr>
      </w:pPr>
      <w:r>
        <w:rPr>
          <w:rFonts w:eastAsia="Arial" w:cs="Arial"/>
          <w:sz w:val="20"/>
          <w:szCs w:val="20"/>
        </w:rPr>
        <w:t>2. General and auxiliary ledgers (or other comparable records) reflecting asset, liability, reserve, capital, income and expense accounts (Rule 204-2(a)(2)).</w:t>
      </w:r>
    </w:p>
    <w:p>
      <w:pPr>
        <w:pStyle w:val="normal0"/>
        <w:spacing w:before="200" w:after="200"/>
        <w:rPr>
          <w:rFonts w:eastAsia="Arial" w:cs="Arial"/>
          <w:sz w:val="20"/>
          <w:szCs w:val="20"/>
        </w:rPr>
      </w:pPr>
      <w:r>
        <w:rPr>
          <w:rFonts w:eastAsia="Arial" w:cs="Arial"/>
          <w:sz w:val="20"/>
          <w:szCs w:val="20"/>
        </w:rPr>
        <w:t xml:space="preserve">3. A memorandum of each order given by KCD for the purchase or sale of any security, of any instruction received by KCD concerning the purchase, sale, receipt or delivery of a particular security, and of any modification or cancellation of any such order or instruction. Such memoranda shall show the terms and conditions of the order, instruction, modification or cancellation; shall identify the person connected with KCD who recommended the transaction to the client and the person who placed such order; and shall show the account for which entered, the date of entry, and the bank, broker or dealer by or through whom executed where appropriate. Orders entered pursuant to the exercise of discretionary power shall be so designated (Rule 204-2(a)(3)). </w:t>
      </w:r>
    </w:p>
    <w:p>
      <w:pPr>
        <w:pStyle w:val="normal0"/>
        <w:spacing w:before="200" w:after="200"/>
        <w:rPr>
          <w:rFonts w:eastAsia="Arial" w:cs="Arial"/>
          <w:sz w:val="20"/>
          <w:szCs w:val="20"/>
        </w:rPr>
      </w:pPr>
      <w:r>
        <w:rPr>
          <w:rFonts w:eastAsia="Arial" w:cs="Arial"/>
          <w:sz w:val="20"/>
          <w:szCs w:val="20"/>
        </w:rPr>
        <w:t>4. Check books, bank statements, canceled checks and cash reconciliations of KCD (Rule 204-2(a)(4)).</w:t>
      </w:r>
    </w:p>
    <w:p>
      <w:pPr>
        <w:pStyle w:val="normal0"/>
        <w:spacing w:before="200" w:after="200"/>
        <w:rPr>
          <w:rFonts w:eastAsia="Arial" w:cs="Arial"/>
          <w:sz w:val="20"/>
          <w:szCs w:val="20"/>
        </w:rPr>
      </w:pPr>
      <w:r>
        <w:rPr>
          <w:rFonts w:eastAsia="Arial" w:cs="Arial"/>
          <w:sz w:val="20"/>
          <w:szCs w:val="20"/>
        </w:rPr>
        <w:t>5. Bills or statements (or copies thereof), paid or unpaid, relating to KCD's business (Rule 204-2(a)(5)).</w:t>
      </w:r>
    </w:p>
    <w:p>
      <w:pPr>
        <w:pStyle w:val="normal0"/>
        <w:spacing w:before="200" w:after="200"/>
        <w:rPr>
          <w:rFonts w:eastAsia="Arial" w:cs="Arial"/>
          <w:sz w:val="20"/>
          <w:szCs w:val="20"/>
        </w:rPr>
      </w:pPr>
      <w:r>
        <w:rPr>
          <w:rFonts w:eastAsia="Arial" w:cs="Arial"/>
          <w:sz w:val="20"/>
          <w:szCs w:val="20"/>
        </w:rPr>
        <w:t>6. Trial balances, financial statements and internal audit working papers relating to KCD's business (Rule 204-2(a)(6)).</w:t>
      </w:r>
    </w:p>
    <w:p>
      <w:pPr>
        <w:pStyle w:val="normal0"/>
        <w:spacing w:before="200" w:after="200"/>
        <w:rPr>
          <w:rFonts w:eastAsia="Arial" w:cs="Arial"/>
          <w:sz w:val="20"/>
          <w:szCs w:val="20"/>
        </w:rPr>
      </w:pPr>
      <w:r>
        <w:rPr>
          <w:rFonts w:eastAsia="Arial" w:cs="Arial"/>
          <w:sz w:val="20"/>
          <w:szCs w:val="20"/>
        </w:rPr>
        <w:t>7. Originals of all written communications received and copies of all written communications sent by KCD relating to:</w:t>
      </w:r>
    </w:p>
    <w:p>
      <w:pPr>
        <w:numPr>
          <w:ilvl w:val="0"/>
          <w:numId w:val="855"/>
        </w:numPr>
        <w:spacing w:before="200"/>
        <w:ind w:left="720" w:hanging="192"/>
        <w:jc w:val="left"/>
        <w:rPr>
          <w:rFonts w:eastAsia="Arial" w:cs="Arial"/>
          <w:sz w:val="20"/>
          <w:szCs w:val="20"/>
        </w:rPr>
      </w:pPr>
      <w:r>
        <w:rPr>
          <w:rFonts w:eastAsia="Arial" w:cs="Arial"/>
          <w:sz w:val="20"/>
          <w:szCs w:val="20"/>
        </w:rPr>
        <w:t>Any recommendation made or proposed to be made and any advice given or proposed to be given;</w:t>
      </w:r>
    </w:p>
    <w:p>
      <w:pPr>
        <w:numPr>
          <w:ilvl w:val="0"/>
          <w:numId w:val="855"/>
        </w:numPr>
        <w:ind w:left="720" w:hanging="192"/>
        <w:jc w:val="left"/>
        <w:rPr>
          <w:rFonts w:eastAsia="Arial" w:cs="Arial"/>
          <w:sz w:val="20"/>
          <w:szCs w:val="20"/>
        </w:rPr>
      </w:pPr>
      <w:r>
        <w:rPr>
          <w:rFonts w:eastAsia="Arial" w:cs="Arial"/>
          <w:sz w:val="20"/>
          <w:szCs w:val="20"/>
        </w:rPr>
        <w:t>Any receipt, disbursement or delivery of funds or securities;</w:t>
      </w:r>
    </w:p>
    <w:p>
      <w:pPr>
        <w:numPr>
          <w:ilvl w:val="0"/>
          <w:numId w:val="855"/>
        </w:numPr>
        <w:ind w:left="720" w:hanging="192"/>
        <w:jc w:val="left"/>
        <w:rPr>
          <w:rFonts w:eastAsia="Arial" w:cs="Arial"/>
          <w:sz w:val="20"/>
          <w:szCs w:val="20"/>
        </w:rPr>
      </w:pPr>
      <w:r>
        <w:rPr>
          <w:rFonts w:eastAsia="Arial" w:cs="Arial"/>
          <w:sz w:val="20"/>
          <w:szCs w:val="20"/>
        </w:rPr>
        <w:t>The placing or execution of any order to purchase or sell any security; each confirmation received, and any allocation and each affirmation sent or received, with a date and time stamp for each allocation and affirmation that indicates when the allocation and affirmation was sent or received;</w:t>
      </w:r>
    </w:p>
    <w:p>
      <w:pPr>
        <w:numPr>
          <w:ilvl w:val="0"/>
          <w:numId w:val="855"/>
        </w:numPr>
        <w:ind w:left="720" w:hanging="192"/>
        <w:jc w:val="left"/>
        <w:rPr>
          <w:rFonts w:eastAsia="Arial" w:cs="Arial"/>
          <w:sz w:val="20"/>
          <w:szCs w:val="20"/>
        </w:rPr>
      </w:pPr>
      <w:r>
        <w:rPr>
          <w:rFonts w:eastAsia="Arial" w:cs="Arial"/>
          <w:sz w:val="20"/>
          <w:szCs w:val="20"/>
        </w:rPr>
        <w:t>Predecessor performance and the performance or rate of return of any or all managed accounts, portfolios, or securities recommendations; provided, however:</w:t>
      </w:r>
    </w:p>
    <w:p>
      <w:pPr>
        <w:numPr>
          <w:ilvl w:val="1"/>
          <w:numId w:val="855"/>
        </w:numPr>
        <w:ind w:left="1440" w:hanging="220"/>
        <w:jc w:val="left"/>
        <w:rPr>
          <w:rFonts w:eastAsia="Arial" w:cs="Arial"/>
          <w:sz w:val="20"/>
          <w:szCs w:val="20"/>
        </w:rPr>
      </w:pPr>
      <w:r>
        <w:rPr>
          <w:rFonts w:eastAsia="Arial" w:cs="Arial"/>
          <w:sz w:val="20"/>
          <w:szCs w:val="20"/>
        </w:rPr>
        <w:t>That KCD shall not be required to keep any unsolicited market letters and other similar communications of general public distribution not prepared by or for the investment adviser; and</w:t>
      </w:r>
    </w:p>
    <w:p>
      <w:pPr>
        <w:numPr>
          <w:ilvl w:val="1"/>
          <w:numId w:val="855"/>
        </w:numPr>
        <w:ind w:left="1440" w:hanging="220"/>
        <w:jc w:val="left"/>
        <w:rPr>
          <w:rFonts w:eastAsia="Arial" w:cs="Arial"/>
          <w:sz w:val="20"/>
          <w:szCs w:val="20"/>
        </w:rPr>
      </w:pPr>
      <w:r>
        <w:rPr>
          <w:rFonts w:eastAsia="Arial" w:cs="Arial"/>
          <w:sz w:val="20"/>
          <w:szCs w:val="20"/>
        </w:rPr>
        <w:t>That if KCD sends any notice, circular, or other advertisement offering any report, analysis, publication or other investment advisory service to more than ten persons, KCD shall not be required to keep a record of the names and addresses of the persons to whom it was sent; except that if such notice, circular, or advertisement is distributed to persons named on any list, KCD shall retain with the copy of such notice, circular, or advertisement a memorandum describing the list and the source thereof; and</w:t>
      </w:r>
    </w:p>
    <w:p>
      <w:pPr>
        <w:numPr>
          <w:ilvl w:val="0"/>
          <w:numId w:val="855"/>
        </w:numPr>
        <w:spacing w:after="200"/>
        <w:ind w:left="720" w:hanging="192"/>
        <w:jc w:val="left"/>
        <w:rPr>
          <w:rFonts w:eastAsia="Arial" w:cs="Arial"/>
          <w:sz w:val="20"/>
          <w:szCs w:val="20"/>
        </w:rPr>
      </w:pPr>
      <w:r>
        <w:rPr>
          <w:rFonts w:eastAsia="Arial" w:cs="Arial"/>
          <w:sz w:val="20"/>
          <w:szCs w:val="20"/>
        </w:rPr>
        <w:t xml:space="preserve">Any notice required pursuant to the Advisers Act as well as a record of each addressee and the corresponding date(s) sent (Rule 204-2(a)(7)). </w:t>
      </w:r>
    </w:p>
    <w:p>
      <w:pPr>
        <w:pStyle w:val="normal0"/>
        <w:spacing w:before="200" w:after="200"/>
        <w:rPr>
          <w:rFonts w:eastAsia="Arial" w:cs="Arial"/>
          <w:sz w:val="20"/>
          <w:szCs w:val="20"/>
        </w:rPr>
      </w:pPr>
      <w:r>
        <w:rPr>
          <w:rFonts w:eastAsia="Arial" w:cs="Arial"/>
          <w:sz w:val="20"/>
          <w:szCs w:val="20"/>
        </w:rPr>
        <w:t>8. A list or other record of all accounts in which KCD is vested with any discretionary power with respect to the funds, securities or transactions of any client (Rule 204-2(a)(8)).</w:t>
      </w:r>
    </w:p>
    <w:p>
      <w:pPr>
        <w:pStyle w:val="normal0"/>
        <w:spacing w:before="200" w:after="200"/>
        <w:rPr>
          <w:rFonts w:eastAsia="Arial" w:cs="Arial"/>
          <w:sz w:val="20"/>
          <w:szCs w:val="20"/>
        </w:rPr>
      </w:pPr>
      <w:r>
        <w:rPr>
          <w:rFonts w:eastAsia="Arial" w:cs="Arial"/>
          <w:sz w:val="20"/>
          <w:szCs w:val="20"/>
        </w:rPr>
        <w:t>9. All powers of attorney and other evidences of the granting of any discretionary authority by any client to KCD, or copies thereof (Rule 204-2(a)(9)).</w:t>
      </w:r>
    </w:p>
    <w:p>
      <w:pPr>
        <w:pStyle w:val="normal0"/>
        <w:spacing w:before="200" w:after="200"/>
        <w:rPr>
          <w:rFonts w:eastAsia="Arial" w:cs="Arial"/>
          <w:sz w:val="20"/>
          <w:szCs w:val="20"/>
        </w:rPr>
      </w:pPr>
      <w:r>
        <w:rPr>
          <w:rFonts w:eastAsia="Arial" w:cs="Arial"/>
          <w:sz w:val="20"/>
          <w:szCs w:val="20"/>
        </w:rPr>
        <w:t>10. All written agreements (or copies thereof) entered into by KCD with any client or otherwise relating to the business of KCD (Rule 204-2(a)(10)).</w:t>
      </w:r>
    </w:p>
    <w:p>
      <w:pPr>
        <w:pStyle w:val="normal0"/>
        <w:spacing w:before="200" w:after="200"/>
        <w:rPr>
          <w:rFonts w:eastAsia="Arial" w:cs="Arial"/>
          <w:sz w:val="20"/>
          <w:szCs w:val="20"/>
        </w:rPr>
      </w:pPr>
      <w:r>
        <w:rPr>
          <w:rFonts w:eastAsia="Arial" w:cs="Arial"/>
          <w:sz w:val="20"/>
          <w:szCs w:val="20"/>
        </w:rPr>
        <w:t xml:space="preserve">11. </w:t>
      </w:r>
    </w:p>
    <w:p>
      <w:pPr>
        <w:numPr>
          <w:ilvl w:val="0"/>
          <w:numId w:val="856"/>
        </w:numPr>
        <w:spacing w:before="200"/>
        <w:ind w:left="720" w:hanging="192"/>
        <w:jc w:val="left"/>
        <w:rPr>
          <w:rFonts w:eastAsia="Arial" w:cs="Arial"/>
          <w:sz w:val="20"/>
          <w:szCs w:val="20"/>
        </w:rPr>
      </w:pPr>
      <w:r>
        <w:rPr>
          <w:rFonts w:eastAsia="Arial" w:cs="Arial"/>
          <w:sz w:val="20"/>
          <w:szCs w:val="20"/>
        </w:rPr>
        <w:t xml:space="preserve">Advertisement that KCD disseminates, directly or indirectly, except: </w:t>
      </w:r>
    </w:p>
    <w:p>
      <w:pPr>
        <w:numPr>
          <w:ilvl w:val="1"/>
          <w:numId w:val="856"/>
        </w:numPr>
        <w:ind w:left="1440" w:hanging="220"/>
        <w:jc w:val="left"/>
        <w:rPr>
          <w:rFonts w:eastAsia="Arial" w:cs="Arial"/>
          <w:sz w:val="20"/>
          <w:szCs w:val="20"/>
        </w:rPr>
      </w:pPr>
      <w:r>
        <w:rPr>
          <w:rFonts w:eastAsia="Arial" w:cs="Arial"/>
          <w:sz w:val="20"/>
          <w:szCs w:val="20"/>
        </w:rPr>
        <w:t>For oral advertisements, KCD may instead retain a copy of any written or recorded materials used by the adviser in connection with the oral advertisement; and</w:t>
      </w:r>
    </w:p>
    <w:p>
      <w:pPr>
        <w:numPr>
          <w:ilvl w:val="1"/>
          <w:numId w:val="856"/>
        </w:numPr>
        <w:ind w:left="1440" w:hanging="220"/>
        <w:jc w:val="left"/>
        <w:rPr>
          <w:rFonts w:eastAsia="Arial" w:cs="Arial"/>
          <w:sz w:val="20"/>
          <w:szCs w:val="20"/>
        </w:rPr>
      </w:pPr>
      <w:r>
        <w:rPr>
          <w:rFonts w:eastAsia="Arial" w:cs="Arial"/>
          <w:sz w:val="20"/>
          <w:szCs w:val="20"/>
        </w:rPr>
        <w:t>For compensated oral testimonials and endorsements, KCD may instead make and keep a record of the disclosures provided to clients; and</w:t>
      </w:r>
    </w:p>
    <w:p>
      <w:pPr>
        <w:numPr>
          <w:ilvl w:val="0"/>
          <w:numId w:val="856"/>
        </w:numPr>
        <w:ind w:left="720" w:hanging="192"/>
        <w:jc w:val="left"/>
        <w:rPr>
          <w:rFonts w:eastAsia="Arial" w:cs="Arial"/>
          <w:sz w:val="20"/>
          <w:szCs w:val="20"/>
        </w:rPr>
      </w:pPr>
      <w:r>
        <w:rPr>
          <w:rFonts w:eastAsia="Arial" w:cs="Arial"/>
          <w:sz w:val="20"/>
          <w:szCs w:val="20"/>
        </w:rPr>
        <w:t xml:space="preserve">Notice, circular, newspaper article, investment letter, bulletin, or other communication that KCD disseminates, directly or indirectly, to ten or more persons (other than persons associated with KCD); and </w:t>
      </w:r>
    </w:p>
    <w:p>
      <w:pPr>
        <w:numPr>
          <w:ilvl w:val="0"/>
          <w:numId w:val="856"/>
        </w:numPr>
        <w:ind w:left="720" w:hanging="192"/>
        <w:jc w:val="left"/>
        <w:rPr>
          <w:rFonts w:eastAsia="Arial" w:cs="Arial"/>
          <w:sz w:val="20"/>
          <w:szCs w:val="20"/>
        </w:rPr>
      </w:pPr>
      <w:r>
        <w:rPr>
          <w:rFonts w:eastAsia="Arial" w:cs="Arial"/>
          <w:sz w:val="20"/>
          <w:szCs w:val="20"/>
        </w:rPr>
        <w:t>If such notice, circular, advertisement, newspaper article, investment letter, bulletin, or other communication recommends the purchase or sale of a specific security and does not state the reasons for such recommendation, a memorandum of KCD indicating the reasons therefor; and</w:t>
      </w:r>
    </w:p>
    <w:p>
      <w:pPr>
        <w:numPr>
          <w:ilvl w:val="0"/>
          <w:numId w:val="856"/>
        </w:numPr>
        <w:spacing w:after="200"/>
        <w:ind w:left="720" w:hanging="192"/>
        <w:jc w:val="left"/>
        <w:rPr>
          <w:rFonts w:eastAsia="Arial" w:cs="Arial"/>
          <w:sz w:val="20"/>
          <w:szCs w:val="20"/>
        </w:rPr>
      </w:pPr>
      <w:r>
        <w:rPr>
          <w:rFonts w:eastAsia="Arial" w:cs="Arial"/>
          <w:sz w:val="20"/>
          <w:szCs w:val="20"/>
        </w:rPr>
        <w:t>A copy of any questionnaire or survey used in the preparation of a third-party rating included or appearing in any advertisement in the event the adviser obtains a copy of the questionnaire or survey.</w:t>
      </w:r>
    </w:p>
    <w:p>
      <w:pPr>
        <w:pStyle w:val="normal0"/>
        <w:spacing w:before="200" w:after="200"/>
        <w:rPr>
          <w:rFonts w:eastAsia="Arial" w:cs="Arial"/>
          <w:sz w:val="20"/>
          <w:szCs w:val="20"/>
        </w:rPr>
      </w:pPr>
      <w:r>
        <w:rPr>
          <w:rFonts w:eastAsia="Arial" w:cs="Arial"/>
          <w:sz w:val="20"/>
          <w:szCs w:val="20"/>
        </w:rPr>
        <w:t xml:space="preserve">12. </w:t>
      </w:r>
    </w:p>
    <w:p>
      <w:pPr>
        <w:numPr>
          <w:ilvl w:val="0"/>
          <w:numId w:val="857"/>
        </w:numPr>
        <w:spacing w:before="200"/>
        <w:ind w:left="720" w:hanging="192"/>
        <w:jc w:val="left"/>
        <w:rPr>
          <w:rFonts w:eastAsia="Arial" w:cs="Arial"/>
          <w:sz w:val="20"/>
          <w:szCs w:val="20"/>
        </w:rPr>
      </w:pPr>
      <w:r>
        <w:rPr>
          <w:rFonts w:eastAsia="Arial" w:cs="Arial"/>
          <w:sz w:val="20"/>
          <w:szCs w:val="20"/>
        </w:rPr>
        <w:t>A copy of KCD's code of ethics adopted and implemented pursuant to Rule 204A-1 that is in effect or at any time within the past five years was in effect;</w:t>
      </w:r>
    </w:p>
    <w:p>
      <w:pPr>
        <w:numPr>
          <w:ilvl w:val="0"/>
          <w:numId w:val="857"/>
        </w:numPr>
        <w:ind w:left="720" w:hanging="192"/>
        <w:jc w:val="left"/>
        <w:rPr>
          <w:rFonts w:eastAsia="Arial" w:cs="Arial"/>
          <w:sz w:val="20"/>
          <w:szCs w:val="20"/>
        </w:rPr>
      </w:pPr>
      <w:r>
        <w:rPr>
          <w:rFonts w:eastAsia="Arial" w:cs="Arial"/>
          <w:sz w:val="20"/>
          <w:szCs w:val="20"/>
        </w:rPr>
        <w:t xml:space="preserve">A record of any violation of the code of ethics and of any action taken as a result of the violation; and </w:t>
      </w:r>
    </w:p>
    <w:p>
      <w:pPr>
        <w:numPr>
          <w:ilvl w:val="0"/>
          <w:numId w:val="857"/>
        </w:numPr>
        <w:spacing w:after="200"/>
        <w:ind w:left="720" w:hanging="192"/>
        <w:jc w:val="left"/>
        <w:rPr>
          <w:rFonts w:eastAsia="Arial" w:cs="Arial"/>
          <w:sz w:val="20"/>
          <w:szCs w:val="20"/>
        </w:rPr>
      </w:pPr>
      <w:r>
        <w:rPr>
          <w:rFonts w:eastAsia="Arial" w:cs="Arial"/>
          <w:sz w:val="20"/>
          <w:szCs w:val="20"/>
        </w:rPr>
        <w:t>A record of all written acknowledgments as required by Rule 204A-1(a)(5) for each person who is currently, or within the past five years was, a supervised person of KCD.</w:t>
      </w:r>
    </w:p>
    <w:p>
      <w:pPr>
        <w:pStyle w:val="normal0"/>
        <w:spacing w:before="200" w:after="200"/>
        <w:rPr>
          <w:rFonts w:eastAsia="Arial" w:cs="Arial"/>
          <w:sz w:val="20"/>
          <w:szCs w:val="20"/>
        </w:rPr>
      </w:pPr>
      <w:r>
        <w:rPr>
          <w:rFonts w:eastAsia="Arial" w:cs="Arial"/>
          <w:sz w:val="20"/>
          <w:szCs w:val="20"/>
        </w:rPr>
        <w:t>13. The following Code of Ethics related records:</w:t>
      </w:r>
    </w:p>
    <w:p>
      <w:pPr>
        <w:numPr>
          <w:ilvl w:val="0"/>
          <w:numId w:val="858"/>
        </w:numPr>
        <w:spacing w:before="200"/>
        <w:ind w:left="720" w:hanging="192"/>
        <w:jc w:val="left"/>
        <w:rPr>
          <w:rFonts w:eastAsia="Arial" w:cs="Arial"/>
          <w:sz w:val="20"/>
          <w:szCs w:val="20"/>
        </w:rPr>
      </w:pPr>
      <w:r>
        <w:rPr>
          <w:rFonts w:eastAsia="Arial" w:cs="Arial"/>
          <w:sz w:val="20"/>
          <w:szCs w:val="20"/>
        </w:rPr>
        <w:t>A copy of KCD's Code of Ethics adopted and implemented pursuant to Rule 204A-1 that is in effect, or at any time within the past five years was in effect;</w:t>
      </w:r>
    </w:p>
    <w:p>
      <w:pPr>
        <w:numPr>
          <w:ilvl w:val="0"/>
          <w:numId w:val="858"/>
        </w:numPr>
        <w:ind w:left="720" w:hanging="192"/>
        <w:jc w:val="left"/>
        <w:rPr>
          <w:rFonts w:eastAsia="Arial" w:cs="Arial"/>
          <w:sz w:val="20"/>
          <w:szCs w:val="20"/>
        </w:rPr>
      </w:pPr>
      <w:r>
        <w:rPr>
          <w:rFonts w:eastAsia="Arial" w:cs="Arial"/>
          <w:sz w:val="20"/>
          <w:szCs w:val="20"/>
        </w:rPr>
        <w:t>A record of any violation of the Code of Ethics, and of any action taken as a result of the violation;</w:t>
      </w:r>
    </w:p>
    <w:p>
      <w:pPr>
        <w:numPr>
          <w:ilvl w:val="0"/>
          <w:numId w:val="858"/>
        </w:numPr>
        <w:ind w:left="720" w:hanging="192"/>
        <w:jc w:val="left"/>
        <w:rPr>
          <w:rFonts w:eastAsia="Arial" w:cs="Arial"/>
          <w:sz w:val="20"/>
          <w:szCs w:val="20"/>
        </w:rPr>
      </w:pPr>
      <w:r>
        <w:rPr>
          <w:rFonts w:eastAsia="Arial" w:cs="Arial"/>
          <w:sz w:val="20"/>
          <w:szCs w:val="20"/>
        </w:rPr>
        <w:t>A record of all written acknowledgments as required by Rule 204A-1(a)(5) for each person who is currently, or within the past five years was, a supervised person of KCD;</w:t>
      </w:r>
    </w:p>
    <w:p>
      <w:pPr>
        <w:numPr>
          <w:ilvl w:val="0"/>
          <w:numId w:val="858"/>
        </w:numPr>
        <w:ind w:left="720" w:hanging="192"/>
        <w:jc w:val="left"/>
        <w:rPr>
          <w:rFonts w:eastAsia="Arial" w:cs="Arial"/>
          <w:sz w:val="20"/>
          <w:szCs w:val="20"/>
        </w:rPr>
      </w:pPr>
      <w:r>
        <w:rPr>
          <w:rFonts w:eastAsia="Arial" w:cs="Arial"/>
          <w:sz w:val="20"/>
          <w:szCs w:val="20"/>
        </w:rPr>
        <w:t xml:space="preserve">A record of each report made by an access person as required by Rule 204A-1(b), including any information provided under paragraph (b)(3)(iii) of that rule in lieu of such reports; </w:t>
      </w:r>
    </w:p>
    <w:p>
      <w:pPr>
        <w:numPr>
          <w:ilvl w:val="0"/>
          <w:numId w:val="858"/>
        </w:numPr>
        <w:ind w:left="720" w:hanging="192"/>
        <w:jc w:val="left"/>
        <w:rPr>
          <w:rFonts w:eastAsia="Arial" w:cs="Arial"/>
          <w:sz w:val="20"/>
          <w:szCs w:val="20"/>
        </w:rPr>
      </w:pPr>
      <w:r>
        <w:rPr>
          <w:rFonts w:eastAsia="Arial" w:cs="Arial"/>
          <w:sz w:val="20"/>
          <w:szCs w:val="20"/>
        </w:rPr>
        <w:t>A record of the names of persons who are currently, or within the past five years were, access persons of KCD;</w:t>
      </w:r>
    </w:p>
    <w:p>
      <w:pPr>
        <w:numPr>
          <w:ilvl w:val="0"/>
          <w:numId w:val="858"/>
        </w:numPr>
        <w:spacing w:after="200"/>
        <w:ind w:left="720" w:hanging="192"/>
        <w:jc w:val="left"/>
        <w:rPr>
          <w:rFonts w:eastAsia="Arial" w:cs="Arial"/>
          <w:sz w:val="20"/>
          <w:szCs w:val="20"/>
        </w:rPr>
      </w:pPr>
      <w:r>
        <w:rPr>
          <w:rFonts w:eastAsia="Arial" w:cs="Arial"/>
          <w:sz w:val="20"/>
          <w:szCs w:val="20"/>
        </w:rPr>
        <w:t xml:space="preserve">A record of any decision, and the reasons supporting the decision, to approve the acquisition of securities by access persons under Rule 204A-1(c) for at least five years after the end of the fiscal year in which the approval is granted; and </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KCD should note that it shall not be deemed to have violated the provisions of this section or paragraph (a)(13) of Rule 204-2 under the Investment Advisers Act of 1940 because of its failure to record securities transactions of any advisory representative if it establishes that it instituted adequate procedures and used reasonable diligence to obtain promptly reports of all transactions required to be recorded.</w:t>
            </w:r>
          </w:p>
        </w:tc>
      </w:tr>
    </w:tbl>
    <w:p>
      <w:pPr>
        <w:pStyle w:val="normal0"/>
        <w:spacing w:before="200" w:after="200"/>
        <w:rPr>
          <w:rFonts w:eastAsia="Arial" w:cs="Arial"/>
          <w:sz w:val="20"/>
          <w:szCs w:val="20"/>
        </w:rPr>
      </w:pPr>
      <w:r>
        <w:rPr>
          <w:rFonts w:eastAsia="Arial" w:cs="Arial"/>
          <w:sz w:val="20"/>
          <w:szCs w:val="20"/>
        </w:rPr>
        <w:br/>
      </w:r>
      <w:r>
        <w:rPr>
          <w:rFonts w:eastAsia="Arial" w:cs="Arial"/>
          <w:sz w:val="20"/>
          <w:szCs w:val="20"/>
        </w:rPr>
        <w:t>14. A copy of each Firm Brochure and each amendment or revision thereof, given or sent to any client or prospective client of KCD in accordance with the provisions of Rule 204-3 under the Investment Advisers Act of 1940, and a record of the dates that each Firm Brochure, and each amendment or revision thereof, was given or offered to be given, to any client or prospective client who subsequently becomes a client (Rule 204-2(a)(14)).</w:t>
      </w:r>
    </w:p>
    <w:p>
      <w:pPr>
        <w:pStyle w:val="normal0"/>
        <w:spacing w:before="200" w:after="200"/>
        <w:rPr>
          <w:rFonts w:eastAsia="Arial" w:cs="Arial"/>
          <w:sz w:val="20"/>
          <w:szCs w:val="20"/>
        </w:rPr>
      </w:pPr>
      <w:r>
        <w:rPr>
          <w:rFonts w:eastAsia="Arial" w:cs="Arial"/>
          <w:sz w:val="20"/>
          <w:szCs w:val="20"/>
        </w:rPr>
        <w:t>15. All written acknowledgments of receipt obtained from clients pursuant to Rule 206(4)-3 (the cash solicitation rule) and copies of the disclosure documents delivered to clients by solicitors pursuant to Rule 206(4)-3 (Rule 204-2(a)(15)).</w:t>
      </w:r>
    </w:p>
    <w:p>
      <w:pPr>
        <w:pStyle w:val="normal0"/>
        <w:spacing w:before="200" w:after="200"/>
        <w:rPr>
          <w:rFonts w:eastAsia="Arial" w:cs="Arial"/>
          <w:sz w:val="20"/>
          <w:szCs w:val="20"/>
        </w:rPr>
      </w:pPr>
      <w:r>
        <w:rPr>
          <w:rFonts w:eastAsia="Arial" w:cs="Arial"/>
          <w:sz w:val="20"/>
          <w:szCs w:val="20"/>
        </w:rPr>
        <w:t xml:space="preserve">16. </w:t>
      </w:r>
    </w:p>
    <w:p>
      <w:pPr>
        <w:numPr>
          <w:ilvl w:val="0"/>
          <w:numId w:val="859"/>
        </w:numPr>
        <w:spacing w:before="200"/>
        <w:ind w:left="720" w:hanging="192"/>
        <w:jc w:val="left"/>
        <w:rPr>
          <w:rFonts w:eastAsia="Arial" w:cs="Arial"/>
          <w:sz w:val="20"/>
          <w:szCs w:val="20"/>
        </w:rPr>
      </w:pPr>
      <w:r>
        <w:rPr>
          <w:rFonts w:eastAsia="Arial" w:cs="Arial"/>
          <w:sz w:val="20"/>
          <w:szCs w:val="20"/>
        </w:rPr>
        <w:t>All accounts, books, internal working papers, and any other records or documents that are necessary to form the basis for or demonstrate the calculation of any performance or rate of return of any or all managed accounts, portfolios, or securities recommendations presented in any notice, circular, advertisement, newspaper article, investment letter, bulletin, or other communication that KCD disseminates, directly or indirectly, to any person (other than persons associated with KCD), including copies of all information provided or offered pursuant to Rule 206(4)-1(d)(6); provided, however, that, with respect to the performance of managed accounts, the retention of all account statements, if they reflect all debits, credits, and other transactions in a client's or investor's account for the period of the statement, and all worksheets necessary to demonstrate the calculation of the performance or rate of return of all managed accounts shall be deemed to satisfy the requirements of this paragraph (Rule 204-2(a)(16)); and</w:t>
      </w:r>
    </w:p>
    <w:p>
      <w:pPr>
        <w:numPr>
          <w:ilvl w:val="0"/>
          <w:numId w:val="859"/>
        </w:numPr>
        <w:spacing w:after="200"/>
        <w:ind w:left="720" w:hanging="192"/>
        <w:jc w:val="left"/>
        <w:rPr>
          <w:rFonts w:eastAsia="Arial" w:cs="Arial"/>
          <w:sz w:val="20"/>
          <w:szCs w:val="20"/>
        </w:rPr>
      </w:pPr>
      <w:r>
        <w:rPr>
          <w:rFonts w:eastAsia="Arial" w:cs="Arial"/>
          <w:sz w:val="20"/>
          <w:szCs w:val="20"/>
        </w:rPr>
        <w:t>If KCD advertises predecessor performance, the performance or rate of return of any or all managed accounts, portfolios and/or securities recommendations support that presentation.</w:t>
      </w:r>
    </w:p>
    <w:p>
      <w:pPr>
        <w:pStyle w:val="normal0"/>
        <w:spacing w:before="200" w:after="200"/>
        <w:rPr>
          <w:rFonts w:eastAsia="Arial" w:cs="Arial"/>
          <w:sz w:val="20"/>
          <w:szCs w:val="20"/>
        </w:rPr>
      </w:pPr>
      <w:r>
        <w:rPr>
          <w:rFonts w:eastAsia="Arial" w:cs="Arial"/>
          <w:sz w:val="20"/>
          <w:szCs w:val="20"/>
        </w:rPr>
        <w:t xml:space="preserve">17. </w:t>
      </w:r>
    </w:p>
    <w:p>
      <w:pPr>
        <w:numPr>
          <w:ilvl w:val="0"/>
          <w:numId w:val="860"/>
        </w:numPr>
        <w:spacing w:before="200"/>
        <w:ind w:left="720" w:hanging="192"/>
        <w:jc w:val="left"/>
        <w:rPr>
          <w:rFonts w:eastAsia="Arial" w:cs="Arial"/>
          <w:sz w:val="20"/>
          <w:szCs w:val="20"/>
        </w:rPr>
      </w:pPr>
      <w:r>
        <w:rPr>
          <w:rFonts w:eastAsia="Arial" w:cs="Arial"/>
          <w:sz w:val="20"/>
          <w:szCs w:val="20"/>
        </w:rPr>
        <w:t xml:space="preserve">A copy of KCD's policies and procedures formulated pursuant to Rule 206(4)-7(a) under the Investment Advisers Act of 1940 that are in effect, or at any time within the past five years were in effect; and </w:t>
      </w:r>
    </w:p>
    <w:p>
      <w:pPr>
        <w:numPr>
          <w:ilvl w:val="0"/>
          <w:numId w:val="860"/>
        </w:numPr>
        <w:spacing w:after="200"/>
        <w:ind w:left="720" w:hanging="192"/>
        <w:jc w:val="left"/>
        <w:rPr>
          <w:rFonts w:eastAsia="Arial" w:cs="Arial"/>
          <w:sz w:val="20"/>
          <w:szCs w:val="20"/>
        </w:rPr>
      </w:pPr>
      <w:r>
        <w:rPr>
          <w:rFonts w:eastAsia="Arial" w:cs="Arial"/>
          <w:sz w:val="20"/>
          <w:szCs w:val="20"/>
        </w:rPr>
        <w:t xml:space="preserve">Any records documenting KCD's annual review of those policies and procedures conducted pursuant to Rule 206(4)-7(b) under the Investment Advisers Act of 1940. </w:t>
      </w:r>
    </w:p>
    <w:p>
      <w:pPr>
        <w:pStyle w:val="normal0"/>
        <w:spacing w:before="200" w:after="200"/>
        <w:rPr>
          <w:rFonts w:eastAsia="Arial" w:cs="Arial"/>
          <w:sz w:val="20"/>
          <w:szCs w:val="20"/>
        </w:rPr>
      </w:pPr>
      <w:r>
        <w:rPr>
          <w:rFonts w:eastAsia="Arial" w:cs="Arial"/>
          <w:sz w:val="20"/>
          <w:szCs w:val="20"/>
        </w:rPr>
        <w:t>18.</w:t>
      </w:r>
    </w:p>
    <w:p>
      <w:pPr>
        <w:numPr>
          <w:ilvl w:val="0"/>
          <w:numId w:val="861"/>
        </w:numPr>
        <w:spacing w:before="200"/>
        <w:ind w:left="720" w:hanging="192"/>
        <w:jc w:val="left"/>
        <w:rPr>
          <w:rFonts w:eastAsia="Arial" w:cs="Arial"/>
          <w:sz w:val="20"/>
          <w:szCs w:val="20"/>
        </w:rPr>
      </w:pPr>
      <w:r>
        <w:rPr>
          <w:rFonts w:eastAsia="Arial" w:cs="Arial"/>
          <w:sz w:val="20"/>
          <w:szCs w:val="20"/>
        </w:rPr>
        <w:t>Books and records that pertain to Rule 206(4)-5 containing a list or other record of:</w:t>
      </w:r>
    </w:p>
    <w:p>
      <w:pPr>
        <w:numPr>
          <w:ilvl w:val="1"/>
          <w:numId w:val="861"/>
        </w:numPr>
        <w:ind w:left="1440" w:hanging="220"/>
        <w:jc w:val="left"/>
        <w:rPr>
          <w:rFonts w:eastAsia="Arial" w:cs="Arial"/>
          <w:sz w:val="20"/>
          <w:szCs w:val="20"/>
        </w:rPr>
      </w:pPr>
      <w:r>
        <w:rPr>
          <w:rFonts w:eastAsia="Arial" w:cs="Arial"/>
          <w:sz w:val="20"/>
          <w:szCs w:val="20"/>
        </w:rPr>
        <w:t>The names, titles and business and residence addresses of all covered associates of KCD;</w:t>
      </w:r>
    </w:p>
    <w:p>
      <w:pPr>
        <w:numPr>
          <w:ilvl w:val="1"/>
          <w:numId w:val="861"/>
        </w:numPr>
        <w:ind w:left="1440" w:hanging="220"/>
        <w:jc w:val="left"/>
        <w:rPr>
          <w:rFonts w:eastAsia="Arial" w:cs="Arial"/>
          <w:sz w:val="20"/>
          <w:szCs w:val="20"/>
        </w:rPr>
      </w:pPr>
      <w:r>
        <w:rPr>
          <w:rFonts w:eastAsia="Arial" w:cs="Arial"/>
          <w:sz w:val="20"/>
          <w:szCs w:val="20"/>
        </w:rPr>
        <w:t>All government entities to which KCD provides or has provided investment advisory services, or which are or were investors in any covered investment pool to which KCD provides or has provided investment advisory services, as applicable, in the past five years, but not prior to September 13, 2010;</w:t>
      </w:r>
    </w:p>
    <w:p>
      <w:pPr>
        <w:numPr>
          <w:ilvl w:val="1"/>
          <w:numId w:val="861"/>
        </w:numPr>
        <w:ind w:left="1440" w:hanging="220"/>
        <w:jc w:val="left"/>
        <w:rPr>
          <w:rFonts w:eastAsia="Arial" w:cs="Arial"/>
          <w:sz w:val="20"/>
          <w:szCs w:val="20"/>
        </w:rPr>
      </w:pPr>
      <w:r>
        <w:rPr>
          <w:rFonts w:eastAsia="Arial" w:cs="Arial"/>
          <w:sz w:val="20"/>
          <w:szCs w:val="20"/>
        </w:rPr>
        <w:t xml:space="preserve">All direct or indirect contributions made by KCD or any of its covered associates to an official of a government entity, or direct or indirect payments to a political party of a State or political subdivision thereof, or to a political action committee; and </w:t>
      </w:r>
    </w:p>
    <w:p>
      <w:pPr>
        <w:numPr>
          <w:ilvl w:val="1"/>
          <w:numId w:val="861"/>
        </w:numPr>
        <w:ind w:left="1440" w:hanging="220"/>
        <w:jc w:val="left"/>
        <w:rPr>
          <w:rFonts w:eastAsia="Arial" w:cs="Arial"/>
          <w:sz w:val="20"/>
          <w:szCs w:val="20"/>
        </w:rPr>
      </w:pPr>
      <w:r>
        <w:rPr>
          <w:rFonts w:eastAsia="Arial" w:cs="Arial"/>
          <w:sz w:val="20"/>
          <w:szCs w:val="20"/>
        </w:rPr>
        <w:t>The name and business address of each regulated person to whom KCD provides or agrees to provide, directly or indirectly, payment to solicit a government entity for investment advisory services on its behalf, in accordance with Rule 206(4)-5(a)(2).</w:t>
      </w:r>
    </w:p>
    <w:p>
      <w:pPr>
        <w:numPr>
          <w:ilvl w:val="0"/>
          <w:numId w:val="861"/>
        </w:numPr>
        <w:ind w:left="720" w:hanging="192"/>
        <w:jc w:val="left"/>
        <w:rPr>
          <w:rFonts w:eastAsia="Arial" w:cs="Arial"/>
          <w:sz w:val="20"/>
          <w:szCs w:val="20"/>
        </w:rPr>
      </w:pPr>
      <w:r>
        <w:rPr>
          <w:rFonts w:eastAsia="Arial" w:cs="Arial"/>
          <w:sz w:val="20"/>
          <w:szCs w:val="20"/>
        </w:rPr>
        <w:t>Records relating to the contributions and payments referred to paragraph (a)(18)(i)(C) of Rule 204-2 (this section 18) must be listed in chronological order and indicate:</w:t>
      </w:r>
    </w:p>
    <w:p>
      <w:pPr>
        <w:numPr>
          <w:ilvl w:val="1"/>
          <w:numId w:val="861"/>
        </w:numPr>
        <w:ind w:left="1440" w:hanging="220"/>
        <w:jc w:val="left"/>
        <w:rPr>
          <w:rFonts w:eastAsia="Arial" w:cs="Arial"/>
          <w:sz w:val="20"/>
          <w:szCs w:val="20"/>
        </w:rPr>
      </w:pPr>
      <w:r>
        <w:rPr>
          <w:rFonts w:eastAsia="Arial" w:cs="Arial"/>
          <w:sz w:val="20"/>
          <w:szCs w:val="20"/>
        </w:rPr>
        <w:t>The name and title of each contributor;</w:t>
      </w:r>
    </w:p>
    <w:p>
      <w:pPr>
        <w:numPr>
          <w:ilvl w:val="1"/>
          <w:numId w:val="861"/>
        </w:numPr>
        <w:ind w:left="1440" w:hanging="220"/>
        <w:jc w:val="left"/>
        <w:rPr>
          <w:rFonts w:eastAsia="Arial" w:cs="Arial"/>
          <w:sz w:val="20"/>
          <w:szCs w:val="20"/>
        </w:rPr>
      </w:pPr>
      <w:r>
        <w:rPr>
          <w:rFonts w:eastAsia="Arial" w:cs="Arial"/>
          <w:sz w:val="20"/>
          <w:szCs w:val="20"/>
        </w:rPr>
        <w:t>The name and title (including any city/county/State or other political subdivision) of each recipient of a contribution or payment;</w:t>
      </w:r>
    </w:p>
    <w:p>
      <w:pPr>
        <w:numPr>
          <w:ilvl w:val="1"/>
          <w:numId w:val="861"/>
        </w:numPr>
        <w:ind w:left="1440" w:hanging="220"/>
        <w:jc w:val="left"/>
        <w:rPr>
          <w:rFonts w:eastAsia="Arial" w:cs="Arial"/>
          <w:sz w:val="20"/>
          <w:szCs w:val="20"/>
        </w:rPr>
      </w:pPr>
      <w:r>
        <w:rPr>
          <w:rFonts w:eastAsia="Arial" w:cs="Arial"/>
          <w:sz w:val="20"/>
          <w:szCs w:val="20"/>
        </w:rPr>
        <w:t>The amount and date of each contribution or payment; and</w:t>
      </w:r>
    </w:p>
    <w:p>
      <w:pPr>
        <w:numPr>
          <w:ilvl w:val="1"/>
          <w:numId w:val="861"/>
        </w:numPr>
        <w:ind w:left="1440" w:hanging="220"/>
        <w:jc w:val="left"/>
        <w:rPr>
          <w:rFonts w:eastAsia="Arial" w:cs="Arial"/>
          <w:sz w:val="20"/>
          <w:szCs w:val="20"/>
        </w:rPr>
      </w:pPr>
      <w:r>
        <w:rPr>
          <w:rFonts w:eastAsia="Arial" w:cs="Arial"/>
          <w:sz w:val="20"/>
          <w:szCs w:val="20"/>
        </w:rPr>
        <w:t>Whether any such contribution was the subject of the exception for certain returned contributions pursuant to Rule 206(4)-5(b)(2).</w:t>
      </w:r>
    </w:p>
    <w:p>
      <w:pPr>
        <w:numPr>
          <w:ilvl w:val="0"/>
          <w:numId w:val="861"/>
        </w:numPr>
        <w:ind w:left="720" w:hanging="192"/>
        <w:jc w:val="left"/>
        <w:rPr>
          <w:rFonts w:eastAsia="Arial" w:cs="Arial"/>
          <w:sz w:val="20"/>
          <w:szCs w:val="20"/>
        </w:rPr>
      </w:pPr>
      <w:r>
        <w:rPr>
          <w:rFonts w:eastAsia="Arial" w:cs="Arial"/>
          <w:sz w:val="20"/>
          <w:szCs w:val="20"/>
        </w:rPr>
        <w:t>KCD is only required to make and keep current the records referred to in paragraphs (a)(18)(i)(A) and (C) of Rule 204-2 if it provides investment advisory services to a government entity or a government entity is an investor in any covered investment pool to which KCD provides investment advisory services.</w:t>
      </w:r>
    </w:p>
    <w:p>
      <w:pPr>
        <w:numPr>
          <w:ilvl w:val="0"/>
          <w:numId w:val="861"/>
        </w:numPr>
        <w:spacing w:after="200"/>
        <w:ind w:left="720" w:hanging="192"/>
        <w:jc w:val="left"/>
        <w:rPr>
          <w:rFonts w:eastAsia="Arial" w:cs="Arial"/>
          <w:sz w:val="20"/>
          <w:szCs w:val="20"/>
        </w:rPr>
      </w:pPr>
      <w:r>
        <w:rPr>
          <w:rFonts w:eastAsia="Arial" w:cs="Arial"/>
          <w:sz w:val="20"/>
          <w:szCs w:val="20"/>
        </w:rPr>
        <w:t>For purposes of this section, the terms "contribution," "covered associate," "covered investment pool," "government entity," "official," "payment," "regulated person," and "solicit" have the same meanings as set forth in Rule 206(4)-5.</w:t>
      </w: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In lieu of complying with paragraph 18, KCD (with respect to registered investment company clients only) may rely on Investment Company Institute (pub. avail. Sept. 12, 2011), a no-action letter, provided it maintains a list or other record that:</w:t>
            </w:r>
          </w:p>
          <w:p>
            <w:pPr>
              <w:numPr>
                <w:ilvl w:val="0"/>
                <w:numId w:val="862"/>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Each government entity that invests in a covered investment pool whose account can reasonably be identified as being held in the name of or for the benefit of the government entity on the records of the covered investment pool or its transfer agent; </w:t>
            </w:r>
          </w:p>
          <w:p>
            <w:pPr>
              <w:numPr>
                <w:ilvl w:val="0"/>
                <w:numId w:val="86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government entity whose account was identified as that of a government entity - at or around the time of the initial investment - to KCD or one of its client servicing employees, regulated persons or covered associates;</w:t>
            </w:r>
          </w:p>
          <w:p>
            <w:pPr>
              <w:numPr>
                <w:ilvl w:val="0"/>
                <w:numId w:val="86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government entity that sponsors or establishes a 529 Plan and has selected a specific covered investment pool as an option to be offered by such 529 Plan; and</w:t>
            </w:r>
          </w:p>
          <w:p>
            <w:pPr>
              <w:numPr>
                <w:ilvl w:val="0"/>
                <w:numId w:val="86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Each government entity that has been solicited to invest in a covered investment pool either (i) by a covered associate or regulated person of the adviser; or (ii) by an intermediary or affiliate of the covered investment pool if a covered associate, regulated person, or client servicing employee of the adviser participated in or was involved in such solicitation, regardless of whether such government entity invested in the covered investment pool.</w:t>
            </w:r>
          </w:p>
        </w:tc>
      </w:tr>
    </w:tbl>
    <w:p>
      <w:bookmarkEnd w:id="1017"/>
      <w:bookmarkStart w:id="1018" w:name="Sec_Chp_061016102259171_061016102259359"/>
    </w:p>
    <w:p>
      <w:pPr>
        <w:pStyle w:val="Heading5"/>
      </w:pPr>
      <w:r>
        <w:t>13.3.1.1.2 Custody-Related Rule 204-2 Required Records</w:t>
      </w:r>
    </w:p>
    <w:p/>
    <w:p>
      <w:pPr>
        <w:rPr>
          <w:rFonts w:eastAsia="Arial" w:cs="Arial"/>
          <w:sz w:val="16"/>
          <w:szCs w:val="16"/>
        </w:rPr>
      </w:pPr>
      <w:r>
        <w:rPr>
          <w:rFonts w:eastAsia="Arial" w:cs="Arial"/>
          <w:sz w:val="16"/>
          <w:szCs w:val="16"/>
        </w:rPr>
        <w:t>[Investment Advisers Act of 1940 Rule 204-2(a)(17)(iii), 204-2(b)(1), 204-2(b)(2), 204-2(b)(3), 204-2(b)(4) and 204-2(b)(5)]</w:t>
      </w:r>
    </w:p>
    <w:p/>
    <w:p>
      <w:pPr>
        <w:pStyle w:val="normal0"/>
        <w:spacing w:after="200"/>
        <w:rPr>
          <w:rFonts w:eastAsia="Arial" w:cs="Arial"/>
          <w:sz w:val="20"/>
          <w:szCs w:val="20"/>
        </w:rPr>
      </w:pPr>
      <w:r>
        <w:rPr>
          <w:rFonts w:eastAsia="Arial" w:cs="Arial"/>
          <w:sz w:val="20"/>
          <w:szCs w:val="20"/>
        </w:rPr>
        <w:t>If KCD has custody or possession of securities or funds of any client, KCD shall make and keep true, accurate and current the following custody books and records relating to its investment advisory business:</w:t>
      </w:r>
    </w:p>
    <w:p>
      <w:pPr>
        <w:numPr>
          <w:ilvl w:val="0"/>
          <w:numId w:val="863"/>
        </w:numPr>
        <w:spacing w:before="200"/>
        <w:ind w:left="720" w:hanging="267"/>
        <w:jc w:val="left"/>
        <w:rPr>
          <w:rFonts w:eastAsia="Arial" w:cs="Arial"/>
          <w:sz w:val="20"/>
          <w:szCs w:val="20"/>
        </w:rPr>
      </w:pPr>
      <w:r>
        <w:rPr>
          <w:rFonts w:eastAsia="Arial" w:cs="Arial"/>
          <w:sz w:val="20"/>
          <w:szCs w:val="20"/>
        </w:rPr>
        <w:t xml:space="preserve">A journal or other record showing all purchases, sales, receipts and deliveries of securities (including certificate numbers) for such accounts and all other debits and credits to such accounts. (Rule 204-2(b)(1)); </w:t>
      </w:r>
    </w:p>
    <w:p>
      <w:pPr>
        <w:numPr>
          <w:ilvl w:val="0"/>
          <w:numId w:val="863"/>
        </w:numPr>
        <w:ind w:left="720" w:hanging="267"/>
        <w:jc w:val="left"/>
        <w:rPr>
          <w:rFonts w:eastAsia="Arial" w:cs="Arial"/>
          <w:sz w:val="20"/>
          <w:szCs w:val="20"/>
        </w:rPr>
      </w:pPr>
      <w:r>
        <w:rPr>
          <w:rFonts w:eastAsia="Arial" w:cs="Arial"/>
          <w:sz w:val="20"/>
          <w:szCs w:val="20"/>
        </w:rPr>
        <w:t xml:space="preserve">A separate ledger account for each such client showing all purchases, sales, receipts and deliveries of securities, the date and price of each purchase and sale, and all debits and credits (Rule 204-2(b)(2)); </w:t>
      </w:r>
    </w:p>
    <w:p>
      <w:pPr>
        <w:numPr>
          <w:ilvl w:val="0"/>
          <w:numId w:val="863"/>
        </w:numPr>
        <w:ind w:left="720" w:hanging="267"/>
        <w:jc w:val="left"/>
        <w:rPr>
          <w:rFonts w:eastAsia="Arial" w:cs="Arial"/>
          <w:sz w:val="20"/>
          <w:szCs w:val="20"/>
        </w:rPr>
      </w:pPr>
      <w:r>
        <w:rPr>
          <w:rFonts w:eastAsia="Arial" w:cs="Arial"/>
          <w:sz w:val="20"/>
          <w:szCs w:val="20"/>
        </w:rPr>
        <w:t>Copies of confirmations of all transactions effected by or for the account of any such client (Rule 204-2(b)(3)); and</w:t>
      </w:r>
    </w:p>
    <w:p>
      <w:pPr>
        <w:numPr>
          <w:ilvl w:val="0"/>
          <w:numId w:val="863"/>
        </w:numPr>
        <w:ind w:left="720" w:hanging="267"/>
        <w:jc w:val="left"/>
        <w:rPr>
          <w:rFonts w:eastAsia="Arial" w:cs="Arial"/>
          <w:sz w:val="20"/>
          <w:szCs w:val="20"/>
        </w:rPr>
      </w:pPr>
      <w:r>
        <w:rPr>
          <w:rFonts w:eastAsia="Arial" w:cs="Arial"/>
          <w:sz w:val="20"/>
          <w:szCs w:val="20"/>
        </w:rPr>
        <w:t>A record for each security in which any such client has a position, which record shall show the name of each such client having any interest in such security, the amount or interest of each such client, and the location of each such security (Rule 204-2(b)(4)).</w:t>
      </w:r>
    </w:p>
    <w:p>
      <w:pPr>
        <w:numPr>
          <w:ilvl w:val="0"/>
          <w:numId w:val="863"/>
        </w:numPr>
        <w:ind w:left="720" w:hanging="267"/>
        <w:jc w:val="left"/>
        <w:rPr>
          <w:rFonts w:eastAsia="Arial" w:cs="Arial"/>
          <w:sz w:val="20"/>
          <w:szCs w:val="20"/>
        </w:rPr>
      </w:pPr>
      <w:r>
        <w:rPr>
          <w:rFonts w:eastAsia="Arial" w:cs="Arial"/>
          <w:sz w:val="20"/>
          <w:szCs w:val="20"/>
        </w:rPr>
        <w:t>A copy of any internal control report obtained or received pursuant to the requirements of Rule 206(4)-2 under the Advisers Act (the custody rule) (Rule 204-2(a)(17)(iii)); and</w:t>
      </w:r>
    </w:p>
    <w:p>
      <w:pPr>
        <w:numPr>
          <w:ilvl w:val="0"/>
          <w:numId w:val="863"/>
        </w:numPr>
        <w:spacing w:after="200"/>
        <w:ind w:left="720" w:hanging="267"/>
        <w:jc w:val="left"/>
        <w:rPr>
          <w:rFonts w:eastAsia="Arial" w:cs="Arial"/>
          <w:sz w:val="20"/>
          <w:szCs w:val="20"/>
        </w:rPr>
      </w:pPr>
      <w:r>
        <w:rPr>
          <w:rFonts w:eastAsia="Arial" w:cs="Arial"/>
          <w:sz w:val="20"/>
          <w:szCs w:val="20"/>
        </w:rPr>
        <w:t xml:space="preserve">A memorandum describing the basis upon which KCD had determined that the presumption that any related person is not operationally independent for purposes of Rule 206(4)-2 (the custody rule) has been overcome (Rule 204-2(b)(5)). </w:t>
      </w:r>
    </w:p>
    <w:p>
      <w:bookmarkEnd w:id="1018"/>
      <w:bookmarkStart w:id="1019" w:name="Sec_Chp_061016102259171_061016102259375"/>
    </w:p>
    <w:p>
      <w:pPr>
        <w:pStyle w:val="Heading5"/>
      </w:pPr>
      <w:r>
        <w:t>13.3.1.1.3 Investment Supervisory-Related Rule 204-2 Required Records</w:t>
      </w:r>
    </w:p>
    <w:p/>
    <w:p>
      <w:pPr>
        <w:rPr>
          <w:rFonts w:eastAsia="Arial" w:cs="Arial"/>
          <w:sz w:val="16"/>
          <w:szCs w:val="16"/>
        </w:rPr>
      </w:pPr>
      <w:r>
        <w:rPr>
          <w:rFonts w:eastAsia="Arial" w:cs="Arial"/>
          <w:sz w:val="16"/>
          <w:szCs w:val="16"/>
        </w:rPr>
        <w:t>[Investment Advisers Act of 1940 Rule 204-2(c)(1)(i), 204-2(c)(1)(ii) and 204-2(c)(2)]</w:t>
      </w:r>
    </w:p>
    <w:p/>
    <w:p>
      <w:pPr>
        <w:pStyle w:val="normal0"/>
        <w:spacing w:after="200"/>
        <w:rPr>
          <w:rFonts w:eastAsia="Arial" w:cs="Arial"/>
          <w:sz w:val="20"/>
          <w:szCs w:val="20"/>
        </w:rPr>
      </w:pPr>
      <w:r>
        <w:rPr>
          <w:rFonts w:eastAsia="Arial" w:cs="Arial"/>
          <w:sz w:val="20"/>
          <w:szCs w:val="20"/>
        </w:rPr>
        <w:t>If KCD renders any investment supervisory or management service to any client, it shall, with respect to the portfolio being supervised or managed and to the extent that the information is reasonably available to or obtainable by KCD, make and keep true, accurate and current:</w:t>
      </w:r>
    </w:p>
    <w:p>
      <w:pPr>
        <w:numPr>
          <w:ilvl w:val="0"/>
          <w:numId w:val="864"/>
        </w:numPr>
        <w:spacing w:before="200"/>
        <w:ind w:left="720" w:hanging="267"/>
        <w:jc w:val="left"/>
        <w:rPr>
          <w:rFonts w:eastAsia="Arial" w:cs="Arial"/>
          <w:sz w:val="20"/>
          <w:szCs w:val="20"/>
        </w:rPr>
      </w:pPr>
      <w:r>
        <w:rPr>
          <w:rFonts w:eastAsia="Arial" w:cs="Arial"/>
          <w:sz w:val="20"/>
          <w:szCs w:val="20"/>
        </w:rPr>
        <w:t xml:space="preserve">Records showing separately for each such client the securities purchased and sold, and the date, amount and price of each such purchase and sale (Rule 204-2(c)(1)(i)); and </w:t>
      </w:r>
    </w:p>
    <w:p>
      <w:pPr>
        <w:numPr>
          <w:ilvl w:val="0"/>
          <w:numId w:val="864"/>
        </w:numPr>
        <w:spacing w:after="200"/>
        <w:ind w:left="720" w:hanging="267"/>
        <w:jc w:val="left"/>
        <w:rPr>
          <w:rFonts w:eastAsia="Arial" w:cs="Arial"/>
          <w:sz w:val="20"/>
          <w:szCs w:val="20"/>
        </w:rPr>
      </w:pPr>
      <w:r>
        <w:rPr>
          <w:rFonts w:eastAsia="Arial" w:cs="Arial"/>
          <w:sz w:val="20"/>
          <w:szCs w:val="20"/>
        </w:rPr>
        <w:t>For each security in which any such client has a current position, information from which KCD can promptly furnish the name of each such client, and the current amount or interest of such client. (Rule 204-2(c)(1)(ii)).</w:t>
      </w:r>
    </w:p>
    <w:p>
      <w:pPr>
        <w:pStyle w:val="normal0"/>
        <w:spacing w:before="200" w:after="200"/>
        <w:rPr>
          <w:rFonts w:eastAsia="Arial" w:cs="Arial"/>
          <w:sz w:val="20"/>
          <w:szCs w:val="20"/>
        </w:rPr>
      </w:pPr>
      <w:r>
        <w:rPr>
          <w:rFonts w:eastAsia="Arial" w:cs="Arial"/>
          <w:sz w:val="20"/>
          <w:szCs w:val="20"/>
        </w:rPr>
        <w:t>If KCD exercises voting authority with respect to client securities, KCD shall, with respect to those clients, make and retain the following:</w:t>
      </w:r>
    </w:p>
    <w:p>
      <w:pPr>
        <w:numPr>
          <w:ilvl w:val="0"/>
          <w:numId w:val="865"/>
        </w:numPr>
        <w:spacing w:before="200"/>
        <w:ind w:left="720" w:hanging="267"/>
        <w:jc w:val="left"/>
        <w:rPr>
          <w:rFonts w:eastAsia="Arial" w:cs="Arial"/>
          <w:sz w:val="20"/>
          <w:szCs w:val="20"/>
        </w:rPr>
      </w:pPr>
      <w:r>
        <w:rPr>
          <w:rFonts w:eastAsia="Arial" w:cs="Arial"/>
          <w:sz w:val="20"/>
          <w:szCs w:val="20"/>
        </w:rPr>
        <w:t xml:space="preserve">Copies of all policies and procedures required by Rule 206(4)-6 (proxy voting rule); </w:t>
      </w:r>
    </w:p>
    <w:p>
      <w:pPr>
        <w:numPr>
          <w:ilvl w:val="0"/>
          <w:numId w:val="865"/>
        </w:numPr>
        <w:ind w:left="720" w:hanging="267"/>
        <w:jc w:val="left"/>
        <w:rPr>
          <w:rFonts w:eastAsia="Arial" w:cs="Arial"/>
          <w:sz w:val="20"/>
          <w:szCs w:val="20"/>
        </w:rPr>
      </w:pPr>
      <w:r>
        <w:rPr>
          <w:rFonts w:eastAsia="Arial" w:cs="Arial"/>
          <w:sz w:val="20"/>
          <w:szCs w:val="20"/>
        </w:rPr>
        <w:t xml:space="preserve">A copy of each proxy statement that KCD receives regarding client securities. KCD may satisfy this requirement by relying on a third party to make and retain, on KCD's behalf, a copy of a proxy statement (provided that KCD has obtained an undertaking from the third party to provide a copy of the proxy statement promptly upon request) or may rely on obtaining a copy of a proxy statement from the SEC's Electronic Data Gathering, Analysis, and Retrieval (EDGAR) system; </w:t>
      </w:r>
    </w:p>
    <w:p>
      <w:pPr>
        <w:numPr>
          <w:ilvl w:val="0"/>
          <w:numId w:val="865"/>
        </w:numPr>
        <w:ind w:left="720" w:hanging="267"/>
        <w:jc w:val="left"/>
        <w:rPr>
          <w:rFonts w:eastAsia="Arial" w:cs="Arial"/>
          <w:sz w:val="20"/>
          <w:szCs w:val="20"/>
        </w:rPr>
      </w:pPr>
      <w:r>
        <w:rPr>
          <w:rFonts w:eastAsia="Arial" w:cs="Arial"/>
          <w:sz w:val="20"/>
          <w:szCs w:val="20"/>
        </w:rPr>
        <w:t xml:space="preserve">A record of each vote cast by KCD on behalf of a client. KCD may satisfy this requirement by relying on a third party to make and retain, on KCD's behalf, a record of the vote cast (provided that KCD has obtained an undertaking from the third party to provide a copy of the record promptly upon request); </w:t>
      </w:r>
    </w:p>
    <w:p>
      <w:pPr>
        <w:numPr>
          <w:ilvl w:val="0"/>
          <w:numId w:val="865"/>
        </w:numPr>
        <w:ind w:left="720" w:hanging="267"/>
        <w:jc w:val="left"/>
        <w:rPr>
          <w:rFonts w:eastAsia="Arial" w:cs="Arial"/>
          <w:sz w:val="20"/>
          <w:szCs w:val="20"/>
        </w:rPr>
      </w:pPr>
      <w:r>
        <w:rPr>
          <w:rFonts w:eastAsia="Arial" w:cs="Arial"/>
          <w:sz w:val="20"/>
          <w:szCs w:val="20"/>
        </w:rPr>
        <w:t xml:space="preserve">A copy of any document created by KCD that was material to making a decision how to vote proxies on behalf of a client or that memorializes the basis for that decision; and </w:t>
      </w:r>
    </w:p>
    <w:p>
      <w:pPr>
        <w:numPr>
          <w:ilvl w:val="0"/>
          <w:numId w:val="865"/>
        </w:numPr>
        <w:spacing w:after="200"/>
        <w:ind w:left="720" w:hanging="267"/>
        <w:jc w:val="left"/>
        <w:rPr>
          <w:rFonts w:eastAsia="Arial" w:cs="Arial"/>
          <w:sz w:val="20"/>
          <w:szCs w:val="20"/>
        </w:rPr>
      </w:pPr>
      <w:r>
        <w:rPr>
          <w:rFonts w:eastAsia="Arial" w:cs="Arial"/>
          <w:sz w:val="20"/>
          <w:szCs w:val="20"/>
        </w:rPr>
        <w:t>A copy of each written client request for information on how KCD voted proxies on behalf of the client, and a copy of any written response by KCD to any (written or oral) client request for information on how KCD voted proxies on behalf of the requesting client (Rule 204-2(c)(2)).</w:t>
      </w:r>
    </w:p>
    <w:p>
      <w:bookmarkEnd w:id="1019"/>
      <w:bookmarkStart w:id="1020" w:name="Sec_Chp_061016102259171_061016102259390"/>
    </w:p>
    <w:p>
      <w:pPr>
        <w:pStyle w:val="Heading4"/>
      </w:pPr>
      <w:r>
        <w:t>13.3.1.2 Other Records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cause KCD to create and maintain any other records in addition to the Rule 204-2 Required Records required by this Compliance Manual and other applicable law and regulations.</w:t>
      </w:r>
    </w:p>
    <w:p>
      <w:bookmarkEnd w:id="1020"/>
      <w:bookmarkStart w:id="1021" w:name="Sec_Chp_061016102259171_061016102259406"/>
    </w:p>
    <w:p>
      <w:pPr>
        <w:pStyle w:val="Heading3"/>
      </w:pPr>
      <w:bookmarkStart w:id="1022" w:name="_Toc256000259"/>
      <w:r>
        <w:t>13.3.2 Record Retention</w:t>
      </w:r>
      <w:bookmarkEnd w:id="1022"/>
    </w:p>
    <w:p/>
    <w:p>
      <w:pPr>
        <w:rPr>
          <w:rFonts w:eastAsia="Arial" w:cs="Arial"/>
          <w:sz w:val="16"/>
          <w:szCs w:val="16"/>
        </w:rPr>
      </w:pPr>
      <w:r>
        <w:rPr>
          <w:rFonts w:eastAsia="Arial" w:cs="Arial"/>
          <w:sz w:val="16"/>
          <w:szCs w:val="16"/>
        </w:rPr>
        <w:t>[Investment Advisers Act of 1940 Rule 204-2(a)(1), 204-2(a)(2), 204-2(a)(3), 204-2(a)(4), 204-2(a)(5), 204-2(a)(6), 204-2(a)(7), 204-2(a)(8), 204-2(a)(9), 204-2(a)(10), 204-2(a)(17), 204-2(b), 204-2(c)(1)(i) and 204-2(c)(2)]</w:t>
      </w:r>
    </w:p>
    <w:p/>
    <w:p>
      <w:pPr>
        <w:pStyle w:val="normal0"/>
        <w:spacing w:after="200"/>
        <w:rPr>
          <w:rFonts w:eastAsia="Arial" w:cs="Arial"/>
          <w:sz w:val="20"/>
          <w:szCs w:val="20"/>
        </w:rPr>
      </w:pPr>
      <w:r>
        <w:rPr>
          <w:rFonts w:eastAsia="Arial" w:cs="Arial"/>
          <w:sz w:val="20"/>
          <w:szCs w:val="20"/>
        </w:rPr>
        <w:t>The [Chief Compliance Officer] shall cause KCD to be in compliance with the record retention rules under the Investment Advisers Act of 1940 with respect to the Required Rule 204-2 Records discussed above by:</w:t>
      </w:r>
    </w:p>
    <w:p>
      <w:pPr>
        <w:numPr>
          <w:ilvl w:val="0"/>
          <w:numId w:val="866"/>
        </w:numPr>
        <w:spacing w:before="200"/>
        <w:ind w:left="720" w:hanging="192"/>
        <w:jc w:val="left"/>
        <w:rPr>
          <w:rFonts w:eastAsia="Arial" w:cs="Arial"/>
          <w:sz w:val="20"/>
          <w:szCs w:val="20"/>
        </w:rPr>
      </w:pPr>
      <w:r>
        <w:rPr>
          <w:rFonts w:eastAsia="Arial" w:cs="Arial"/>
          <w:sz w:val="20"/>
          <w:szCs w:val="20"/>
        </w:rPr>
        <w:t xml:space="preserve">Requiring the following records to be maintained and preserved in an easily accessible place for a period of not less than 5 years from the end of the fiscal year during which the last entry was made on such record, the first 2 years at KCD's principal office: </w:t>
      </w:r>
    </w:p>
    <w:p>
      <w:pPr>
        <w:numPr>
          <w:ilvl w:val="1"/>
          <w:numId w:val="866"/>
        </w:numPr>
        <w:ind w:left="1440" w:hanging="220"/>
        <w:jc w:val="left"/>
        <w:rPr>
          <w:rFonts w:eastAsia="Arial" w:cs="Arial"/>
          <w:sz w:val="20"/>
          <w:szCs w:val="20"/>
        </w:rPr>
      </w:pPr>
      <w:r>
        <w:rPr>
          <w:rFonts w:eastAsia="Arial" w:cs="Arial"/>
          <w:sz w:val="20"/>
          <w:szCs w:val="20"/>
        </w:rPr>
        <w:t xml:space="preserve">Records required by Rule 204-2(a)(1) through Rule 204-2(a)(10) and Rule 204-2(a)(17) </w:t>
      </w:r>
    </w:p>
    <w:p>
      <w:pPr>
        <w:numPr>
          <w:ilvl w:val="1"/>
          <w:numId w:val="866"/>
        </w:numPr>
        <w:ind w:left="1440" w:hanging="220"/>
        <w:jc w:val="left"/>
        <w:rPr>
          <w:rFonts w:eastAsia="Arial" w:cs="Arial"/>
          <w:sz w:val="20"/>
          <w:szCs w:val="20"/>
        </w:rPr>
      </w:pPr>
      <w:r>
        <w:rPr>
          <w:rFonts w:eastAsia="Arial" w:cs="Arial"/>
          <w:sz w:val="20"/>
          <w:szCs w:val="20"/>
        </w:rPr>
        <w:t xml:space="preserve">Records required by Rule 204-2(b) </w:t>
      </w:r>
    </w:p>
    <w:p>
      <w:pPr>
        <w:numPr>
          <w:ilvl w:val="1"/>
          <w:numId w:val="866"/>
        </w:numPr>
        <w:ind w:left="1440" w:hanging="220"/>
        <w:jc w:val="left"/>
        <w:rPr>
          <w:rFonts w:eastAsia="Arial" w:cs="Arial"/>
          <w:sz w:val="20"/>
          <w:szCs w:val="20"/>
        </w:rPr>
      </w:pPr>
      <w:r>
        <w:rPr>
          <w:rFonts w:eastAsia="Arial" w:cs="Arial"/>
          <w:sz w:val="20"/>
          <w:szCs w:val="20"/>
        </w:rPr>
        <w:t xml:space="preserve">Records Required by Rule 204-2(c)(1)(i) </w:t>
      </w:r>
    </w:p>
    <w:p>
      <w:pPr>
        <w:numPr>
          <w:ilvl w:val="1"/>
          <w:numId w:val="866"/>
        </w:numPr>
        <w:ind w:left="1440" w:hanging="220"/>
        <w:jc w:val="left"/>
        <w:rPr>
          <w:rFonts w:eastAsia="Arial" w:cs="Arial"/>
          <w:sz w:val="20"/>
          <w:szCs w:val="20"/>
        </w:rPr>
      </w:pPr>
      <w:r>
        <w:rPr>
          <w:rFonts w:eastAsia="Arial" w:cs="Arial"/>
          <w:sz w:val="20"/>
          <w:szCs w:val="20"/>
        </w:rPr>
        <w:t>Records Required by Rule 204-2(c)(2)</w:t>
      </w:r>
    </w:p>
    <w:p>
      <w:pPr>
        <w:numPr>
          <w:ilvl w:val="0"/>
          <w:numId w:val="866"/>
        </w:numPr>
        <w:ind w:left="720" w:hanging="192"/>
        <w:jc w:val="left"/>
        <w:rPr>
          <w:rFonts w:eastAsia="Arial" w:cs="Arial"/>
          <w:sz w:val="20"/>
          <w:szCs w:val="20"/>
        </w:rPr>
      </w:pPr>
      <w:r>
        <w:rPr>
          <w:rFonts w:eastAsia="Arial" w:cs="Arial"/>
          <w:sz w:val="20"/>
          <w:szCs w:val="20"/>
        </w:rPr>
        <w:t xml:space="preserve">Requiring the following records to be maintained and preserved until at least 3 years after termination of KCD's principal office: </w:t>
      </w:r>
    </w:p>
    <w:p>
      <w:pPr>
        <w:numPr>
          <w:ilvl w:val="1"/>
          <w:numId w:val="866"/>
        </w:numPr>
        <w:ind w:left="1440" w:hanging="220"/>
        <w:jc w:val="left"/>
        <w:rPr>
          <w:rFonts w:eastAsia="Arial" w:cs="Arial"/>
          <w:sz w:val="20"/>
          <w:szCs w:val="20"/>
        </w:rPr>
      </w:pPr>
      <w:r>
        <w:rPr>
          <w:rFonts w:eastAsia="Arial" w:cs="Arial"/>
          <w:sz w:val="20"/>
          <w:szCs w:val="20"/>
        </w:rPr>
        <w:t xml:space="preserve">Partnership articles and any amendments thereto </w:t>
      </w:r>
    </w:p>
    <w:p>
      <w:pPr>
        <w:numPr>
          <w:ilvl w:val="1"/>
          <w:numId w:val="866"/>
        </w:numPr>
        <w:ind w:left="1440" w:hanging="220"/>
        <w:jc w:val="left"/>
        <w:rPr>
          <w:rFonts w:eastAsia="Arial" w:cs="Arial"/>
          <w:sz w:val="20"/>
          <w:szCs w:val="20"/>
        </w:rPr>
      </w:pPr>
      <w:r>
        <w:rPr>
          <w:rFonts w:eastAsia="Arial" w:cs="Arial"/>
          <w:sz w:val="20"/>
          <w:szCs w:val="20"/>
        </w:rPr>
        <w:t xml:space="preserve">Articles of incorporation </w:t>
      </w:r>
    </w:p>
    <w:p>
      <w:pPr>
        <w:numPr>
          <w:ilvl w:val="1"/>
          <w:numId w:val="866"/>
        </w:numPr>
        <w:ind w:left="1440" w:hanging="220"/>
        <w:jc w:val="left"/>
        <w:rPr>
          <w:rFonts w:eastAsia="Arial" w:cs="Arial"/>
          <w:sz w:val="20"/>
          <w:szCs w:val="20"/>
        </w:rPr>
      </w:pPr>
      <w:r>
        <w:rPr>
          <w:rFonts w:eastAsia="Arial" w:cs="Arial"/>
          <w:sz w:val="20"/>
          <w:szCs w:val="20"/>
        </w:rPr>
        <w:t xml:space="preserve">Charters </w:t>
      </w:r>
    </w:p>
    <w:p>
      <w:pPr>
        <w:numPr>
          <w:ilvl w:val="1"/>
          <w:numId w:val="866"/>
        </w:numPr>
        <w:ind w:left="1440" w:hanging="220"/>
        <w:jc w:val="left"/>
        <w:rPr>
          <w:rFonts w:eastAsia="Arial" w:cs="Arial"/>
          <w:sz w:val="20"/>
          <w:szCs w:val="20"/>
        </w:rPr>
      </w:pPr>
      <w:r>
        <w:rPr>
          <w:rFonts w:eastAsia="Arial" w:cs="Arial"/>
          <w:sz w:val="20"/>
          <w:szCs w:val="20"/>
        </w:rPr>
        <w:t xml:space="preserve">Minute books </w:t>
      </w:r>
    </w:p>
    <w:p>
      <w:pPr>
        <w:numPr>
          <w:ilvl w:val="1"/>
          <w:numId w:val="866"/>
        </w:numPr>
        <w:ind w:left="1440" w:hanging="220"/>
        <w:jc w:val="left"/>
        <w:rPr>
          <w:rFonts w:eastAsia="Arial" w:cs="Arial"/>
          <w:sz w:val="20"/>
          <w:szCs w:val="20"/>
        </w:rPr>
      </w:pPr>
      <w:r>
        <w:rPr>
          <w:rFonts w:eastAsia="Arial" w:cs="Arial"/>
          <w:sz w:val="20"/>
          <w:szCs w:val="20"/>
        </w:rPr>
        <w:t xml:space="preserve">Stock certificate books </w:t>
      </w:r>
    </w:p>
    <w:p>
      <w:pPr>
        <w:numPr>
          <w:ilvl w:val="0"/>
          <w:numId w:val="866"/>
        </w:numPr>
        <w:ind w:left="720" w:hanging="192"/>
        <w:jc w:val="left"/>
        <w:rPr>
          <w:rFonts w:eastAsia="Arial" w:cs="Arial"/>
          <w:sz w:val="20"/>
          <w:szCs w:val="20"/>
        </w:rPr>
      </w:pPr>
      <w:r>
        <w:rPr>
          <w:rFonts w:eastAsia="Arial" w:cs="Arial"/>
          <w:sz w:val="20"/>
          <w:szCs w:val="20"/>
        </w:rPr>
        <w:t xml:space="preserve">Requiring the following records to be maintained and preserved in an easily accessible place for a period of not less than 5 years, the first 2 years in an appropriate office of KCD from the end of the fiscal year during which KCD last published or otherwise disseminated, directly or indirectly, the notice, circular, advertisement, newspaper article, investment letter, bulletin or other communication: </w:t>
      </w:r>
    </w:p>
    <w:p>
      <w:pPr>
        <w:numPr>
          <w:ilvl w:val="1"/>
          <w:numId w:val="866"/>
        </w:numPr>
        <w:spacing w:after="200"/>
        <w:ind w:left="1440" w:hanging="220"/>
        <w:jc w:val="left"/>
        <w:rPr>
          <w:rFonts w:eastAsia="Arial" w:cs="Arial"/>
          <w:sz w:val="20"/>
          <w:szCs w:val="20"/>
        </w:rPr>
      </w:pPr>
      <w:r>
        <w:rPr>
          <w:rFonts w:eastAsia="Arial" w:cs="Arial"/>
          <w:sz w:val="20"/>
          <w:szCs w:val="20"/>
        </w:rPr>
        <w:t xml:space="preserve">Records required by Rule 204-2(a)(11) through Rule 204-2(a)(17) </w:t>
      </w:r>
    </w:p>
    <w:p>
      <w:pPr>
        <w:pStyle w:val="normal0"/>
        <w:spacing w:before="200" w:after="200"/>
        <w:rPr>
          <w:rFonts w:eastAsia="Arial" w:cs="Arial"/>
          <w:sz w:val="20"/>
          <w:szCs w:val="20"/>
        </w:rPr>
      </w:pPr>
      <w:r>
        <w:rPr>
          <w:rFonts w:eastAsia="Arial" w:cs="Arial"/>
          <w:sz w:val="20"/>
          <w:szCs w:val="20"/>
        </w:rPr>
        <w:t>The Chief Compliance Officer, with respect to each branch or remote office of KCD (if any), shall:</w:t>
      </w:r>
    </w:p>
    <w:p>
      <w:pPr>
        <w:numPr>
          <w:ilvl w:val="0"/>
          <w:numId w:val="867"/>
        </w:numPr>
        <w:spacing w:before="200"/>
        <w:ind w:left="720" w:hanging="192"/>
        <w:jc w:val="left"/>
        <w:rPr>
          <w:rFonts w:eastAsia="Arial" w:cs="Arial"/>
          <w:sz w:val="20"/>
          <w:szCs w:val="20"/>
        </w:rPr>
      </w:pPr>
      <w:r>
        <w:rPr>
          <w:rFonts w:eastAsia="Arial" w:cs="Arial"/>
          <w:sz w:val="20"/>
          <w:szCs w:val="20"/>
        </w:rPr>
        <w:t>Determine what records required by Rule 204-2 are generated by each branch office;</w:t>
      </w:r>
    </w:p>
    <w:p>
      <w:pPr>
        <w:numPr>
          <w:ilvl w:val="0"/>
          <w:numId w:val="867"/>
        </w:numPr>
        <w:ind w:left="720" w:hanging="192"/>
        <w:jc w:val="left"/>
        <w:rPr>
          <w:rFonts w:eastAsia="Arial" w:cs="Arial"/>
          <w:sz w:val="20"/>
          <w:szCs w:val="20"/>
        </w:rPr>
      </w:pPr>
      <w:r>
        <w:rPr>
          <w:rFonts w:eastAsia="Arial" w:cs="Arial"/>
          <w:sz w:val="20"/>
          <w:szCs w:val="20"/>
        </w:rPr>
        <w:t>Determine if, and in what manner, each branch office has access to KCD's information technology systems;</w:t>
      </w:r>
    </w:p>
    <w:p>
      <w:pPr>
        <w:numPr>
          <w:ilvl w:val="0"/>
          <w:numId w:val="867"/>
        </w:numPr>
        <w:ind w:left="720" w:hanging="192"/>
        <w:jc w:val="left"/>
        <w:rPr>
          <w:rFonts w:eastAsia="Arial" w:cs="Arial"/>
          <w:sz w:val="20"/>
          <w:szCs w:val="20"/>
        </w:rPr>
      </w:pPr>
      <w:r>
        <w:rPr>
          <w:rFonts w:eastAsia="Arial" w:cs="Arial"/>
          <w:sz w:val="20"/>
          <w:szCs w:val="20"/>
        </w:rPr>
        <w:t xml:space="preserve">Assign a Firm employee at the branch office to be responsible for any Rule 204-2 required records maintained at such branch office; </w:t>
      </w:r>
    </w:p>
    <w:p>
      <w:pPr>
        <w:numPr>
          <w:ilvl w:val="0"/>
          <w:numId w:val="867"/>
        </w:numPr>
        <w:ind w:left="720" w:hanging="192"/>
        <w:jc w:val="left"/>
        <w:rPr>
          <w:rFonts w:eastAsia="Arial" w:cs="Arial"/>
          <w:sz w:val="20"/>
          <w:szCs w:val="20"/>
        </w:rPr>
      </w:pPr>
      <w:r>
        <w:rPr>
          <w:rFonts w:eastAsia="Arial" w:cs="Arial"/>
          <w:sz w:val="20"/>
          <w:szCs w:val="20"/>
        </w:rPr>
        <w:t xml:space="preserve">Maintain the Rule 204-2 required records in a manner consistent and in compliance with the Rule; and </w:t>
      </w:r>
    </w:p>
    <w:p>
      <w:pPr>
        <w:numPr>
          <w:ilvl w:val="0"/>
          <w:numId w:val="867"/>
        </w:numPr>
        <w:spacing w:after="200"/>
        <w:ind w:left="720" w:hanging="192"/>
        <w:jc w:val="left"/>
        <w:rPr>
          <w:rFonts w:eastAsia="Arial" w:cs="Arial"/>
          <w:sz w:val="20"/>
          <w:szCs w:val="20"/>
        </w:rPr>
      </w:pPr>
      <w:r>
        <w:rPr>
          <w:rFonts w:eastAsia="Arial" w:cs="Arial"/>
          <w:sz w:val="20"/>
          <w:szCs w:val="20"/>
        </w:rPr>
        <w:t>Periodically verify that the Rule 204-2 required records at the branch office are being maintained in a manner consistent and in compliance with the requirements of Rule 204-2, including that such records are safeguarded and that any access to KCD's information technology systems is secured.</w:t>
      </w:r>
    </w:p>
    <w:p>
      <w:bookmarkEnd w:id="1021"/>
      <w:bookmarkStart w:id="1023" w:name="Sec_Chp_061016102259171_061016102259421"/>
    </w:p>
    <w:p>
      <w:pPr>
        <w:pStyle w:val="Heading3"/>
      </w:pPr>
      <w:bookmarkStart w:id="1024" w:name="_Toc256000260"/>
      <w:r>
        <w:t>13.3.3 Method of Recordkeeping</w:t>
      </w:r>
      <w:bookmarkEnd w:id="1024"/>
    </w:p>
    <w:p/>
    <w:p>
      <w:pPr>
        <w:rPr>
          <w:rFonts w:eastAsia="Arial" w:cs="Arial"/>
          <w:sz w:val="16"/>
          <w:szCs w:val="16"/>
        </w:rPr>
      </w:pPr>
      <w:r>
        <w:rPr>
          <w:rFonts w:eastAsia="Arial" w:cs="Arial"/>
          <w:sz w:val="16"/>
          <w:szCs w:val="16"/>
        </w:rPr>
        <w:t>[Investment Advisers Act of 1940 Rule 204-2]</w:t>
      </w:r>
    </w:p>
    <w:p/>
    <w:p>
      <w:pPr>
        <w:pStyle w:val="normal0"/>
        <w:spacing w:after="200"/>
        <w:rPr>
          <w:rFonts w:eastAsia="Arial" w:cs="Arial"/>
          <w:sz w:val="20"/>
          <w:szCs w:val="20"/>
        </w:rPr>
      </w:pPr>
      <w:r>
        <w:rPr>
          <w:rFonts w:eastAsia="Arial" w:cs="Arial"/>
          <w:sz w:val="20"/>
          <w:szCs w:val="20"/>
        </w:rPr>
        <w:t>The Chief Compliance Officer shall oversee the maintenance and preservation of KCD's books and records. The Chief Compliance Officer may maintain any Required Rule 204-2 Records and any other records of KCD in:</w:t>
      </w:r>
    </w:p>
    <w:p>
      <w:pPr>
        <w:numPr>
          <w:ilvl w:val="0"/>
          <w:numId w:val="868"/>
        </w:numPr>
        <w:spacing w:before="200"/>
        <w:ind w:left="720" w:hanging="192"/>
        <w:jc w:val="left"/>
        <w:rPr>
          <w:rFonts w:eastAsia="Arial" w:cs="Arial"/>
          <w:sz w:val="20"/>
          <w:szCs w:val="20"/>
        </w:rPr>
      </w:pPr>
      <w:r>
        <w:rPr>
          <w:rFonts w:eastAsia="Arial" w:cs="Arial"/>
          <w:sz w:val="20"/>
          <w:szCs w:val="20"/>
        </w:rPr>
        <w:t>Hard copy;</w:t>
      </w:r>
    </w:p>
    <w:p>
      <w:pPr>
        <w:numPr>
          <w:ilvl w:val="0"/>
          <w:numId w:val="868"/>
        </w:numPr>
        <w:ind w:left="720" w:hanging="192"/>
        <w:jc w:val="left"/>
        <w:rPr>
          <w:rFonts w:eastAsia="Arial" w:cs="Arial"/>
          <w:sz w:val="20"/>
          <w:szCs w:val="20"/>
        </w:rPr>
      </w:pPr>
      <w:r>
        <w:rPr>
          <w:rFonts w:eastAsia="Arial" w:cs="Arial"/>
          <w:sz w:val="20"/>
          <w:szCs w:val="20"/>
        </w:rPr>
        <w:t xml:space="preserve">Micrographic media, including microfilm, microfiche, or any similar medium; or </w:t>
      </w:r>
    </w:p>
    <w:p>
      <w:pPr>
        <w:numPr>
          <w:ilvl w:val="0"/>
          <w:numId w:val="868"/>
        </w:numPr>
        <w:spacing w:after="200"/>
        <w:ind w:left="720" w:hanging="192"/>
        <w:jc w:val="left"/>
        <w:rPr>
          <w:rFonts w:eastAsia="Arial" w:cs="Arial"/>
          <w:sz w:val="20"/>
          <w:szCs w:val="20"/>
        </w:rPr>
      </w:pPr>
      <w:r>
        <w:rPr>
          <w:rFonts w:eastAsia="Arial" w:cs="Arial"/>
          <w:sz w:val="20"/>
          <w:szCs w:val="20"/>
        </w:rPr>
        <w:t>Electronic storage media, including any digital storage medium or system.</w:t>
      </w:r>
    </w:p>
    <w:p>
      <w:pPr>
        <w:pStyle w:val="normal0"/>
        <w:spacing w:before="200" w:after="200"/>
        <w:rPr>
          <w:rFonts w:eastAsia="Arial" w:cs="Arial"/>
          <w:sz w:val="20"/>
          <w:szCs w:val="20"/>
        </w:rPr>
      </w:pPr>
      <w:r>
        <w:rPr>
          <w:rFonts w:eastAsia="Arial" w:cs="Arial"/>
          <w:sz w:val="20"/>
          <w:szCs w:val="20"/>
        </w:rPr>
        <w:t>The records must be preserved in a non-rewriteable, non-erasable format (e.g., WORM).</w:t>
      </w:r>
    </w:p>
    <w:p>
      <w:bookmarkEnd w:id="1023"/>
      <w:bookmarkStart w:id="1025" w:name="Sec_Chp_061016102259171_061016102259437"/>
    </w:p>
    <w:p>
      <w:pPr>
        <w:pStyle w:val="Heading3"/>
      </w:pPr>
      <w:bookmarkStart w:id="1026" w:name="_Toc256000261"/>
      <w:r>
        <w:t>13.3.4 Manner of Recordkeeping</w:t>
      </w:r>
      <w:bookmarkEnd w:id="1026"/>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will cause KCD to utilize a central recordkeeping system that will meet or exceed the industry standards. Where practical, KCD will install the necessary software and computer hardware to generate and maintain records electronically.</w:t>
      </w:r>
    </w:p>
    <w:p>
      <w:bookmarkEnd w:id="1025"/>
      <w:bookmarkStart w:id="1027" w:name="Sec_Chp_061016102259171_061016102259453"/>
    </w:p>
    <w:p>
      <w:pPr>
        <w:pStyle w:val="Heading4"/>
      </w:pPr>
      <w:r>
        <w:t>13.3.4.1 General Manner of Recordkeeping</w:t>
      </w:r>
    </w:p>
    <w:p/>
    <w:p>
      <w:pPr>
        <w:rPr>
          <w:rFonts w:eastAsia="Arial" w:cs="Arial"/>
          <w:sz w:val="16"/>
          <w:szCs w:val="16"/>
        </w:rPr>
      </w:pPr>
      <w:r>
        <w:rPr>
          <w:rFonts w:eastAsia="Arial" w:cs="Arial"/>
          <w:sz w:val="16"/>
          <w:szCs w:val="16"/>
        </w:rPr>
        <w:t>[Investment Advisers Act of 1940 Rule 204-2]</w:t>
      </w:r>
    </w:p>
    <w:p/>
    <w:p>
      <w:pPr>
        <w:pStyle w:val="normal0"/>
        <w:spacing w:after="200"/>
        <w:rPr>
          <w:rFonts w:eastAsia="Arial" w:cs="Arial"/>
          <w:sz w:val="20"/>
          <w:szCs w:val="20"/>
        </w:rPr>
      </w:pPr>
      <w:r>
        <w:rPr>
          <w:rFonts w:eastAsia="Arial" w:cs="Arial"/>
          <w:sz w:val="20"/>
          <w:szCs w:val="20"/>
        </w:rPr>
        <w:t>The Chief Compliance Officer will cause KCD:</w:t>
      </w:r>
    </w:p>
    <w:p>
      <w:pPr>
        <w:numPr>
          <w:ilvl w:val="0"/>
          <w:numId w:val="869"/>
        </w:numPr>
        <w:spacing w:before="200"/>
        <w:ind w:left="720" w:hanging="192"/>
        <w:jc w:val="left"/>
        <w:rPr>
          <w:rFonts w:eastAsia="Arial" w:cs="Arial"/>
          <w:sz w:val="20"/>
          <w:szCs w:val="20"/>
        </w:rPr>
      </w:pPr>
      <w:r>
        <w:rPr>
          <w:rFonts w:eastAsia="Arial" w:cs="Arial"/>
          <w:sz w:val="20"/>
          <w:szCs w:val="20"/>
        </w:rPr>
        <w:t>to maintain at its home office and at least one off-site location its required records as follows:</w:t>
      </w:r>
    </w:p>
    <w:p>
      <w:pPr>
        <w:numPr>
          <w:ilvl w:val="1"/>
          <w:numId w:val="869"/>
        </w:numPr>
        <w:ind w:left="1440" w:hanging="220"/>
        <w:jc w:val="left"/>
        <w:rPr>
          <w:rFonts w:eastAsia="Arial" w:cs="Arial"/>
          <w:sz w:val="20"/>
          <w:szCs w:val="20"/>
        </w:rPr>
      </w:pPr>
      <w:r>
        <w:rPr>
          <w:rFonts w:eastAsia="Arial" w:cs="Arial"/>
          <w:sz w:val="20"/>
          <w:szCs w:val="20"/>
        </w:rPr>
        <w:t>A separate folder (tangible or electronic) will be created that is labeled for each sub-section of Rule 204-2 (</w:t>
      </w:r>
      <w:r>
        <w:rPr>
          <w:rFonts w:eastAsia="Arial" w:cs="Arial"/>
          <w:i/>
          <w:iCs/>
          <w:sz w:val="20"/>
          <w:szCs w:val="20"/>
        </w:rPr>
        <w:t>e.g.,</w:t>
      </w:r>
      <w:r>
        <w:rPr>
          <w:rFonts w:eastAsia="Arial" w:cs="Arial"/>
          <w:sz w:val="20"/>
          <w:szCs w:val="20"/>
        </w:rPr>
        <w:t xml:space="preserve"> Rule 204-2(a)(4) - Checks, Bank Statements, Cancelled Checks and Cash Reconciliations);</w:t>
      </w:r>
    </w:p>
    <w:p>
      <w:pPr>
        <w:numPr>
          <w:ilvl w:val="1"/>
          <w:numId w:val="869"/>
        </w:numPr>
        <w:ind w:left="1440" w:hanging="220"/>
        <w:jc w:val="left"/>
        <w:rPr>
          <w:rFonts w:eastAsia="Arial" w:cs="Arial"/>
          <w:sz w:val="20"/>
          <w:szCs w:val="20"/>
        </w:rPr>
      </w:pPr>
      <w:r>
        <w:rPr>
          <w:rFonts w:eastAsia="Arial" w:cs="Arial"/>
          <w:sz w:val="20"/>
          <w:szCs w:val="20"/>
        </w:rPr>
        <w:t>Each folder will contain the corresponding records or a note that the corresponding record is maintained at another location (</w:t>
      </w:r>
      <w:r>
        <w:rPr>
          <w:rFonts w:eastAsia="Arial" w:cs="Arial"/>
          <w:i/>
          <w:iCs/>
          <w:sz w:val="20"/>
          <w:szCs w:val="20"/>
        </w:rPr>
        <w:t>e.g.,</w:t>
      </w:r>
      <w:r>
        <w:rPr>
          <w:rFonts w:eastAsia="Arial" w:cs="Arial"/>
          <w:sz w:val="20"/>
          <w:szCs w:val="20"/>
        </w:rPr>
        <w:t xml:space="preserve"> a service provider). When possible, a copy of records held at other locations will be maintained in the folder at the home office;</w:t>
      </w:r>
    </w:p>
    <w:p>
      <w:pPr>
        <w:numPr>
          <w:ilvl w:val="1"/>
          <w:numId w:val="869"/>
        </w:numPr>
        <w:ind w:left="1440" w:hanging="220"/>
        <w:jc w:val="left"/>
        <w:rPr>
          <w:rFonts w:eastAsia="Arial" w:cs="Arial"/>
          <w:sz w:val="20"/>
          <w:szCs w:val="20"/>
        </w:rPr>
      </w:pPr>
      <w:r>
        <w:rPr>
          <w:rFonts w:eastAsia="Arial" w:cs="Arial"/>
          <w:sz w:val="20"/>
          <w:szCs w:val="20"/>
        </w:rPr>
        <w:t xml:space="preserve">When KCD generates or obtains a required record, it shall, as soon as reasonably possible, file the required record in the appropriate folder; </w:t>
      </w:r>
    </w:p>
    <w:p>
      <w:pPr>
        <w:numPr>
          <w:ilvl w:val="1"/>
          <w:numId w:val="869"/>
        </w:numPr>
        <w:ind w:left="1440" w:hanging="220"/>
        <w:jc w:val="left"/>
        <w:rPr>
          <w:rFonts w:eastAsia="Arial" w:cs="Arial"/>
          <w:sz w:val="20"/>
          <w:szCs w:val="20"/>
        </w:rPr>
      </w:pPr>
      <w:r>
        <w:rPr>
          <w:rFonts w:eastAsia="Arial" w:cs="Arial"/>
          <w:sz w:val="20"/>
          <w:szCs w:val="20"/>
        </w:rPr>
        <w:t>Periodically, the Chief Compliance Officer will review the contents of each folder to verify that it contains the required records; and</w:t>
      </w:r>
    </w:p>
    <w:p>
      <w:pPr>
        <w:numPr>
          <w:ilvl w:val="1"/>
          <w:numId w:val="869"/>
        </w:numPr>
        <w:spacing w:after="200"/>
        <w:ind w:left="1440" w:hanging="220"/>
        <w:jc w:val="left"/>
        <w:rPr>
          <w:rFonts w:eastAsia="Arial" w:cs="Arial"/>
          <w:sz w:val="20"/>
          <w:szCs w:val="20"/>
        </w:rPr>
      </w:pPr>
      <w:r>
        <w:rPr>
          <w:rFonts w:eastAsia="Arial" w:cs="Arial"/>
          <w:sz w:val="20"/>
          <w:szCs w:val="20"/>
        </w:rPr>
        <w:t>A written index will be maintained listing each folder, the status of whether the required record is present and the last time the folder was checked for required records; and</w:t>
      </w:r>
    </w:p>
    <w:p>
      <w:pPr>
        <w:numPr>
          <w:ilvl w:val="0"/>
          <w:numId w:val="870"/>
        </w:numPr>
        <w:spacing w:before="200"/>
        <w:ind w:left="720" w:hanging="192"/>
        <w:jc w:val="left"/>
        <w:rPr>
          <w:rFonts w:eastAsia="Arial" w:cs="Arial"/>
          <w:sz w:val="20"/>
          <w:szCs w:val="20"/>
        </w:rPr>
      </w:pPr>
      <w:r>
        <w:rPr>
          <w:rFonts w:eastAsia="Arial" w:cs="Arial"/>
          <w:sz w:val="20"/>
          <w:szCs w:val="20"/>
        </w:rPr>
        <w:t>to arrange and index the Required Rule 204-2 Records in a manner that permits:</w:t>
      </w:r>
    </w:p>
    <w:p>
      <w:pPr>
        <w:numPr>
          <w:ilvl w:val="1"/>
          <w:numId w:val="870"/>
        </w:numPr>
        <w:ind w:left="1440" w:hanging="220"/>
        <w:jc w:val="left"/>
        <w:rPr>
          <w:rFonts w:eastAsia="Arial" w:cs="Arial"/>
          <w:sz w:val="20"/>
          <w:szCs w:val="20"/>
        </w:rPr>
      </w:pPr>
      <w:r>
        <w:rPr>
          <w:rFonts w:eastAsia="Arial" w:cs="Arial"/>
          <w:sz w:val="20"/>
          <w:szCs w:val="20"/>
        </w:rPr>
        <w:t xml:space="preserve">immediate location, access and retrieval of any particular record; </w:t>
      </w:r>
    </w:p>
    <w:p>
      <w:pPr>
        <w:numPr>
          <w:ilvl w:val="1"/>
          <w:numId w:val="870"/>
        </w:numPr>
        <w:ind w:left="1440" w:hanging="220"/>
        <w:jc w:val="left"/>
        <w:rPr>
          <w:rFonts w:eastAsia="Arial" w:cs="Arial"/>
          <w:sz w:val="20"/>
          <w:szCs w:val="20"/>
        </w:rPr>
      </w:pPr>
      <w:r>
        <w:rPr>
          <w:rFonts w:eastAsia="Arial" w:cs="Arial"/>
          <w:sz w:val="20"/>
          <w:szCs w:val="20"/>
        </w:rPr>
        <w:t xml:space="preserve">an employee of KCD to promptly produce any of the following records to an examiner of the SEC or other regulator: (i) a legible, true, and complete copy of the record in the medium and format in which it is stored; (ii) a legible, true and complete printout of the record; and (iii) means to access, view and print the record; and </w:t>
      </w:r>
    </w:p>
    <w:p>
      <w:pPr>
        <w:numPr>
          <w:ilvl w:val="1"/>
          <w:numId w:val="870"/>
        </w:numPr>
        <w:spacing w:after="200"/>
        <w:ind w:left="1440" w:hanging="220"/>
        <w:jc w:val="left"/>
        <w:rPr>
          <w:rFonts w:eastAsia="Arial" w:cs="Arial"/>
          <w:sz w:val="20"/>
          <w:szCs w:val="20"/>
        </w:rPr>
      </w:pPr>
      <w:r>
        <w:rPr>
          <w:rFonts w:eastAsia="Arial" w:cs="Arial"/>
          <w:sz w:val="20"/>
          <w:szCs w:val="20"/>
        </w:rPr>
        <w:t>the storage of duplicate records.</w:t>
      </w:r>
    </w:p>
    <w:p>
      <w:bookmarkEnd w:id="1027"/>
      <w:bookmarkStart w:id="1028" w:name="Sec_Chp_061016102259171_061016102259468"/>
    </w:p>
    <w:p>
      <w:pPr>
        <w:pStyle w:val="Heading4"/>
      </w:pPr>
      <w:r>
        <w:t>13.3.4.2 Electronic Storage of Records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If KCD stores records on an electronic system, it shall maintain such records in a manner that:</w:t>
      </w:r>
    </w:p>
    <w:p>
      <w:pPr>
        <w:numPr>
          <w:ilvl w:val="0"/>
          <w:numId w:val="871"/>
        </w:numPr>
        <w:spacing w:before="200"/>
        <w:ind w:left="720" w:hanging="192"/>
        <w:jc w:val="left"/>
        <w:rPr>
          <w:rFonts w:eastAsia="Arial" w:cs="Arial"/>
          <w:sz w:val="20"/>
          <w:szCs w:val="20"/>
        </w:rPr>
      </w:pPr>
      <w:r>
        <w:rPr>
          <w:rFonts w:eastAsia="Arial" w:cs="Arial"/>
          <w:sz w:val="20"/>
          <w:szCs w:val="20"/>
        </w:rPr>
        <w:t xml:space="preserve">Reasonably safeguards the records from loss, alteration or destruction; </w:t>
      </w:r>
    </w:p>
    <w:p>
      <w:pPr>
        <w:numPr>
          <w:ilvl w:val="0"/>
          <w:numId w:val="871"/>
        </w:numPr>
        <w:ind w:left="720" w:hanging="192"/>
        <w:jc w:val="left"/>
        <w:rPr>
          <w:rFonts w:eastAsia="Arial" w:cs="Arial"/>
          <w:sz w:val="20"/>
          <w:szCs w:val="20"/>
        </w:rPr>
      </w:pPr>
      <w:r>
        <w:rPr>
          <w:rFonts w:eastAsia="Arial" w:cs="Arial"/>
          <w:sz w:val="20"/>
          <w:szCs w:val="20"/>
        </w:rPr>
        <w:t xml:space="preserve">Limits the access to the records to properly authorized personnel and the SEC and other applicable regulators; and </w:t>
      </w:r>
    </w:p>
    <w:p>
      <w:pPr>
        <w:numPr>
          <w:ilvl w:val="0"/>
          <w:numId w:val="871"/>
        </w:numPr>
        <w:spacing w:after="200"/>
        <w:ind w:left="720" w:hanging="192"/>
        <w:jc w:val="left"/>
        <w:rPr>
          <w:rFonts w:eastAsia="Arial" w:cs="Arial"/>
          <w:sz w:val="20"/>
          <w:szCs w:val="20"/>
        </w:rPr>
      </w:pPr>
      <w:r>
        <w:rPr>
          <w:rFonts w:eastAsia="Arial" w:cs="Arial"/>
          <w:sz w:val="20"/>
          <w:szCs w:val="20"/>
        </w:rPr>
        <w:t>Permits reproduction of a non-electronic original record on electronic storage media in a complete, true and legible way when retrieved.</w:t>
      </w:r>
    </w:p>
    <w:p>
      <w:bookmarkEnd w:id="1028"/>
      <w:bookmarkStart w:id="1029" w:name="Sec_Chp_061016102259171_061016102259484"/>
    </w:p>
    <w:p>
      <w:pPr>
        <w:pStyle w:val="Heading4"/>
      </w:pPr>
      <w:r>
        <w:t xml:space="preserve">13.3.4.3 Client Records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shall consider utilizing a recordkeeping system that allows a file to be created for each client, or is able to sort all records to produce the records of each client, in a manner that produces the following items, at a minimum, for each client: </w:t>
      </w:r>
    </w:p>
    <w:p>
      <w:pPr>
        <w:numPr>
          <w:ilvl w:val="0"/>
          <w:numId w:val="872"/>
        </w:numPr>
        <w:spacing w:before="200"/>
        <w:ind w:left="720" w:hanging="192"/>
        <w:jc w:val="left"/>
        <w:rPr>
          <w:rFonts w:eastAsia="Arial" w:cs="Arial"/>
          <w:sz w:val="20"/>
          <w:szCs w:val="20"/>
        </w:rPr>
      </w:pPr>
      <w:r>
        <w:rPr>
          <w:rFonts w:eastAsia="Arial" w:cs="Arial"/>
          <w:sz w:val="20"/>
          <w:szCs w:val="20"/>
        </w:rPr>
        <w:t xml:space="preserve">Correspondence; </w:t>
      </w:r>
    </w:p>
    <w:p>
      <w:pPr>
        <w:numPr>
          <w:ilvl w:val="0"/>
          <w:numId w:val="872"/>
        </w:numPr>
        <w:ind w:left="720" w:hanging="192"/>
        <w:jc w:val="left"/>
        <w:rPr>
          <w:rFonts w:eastAsia="Arial" w:cs="Arial"/>
          <w:sz w:val="20"/>
          <w:szCs w:val="20"/>
        </w:rPr>
      </w:pPr>
      <w:r>
        <w:rPr>
          <w:rFonts w:eastAsia="Arial" w:cs="Arial"/>
          <w:sz w:val="20"/>
          <w:szCs w:val="20"/>
        </w:rPr>
        <w:t xml:space="preserve">Trade confirmations; </w:t>
      </w:r>
    </w:p>
    <w:p>
      <w:pPr>
        <w:numPr>
          <w:ilvl w:val="0"/>
          <w:numId w:val="872"/>
        </w:numPr>
        <w:ind w:left="720" w:hanging="192"/>
        <w:jc w:val="left"/>
        <w:rPr>
          <w:rFonts w:eastAsia="Arial" w:cs="Arial"/>
          <w:sz w:val="20"/>
          <w:szCs w:val="20"/>
        </w:rPr>
      </w:pPr>
      <w:r>
        <w:rPr>
          <w:rFonts w:eastAsia="Arial" w:cs="Arial"/>
          <w:sz w:val="20"/>
          <w:szCs w:val="20"/>
        </w:rPr>
        <w:t xml:space="preserve">Account statements; </w:t>
      </w:r>
    </w:p>
    <w:p>
      <w:pPr>
        <w:numPr>
          <w:ilvl w:val="0"/>
          <w:numId w:val="872"/>
        </w:numPr>
        <w:ind w:left="720" w:hanging="192"/>
        <w:jc w:val="left"/>
        <w:rPr>
          <w:rFonts w:eastAsia="Arial" w:cs="Arial"/>
          <w:sz w:val="20"/>
          <w:szCs w:val="20"/>
        </w:rPr>
      </w:pPr>
      <w:r>
        <w:rPr>
          <w:rFonts w:eastAsia="Arial" w:cs="Arial"/>
          <w:sz w:val="20"/>
          <w:szCs w:val="20"/>
        </w:rPr>
        <w:t xml:space="preserve">Compliance-related documents; and </w:t>
      </w:r>
    </w:p>
    <w:p>
      <w:pPr>
        <w:numPr>
          <w:ilvl w:val="0"/>
          <w:numId w:val="872"/>
        </w:numPr>
        <w:spacing w:after="200"/>
        <w:ind w:left="720" w:hanging="192"/>
        <w:jc w:val="left"/>
        <w:rPr>
          <w:rFonts w:eastAsia="Arial" w:cs="Arial"/>
          <w:sz w:val="20"/>
          <w:szCs w:val="20"/>
        </w:rPr>
      </w:pPr>
      <w:r>
        <w:rPr>
          <w:rFonts w:eastAsia="Arial" w:cs="Arial"/>
          <w:sz w:val="20"/>
          <w:szCs w:val="20"/>
        </w:rPr>
        <w:t>The name of each security currently held in the client's account and the current amount in the account.</w:t>
      </w:r>
    </w:p>
    <w:p>
      <w:bookmarkEnd w:id="1029"/>
      <w:bookmarkStart w:id="1030" w:name="Sec_Chp_061016102259171_013344"/>
    </w:p>
    <w:p>
      <w:pPr>
        <w:pStyle w:val="Heading4"/>
      </w:pPr>
      <w:r>
        <w:t>13.3.4.4 Text Messages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and archive text messages as follows:</w:t>
      </w:r>
    </w:p>
    <w:p>
      <w:pPr>
        <w:numPr>
          <w:ilvl w:val="0"/>
          <w:numId w:val="873"/>
        </w:numPr>
        <w:spacing w:before="200"/>
        <w:ind w:left="720" w:hanging="192"/>
        <w:jc w:val="left"/>
        <w:rPr>
          <w:rFonts w:eastAsia="Arial" w:cs="Arial"/>
          <w:sz w:val="20"/>
          <w:szCs w:val="20"/>
        </w:rPr>
      </w:pPr>
      <w:r>
        <w:rPr>
          <w:rFonts w:eastAsia="Arial" w:cs="Arial"/>
          <w:sz w:val="20"/>
          <w:szCs w:val="20"/>
        </w:rPr>
        <w:t xml:space="preserve">Using cloud storage or a third-party vendor solution that, among other things, maintains the text messages, allows for prompt production of such messages and has search capabilities; </w:t>
      </w:r>
    </w:p>
    <w:p>
      <w:pPr>
        <w:numPr>
          <w:ilvl w:val="0"/>
          <w:numId w:val="873"/>
        </w:numPr>
        <w:ind w:left="720" w:hanging="192"/>
        <w:jc w:val="left"/>
        <w:rPr>
          <w:rFonts w:eastAsia="Arial" w:cs="Arial"/>
          <w:sz w:val="20"/>
          <w:szCs w:val="20"/>
        </w:rPr>
      </w:pPr>
      <w:r>
        <w:rPr>
          <w:rFonts w:eastAsia="Arial" w:cs="Arial"/>
          <w:sz w:val="20"/>
          <w:szCs w:val="20"/>
        </w:rPr>
        <w:t>Specifies which types of devices may be used for texting;</w:t>
      </w:r>
    </w:p>
    <w:p>
      <w:pPr>
        <w:numPr>
          <w:ilvl w:val="0"/>
          <w:numId w:val="873"/>
        </w:numPr>
        <w:ind w:left="720" w:hanging="192"/>
        <w:jc w:val="left"/>
        <w:rPr>
          <w:rFonts w:eastAsia="Arial" w:cs="Arial"/>
          <w:sz w:val="20"/>
          <w:szCs w:val="20"/>
        </w:rPr>
      </w:pPr>
      <w:r>
        <w:rPr>
          <w:rFonts w:eastAsia="Arial" w:cs="Arial"/>
          <w:sz w:val="20"/>
          <w:szCs w:val="20"/>
        </w:rPr>
        <w:t>Require periodic attestations from employees who are allowed to text to clients that they are complying with these and other recordkeeping procedures of KCD;</w:t>
      </w:r>
    </w:p>
    <w:p>
      <w:pPr>
        <w:numPr>
          <w:ilvl w:val="0"/>
          <w:numId w:val="873"/>
        </w:numPr>
        <w:ind w:left="720" w:hanging="192"/>
        <w:jc w:val="left"/>
        <w:rPr>
          <w:rFonts w:eastAsia="Arial" w:cs="Arial"/>
          <w:sz w:val="20"/>
          <w:szCs w:val="20"/>
        </w:rPr>
      </w:pPr>
      <w:r>
        <w:rPr>
          <w:rFonts w:eastAsia="Arial" w:cs="Arial"/>
          <w:sz w:val="20"/>
          <w:szCs w:val="20"/>
        </w:rPr>
        <w:t>Ensure that personal and business texts are properly segregated through software, apps or other means; and</w:t>
      </w:r>
    </w:p>
    <w:p>
      <w:pPr>
        <w:numPr>
          <w:ilvl w:val="0"/>
          <w:numId w:val="873"/>
        </w:numPr>
        <w:spacing w:after="200"/>
        <w:ind w:left="720" w:hanging="192"/>
        <w:jc w:val="left"/>
        <w:rPr>
          <w:rFonts w:eastAsia="Arial" w:cs="Arial"/>
          <w:sz w:val="20"/>
          <w:szCs w:val="20"/>
        </w:rPr>
      </w:pPr>
      <w:r>
        <w:rPr>
          <w:rFonts w:eastAsia="Arial" w:cs="Arial"/>
          <w:sz w:val="20"/>
          <w:szCs w:val="20"/>
        </w:rPr>
        <w:t>Periodic reviews by the CCO or designee of random employee text messages.</w:t>
      </w:r>
    </w:p>
    <w:p>
      <w:bookmarkEnd w:id="1030"/>
      <w:bookmarkStart w:id="1031" w:name="Sec_Chp_061016102259171_187902"/>
    </w:p>
    <w:p>
      <w:pPr>
        <w:pStyle w:val="Heading4"/>
      </w:pPr>
      <w:r>
        <w:t>13.3.4.5 Records of Communications Made on Social Media</w:t>
      </w:r>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t>The SEC has and likely will continue a widespread investigation into the unauthorized use of electronic messaging (called off-channel communications) by financial firms such as investment advisers for business-related purposes including the use of electronic messaging apps, such as WhatsApp and WeChat. Financial firms' record retention practices related to the work-related communications are also being investigated. The SEC has levied a fine against multiple financial firms for widespread and longstanding failures by such firms and their employees to maintain and preserve electronic communications.</w:t>
            </w:r>
          </w:p>
        </w:tc>
      </w:tr>
    </w:tbl>
    <w:p>
      <w:pPr>
        <w:pStyle w:val="normal0"/>
        <w:spacing w:before="200" w:after="200"/>
        <w:rPr>
          <w:rFonts w:eastAsia="Arial" w:cs="Arial"/>
          <w:sz w:val="20"/>
          <w:szCs w:val="20"/>
        </w:rPr>
      </w:pPr>
      <w:r>
        <w:rPr>
          <w:rFonts w:eastAsia="Arial" w:cs="Arial"/>
          <w:sz w:val="20"/>
          <w:szCs w:val="20"/>
        </w:rPr>
        <w:t>KCD recognizes the challenges to maintaining records of communications made by employees using various social media apps on approved firm or work mobile devices or computers. Recognizing these challenges, KCD shall maintain and archive records required to be maintained by the Advisers Act and rules thereunder as follows:</w:t>
      </w:r>
    </w:p>
    <w:p>
      <w:pPr>
        <w:numPr>
          <w:ilvl w:val="0"/>
          <w:numId w:val="874"/>
        </w:numPr>
        <w:spacing w:before="200"/>
        <w:ind w:left="720" w:hanging="192"/>
        <w:jc w:val="left"/>
        <w:rPr>
          <w:rFonts w:eastAsia="Arial" w:cs="Arial"/>
          <w:sz w:val="20"/>
          <w:szCs w:val="20"/>
        </w:rPr>
      </w:pPr>
      <w:r>
        <w:rPr>
          <w:rFonts w:eastAsia="Arial" w:cs="Arial"/>
          <w:sz w:val="20"/>
          <w:szCs w:val="20"/>
        </w:rPr>
        <w:t>Firm electronic communications will be captured;</w:t>
      </w:r>
    </w:p>
    <w:p>
      <w:pPr>
        <w:numPr>
          <w:ilvl w:val="0"/>
          <w:numId w:val="874"/>
        </w:numPr>
        <w:ind w:left="720" w:hanging="192"/>
        <w:jc w:val="left"/>
        <w:rPr>
          <w:rFonts w:eastAsia="Arial" w:cs="Arial"/>
          <w:sz w:val="20"/>
          <w:szCs w:val="20"/>
        </w:rPr>
      </w:pPr>
      <w:r>
        <w:rPr>
          <w:rFonts w:eastAsia="Arial" w:cs="Arial"/>
          <w:sz w:val="20"/>
          <w:szCs w:val="20"/>
        </w:rPr>
        <w:t>Firm electronic communications will be maintained in a non-rewritable and non-erasable format; and</w:t>
      </w:r>
    </w:p>
    <w:p>
      <w:pPr>
        <w:numPr>
          <w:ilvl w:val="0"/>
          <w:numId w:val="874"/>
        </w:numPr>
        <w:spacing w:after="200"/>
        <w:ind w:left="720" w:hanging="192"/>
        <w:jc w:val="left"/>
        <w:rPr>
          <w:rFonts w:eastAsia="Arial" w:cs="Arial"/>
          <w:sz w:val="20"/>
          <w:szCs w:val="20"/>
        </w:rPr>
      </w:pPr>
      <w:r>
        <w:rPr>
          <w:rFonts w:eastAsia="Arial" w:cs="Arial"/>
          <w:sz w:val="20"/>
          <w:szCs w:val="20"/>
        </w:rPr>
        <w:t>Firm electronic communications will be reasonably protected from outsiders attempting to delete or alter the communication.</w:t>
      </w:r>
    </w:p>
    <w:p>
      <w:pPr>
        <w:pStyle w:val="normal0"/>
        <w:spacing w:before="200" w:after="200"/>
        <w:rPr>
          <w:rFonts w:eastAsia="Arial" w:cs="Arial"/>
          <w:sz w:val="20"/>
          <w:szCs w:val="20"/>
        </w:rPr>
      </w:pPr>
      <w:r>
        <w:rPr>
          <w:rFonts w:eastAsia="Arial" w:cs="Arial"/>
          <w:sz w:val="20"/>
          <w:szCs w:val="20"/>
        </w:rPr>
        <w:t>Additionally, KCD shall:</w:t>
      </w:r>
    </w:p>
    <w:p>
      <w:pPr>
        <w:numPr>
          <w:ilvl w:val="0"/>
          <w:numId w:val="875"/>
        </w:numPr>
        <w:spacing w:before="200"/>
        <w:ind w:left="720" w:hanging="192"/>
        <w:jc w:val="left"/>
        <w:rPr>
          <w:rFonts w:eastAsia="Arial" w:cs="Arial"/>
          <w:sz w:val="20"/>
          <w:szCs w:val="20"/>
        </w:rPr>
      </w:pPr>
      <w:r>
        <w:rPr>
          <w:rFonts w:eastAsia="Arial" w:cs="Arial"/>
          <w:sz w:val="20"/>
          <w:szCs w:val="20"/>
        </w:rPr>
        <w:t>use a third-party vendor solution (</w:t>
      </w:r>
      <w:r>
        <w:rPr>
          <w:rFonts w:eastAsia="Arial" w:cs="Arial"/>
          <w:i/>
          <w:iCs/>
          <w:sz w:val="20"/>
          <w:szCs w:val="20"/>
        </w:rPr>
        <w:t>e.g.,</w:t>
      </w:r>
      <w:r>
        <w:rPr>
          <w:rFonts w:eastAsia="Arial" w:cs="Arial"/>
          <w:sz w:val="20"/>
          <w:szCs w:val="20"/>
        </w:rPr>
        <w:t xml:space="preserve"> Slack) that, among other things, maintains communications involving Firm-related matters made on employee personal or Firm computers, phones and other devices through social media platforms such as Instagram, WhatsApp, WeChat and similar apps; </w:t>
      </w:r>
    </w:p>
    <w:p>
      <w:pPr>
        <w:numPr>
          <w:ilvl w:val="0"/>
          <w:numId w:val="875"/>
        </w:numPr>
        <w:ind w:left="720" w:hanging="192"/>
        <w:jc w:val="left"/>
        <w:rPr>
          <w:rFonts w:eastAsia="Arial" w:cs="Arial"/>
          <w:sz w:val="20"/>
          <w:szCs w:val="20"/>
        </w:rPr>
      </w:pPr>
      <w:r>
        <w:rPr>
          <w:rFonts w:eastAsia="Arial" w:cs="Arial"/>
          <w:sz w:val="20"/>
          <w:szCs w:val="20"/>
        </w:rPr>
        <w:t>require periodic attestations from employees related to use of Firm business through such apps on such devices;</w:t>
      </w:r>
    </w:p>
    <w:p>
      <w:pPr>
        <w:numPr>
          <w:ilvl w:val="0"/>
          <w:numId w:val="875"/>
        </w:numPr>
        <w:ind w:left="720" w:hanging="192"/>
        <w:jc w:val="left"/>
        <w:rPr>
          <w:rFonts w:eastAsia="Arial" w:cs="Arial"/>
          <w:sz w:val="20"/>
          <w:szCs w:val="20"/>
        </w:rPr>
      </w:pPr>
      <w:r>
        <w:rPr>
          <w:rFonts w:eastAsia="Arial" w:cs="Arial"/>
          <w:sz w:val="20"/>
          <w:szCs w:val="20"/>
        </w:rPr>
        <w:t>ensure that personal and business texts are properly segregated through software, apps or other means; and</w:t>
      </w:r>
    </w:p>
    <w:p>
      <w:pPr>
        <w:numPr>
          <w:ilvl w:val="0"/>
          <w:numId w:val="875"/>
        </w:numPr>
        <w:spacing w:after="200"/>
        <w:ind w:left="720" w:hanging="192"/>
        <w:jc w:val="left"/>
        <w:rPr>
          <w:rFonts w:eastAsia="Arial" w:cs="Arial"/>
          <w:sz w:val="20"/>
          <w:szCs w:val="20"/>
        </w:rPr>
      </w:pPr>
      <w:r>
        <w:rPr>
          <w:rFonts w:eastAsia="Arial" w:cs="Arial"/>
          <w:sz w:val="20"/>
          <w:szCs w:val="20"/>
        </w:rPr>
        <w:t>conduct periodic reviews by the CCO or designee of random employee social media communications.</w:t>
      </w:r>
    </w:p>
    <w:p>
      <w:bookmarkEnd w:id="1031"/>
      <w:bookmarkStart w:id="1032" w:name="Sec_Chp_061016102259171_061016102259500"/>
    </w:p>
    <w:p>
      <w:pPr>
        <w:pStyle w:val="Heading3"/>
      </w:pPr>
      <w:bookmarkStart w:id="1033" w:name="_Toc256000262"/>
      <w:r>
        <w:t>13.3.5 Recordkeeping Officer Duties</w:t>
      </w:r>
      <w:bookmarkEnd w:id="1033"/>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At a minimum, the Chief Compliance Officer's duties with respect to recordkeeping include: </w:t>
      </w:r>
    </w:p>
    <w:p>
      <w:pPr>
        <w:numPr>
          <w:ilvl w:val="0"/>
          <w:numId w:val="876"/>
        </w:numPr>
        <w:spacing w:before="200"/>
        <w:ind w:left="720" w:hanging="192"/>
        <w:jc w:val="left"/>
        <w:rPr>
          <w:rFonts w:eastAsia="Arial" w:cs="Arial"/>
          <w:sz w:val="20"/>
          <w:szCs w:val="20"/>
        </w:rPr>
      </w:pPr>
      <w:r>
        <w:rPr>
          <w:rFonts w:eastAsia="Arial" w:cs="Arial"/>
          <w:sz w:val="20"/>
          <w:szCs w:val="20"/>
        </w:rPr>
        <w:t xml:space="preserve">Ensuring that all KCD books and records are kept on a current basis; </w:t>
      </w:r>
    </w:p>
    <w:p>
      <w:pPr>
        <w:numPr>
          <w:ilvl w:val="0"/>
          <w:numId w:val="876"/>
        </w:numPr>
        <w:ind w:left="720" w:hanging="192"/>
        <w:jc w:val="left"/>
        <w:rPr>
          <w:rFonts w:eastAsia="Arial" w:cs="Arial"/>
          <w:sz w:val="20"/>
          <w:szCs w:val="20"/>
        </w:rPr>
      </w:pPr>
      <w:r>
        <w:rPr>
          <w:rFonts w:eastAsia="Arial" w:cs="Arial"/>
          <w:sz w:val="20"/>
          <w:szCs w:val="20"/>
        </w:rPr>
        <w:t xml:space="preserve">Ensuring that KCD trading personnel create records related to client transactions (such as trade tickets) concurrently with the transaction or shortly thereafter so that there is no lag time between the occurrence of the transaction and the creation of the record. The posting of such transactions to KCD ledgers may occur several days after the transaction; </w:t>
      </w:r>
    </w:p>
    <w:p>
      <w:pPr>
        <w:numPr>
          <w:ilvl w:val="0"/>
          <w:numId w:val="876"/>
        </w:numPr>
        <w:ind w:left="720" w:hanging="192"/>
        <w:jc w:val="left"/>
        <w:rPr>
          <w:rFonts w:eastAsia="Arial" w:cs="Arial"/>
          <w:sz w:val="20"/>
          <w:szCs w:val="20"/>
        </w:rPr>
      </w:pPr>
      <w:r>
        <w:rPr>
          <w:rFonts w:eastAsia="Arial" w:cs="Arial"/>
          <w:sz w:val="20"/>
          <w:szCs w:val="20"/>
        </w:rPr>
        <w:t xml:space="preserve">Reminding each relevant employee or officer that he or she is responsible for sending electronically or manually a record required to be maintained by the Compliance Manual or applicable law or regulation to the Chief Compliance Officer; </w:t>
      </w:r>
    </w:p>
    <w:p>
      <w:pPr>
        <w:numPr>
          <w:ilvl w:val="0"/>
          <w:numId w:val="876"/>
        </w:numPr>
        <w:ind w:left="720" w:hanging="192"/>
        <w:jc w:val="left"/>
        <w:rPr>
          <w:rFonts w:eastAsia="Arial" w:cs="Arial"/>
          <w:sz w:val="20"/>
          <w:szCs w:val="20"/>
        </w:rPr>
      </w:pPr>
      <w:r>
        <w:rPr>
          <w:rFonts w:eastAsia="Arial" w:cs="Arial"/>
          <w:sz w:val="20"/>
          <w:szCs w:val="20"/>
        </w:rPr>
        <w:t>Timely sorting or causing others to timely sort documents and other records received during the course of a given day in appropriate tangible or electronic files that have appropriate labels or other identifying marks;</w:t>
      </w:r>
    </w:p>
    <w:p>
      <w:pPr>
        <w:numPr>
          <w:ilvl w:val="0"/>
          <w:numId w:val="876"/>
        </w:numPr>
        <w:ind w:left="720" w:hanging="192"/>
        <w:jc w:val="left"/>
        <w:rPr>
          <w:rFonts w:eastAsia="Arial" w:cs="Arial"/>
          <w:sz w:val="20"/>
          <w:szCs w:val="20"/>
        </w:rPr>
      </w:pPr>
      <w:r>
        <w:rPr>
          <w:rFonts w:eastAsia="Arial" w:cs="Arial"/>
          <w:sz w:val="20"/>
          <w:szCs w:val="20"/>
        </w:rPr>
        <w:t xml:space="preserve">Arranging for relevant records to be transported to an off-site storage facility; and </w:t>
      </w:r>
    </w:p>
    <w:p>
      <w:pPr>
        <w:numPr>
          <w:ilvl w:val="0"/>
          <w:numId w:val="876"/>
        </w:numPr>
        <w:spacing w:after="200"/>
        <w:ind w:left="720" w:hanging="192"/>
        <w:jc w:val="left"/>
        <w:rPr>
          <w:rFonts w:eastAsia="Arial" w:cs="Arial"/>
          <w:sz w:val="20"/>
          <w:szCs w:val="20"/>
        </w:rPr>
      </w:pPr>
      <w:r>
        <w:rPr>
          <w:rFonts w:eastAsia="Arial" w:cs="Arial"/>
          <w:sz w:val="20"/>
          <w:szCs w:val="20"/>
        </w:rPr>
        <w:t xml:space="preserve">Retrieving, upon the request of an employee or officer, a requested record either from KCD's office or arrange for the retrieval of the record from the off-site record storage facility. </w:t>
      </w:r>
    </w:p>
    <w:p>
      <w:bookmarkEnd w:id="1032"/>
      <w:bookmarkStart w:id="1034" w:name="Sec_Chp_061016102259171_061016102259515"/>
    </w:p>
    <w:p>
      <w:pPr>
        <w:pStyle w:val="Heading3"/>
      </w:pPr>
      <w:bookmarkStart w:id="1035" w:name="_Toc256000263"/>
      <w:r>
        <w:t>13.3.6 Records Review</w:t>
      </w:r>
      <w:bookmarkEnd w:id="1035"/>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Periodically, the Chief Compliance Officer will review: </w:t>
      </w:r>
    </w:p>
    <w:p>
      <w:pPr>
        <w:numPr>
          <w:ilvl w:val="0"/>
          <w:numId w:val="877"/>
        </w:numPr>
        <w:spacing w:before="200"/>
        <w:ind w:left="720" w:hanging="192"/>
        <w:jc w:val="left"/>
        <w:rPr>
          <w:rFonts w:eastAsia="Arial" w:cs="Arial"/>
          <w:sz w:val="20"/>
          <w:szCs w:val="20"/>
        </w:rPr>
      </w:pPr>
      <w:r>
        <w:rPr>
          <w:rFonts w:eastAsia="Arial" w:cs="Arial"/>
          <w:sz w:val="20"/>
          <w:szCs w:val="20"/>
        </w:rPr>
        <w:t xml:space="preserve">KCD's books and records for completeness, accuracy, timeliness, and proper recording of information. Such review shall be evidenced by the Chief Compliance Officer placing his or her signature or initials on all reviewed documents or by some other manner; </w:t>
      </w:r>
    </w:p>
    <w:p>
      <w:pPr>
        <w:numPr>
          <w:ilvl w:val="0"/>
          <w:numId w:val="877"/>
        </w:numPr>
        <w:ind w:left="720" w:hanging="192"/>
        <w:jc w:val="left"/>
        <w:rPr>
          <w:rFonts w:eastAsia="Arial" w:cs="Arial"/>
          <w:sz w:val="20"/>
          <w:szCs w:val="20"/>
        </w:rPr>
      </w:pPr>
      <w:r>
        <w:rPr>
          <w:rFonts w:eastAsia="Arial" w:cs="Arial"/>
          <w:sz w:val="20"/>
          <w:szCs w:val="20"/>
        </w:rPr>
        <w:t xml:space="preserve">The types and forms of records currently being retained by KCD and compare them with the types and forms of records required to be retained by KCD, and document why each type and form of a non-required record is being retained; and </w:t>
      </w:r>
    </w:p>
    <w:p>
      <w:pPr>
        <w:numPr>
          <w:ilvl w:val="0"/>
          <w:numId w:val="877"/>
        </w:numPr>
        <w:spacing w:after="200"/>
        <w:ind w:left="720" w:hanging="192"/>
        <w:jc w:val="left"/>
        <w:rPr>
          <w:rFonts w:eastAsia="Arial" w:cs="Arial"/>
          <w:sz w:val="20"/>
          <w:szCs w:val="20"/>
        </w:rPr>
      </w:pPr>
      <w:r>
        <w:rPr>
          <w:rFonts w:eastAsia="Arial" w:cs="Arial"/>
          <w:sz w:val="20"/>
          <w:szCs w:val="20"/>
        </w:rPr>
        <w:t xml:space="preserve">How long certain records have been retained and, based upon this review, whether the records can be destroyed or moved to an off-site storage facility. </w:t>
      </w:r>
    </w:p>
    <w:p>
      <w:bookmarkEnd w:id="1034"/>
      <w:bookmarkStart w:id="1036" w:name="Sec_Chp_061016102259171_061016102259531"/>
    </w:p>
    <w:p>
      <w:pPr>
        <w:pStyle w:val="Heading3"/>
      </w:pPr>
      <w:bookmarkStart w:id="1037" w:name="_Toc256000264"/>
      <w:r>
        <w:t>13.3.7 Records Destruction Policy</w:t>
      </w:r>
      <w:bookmarkEnd w:id="1037"/>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recognizes that all records have a limited useful life and that laws and rules require certain records to be maintained only for a specified number of years. The [Chief Compliance Officer] shall have the sole authority to cause KCD to destroy all records not required to be retained by KCD by the procedures in this chapter or the books and records rule under the Advisers Act.</w:t>
      </w:r>
    </w:p>
    <w:p>
      <w:pPr>
        <w:pStyle w:val="normal0"/>
        <w:spacing w:before="200" w:after="200"/>
        <w:rPr>
          <w:rFonts w:eastAsia="Arial" w:cs="Arial"/>
          <w:sz w:val="20"/>
          <w:szCs w:val="20"/>
        </w:rPr>
      </w:pPr>
      <w:r>
        <w:rPr>
          <w:rFonts w:eastAsia="Arial" w:cs="Arial"/>
          <w:sz w:val="20"/>
          <w:szCs w:val="20"/>
        </w:rPr>
        <w:t xml:space="preserve">The [Chief Compliance Officer] shall document the destruction of records, including documenting the date of the destruction and a description of the documents and electronic media destroyed. </w:t>
      </w:r>
    </w:p>
    <w:p>
      <w:pPr>
        <w:pStyle w:val="normal0"/>
        <w:spacing w:before="200" w:after="200"/>
        <w:rPr>
          <w:rFonts w:eastAsia="Arial" w:cs="Arial"/>
          <w:sz w:val="20"/>
          <w:szCs w:val="20"/>
        </w:rPr>
      </w:pPr>
      <w:r>
        <w:rPr>
          <w:rFonts w:eastAsia="Arial" w:cs="Arial"/>
          <w:sz w:val="20"/>
          <w:szCs w:val="20"/>
        </w:rPr>
        <w:t>Neither KCD nor any of its directors, officers or employees shall destroy any hard copy documents or information on electronic media if there is a pending, potential or imminent audit, governmental investigation or litigation against KCD or any of its employees unless:</w:t>
      </w:r>
    </w:p>
    <w:p>
      <w:pPr>
        <w:numPr>
          <w:ilvl w:val="0"/>
          <w:numId w:val="878"/>
        </w:numPr>
        <w:spacing w:before="200"/>
        <w:ind w:left="720" w:hanging="192"/>
        <w:jc w:val="left"/>
        <w:rPr>
          <w:rFonts w:eastAsia="Arial" w:cs="Arial"/>
          <w:sz w:val="20"/>
          <w:szCs w:val="20"/>
        </w:rPr>
      </w:pPr>
      <w:r>
        <w:rPr>
          <w:rFonts w:eastAsia="Arial" w:cs="Arial"/>
          <w:sz w:val="20"/>
          <w:szCs w:val="20"/>
        </w:rPr>
        <w:t xml:space="preserve">such hard copy document or electronic media is unrelated to such action; and </w:t>
      </w:r>
    </w:p>
    <w:p>
      <w:pPr>
        <w:numPr>
          <w:ilvl w:val="0"/>
          <w:numId w:val="878"/>
        </w:numPr>
        <w:spacing w:after="200"/>
        <w:ind w:left="720" w:hanging="192"/>
        <w:jc w:val="left"/>
        <w:rPr>
          <w:rFonts w:eastAsia="Arial" w:cs="Arial"/>
          <w:sz w:val="20"/>
          <w:szCs w:val="20"/>
        </w:rPr>
      </w:pPr>
      <w:r>
        <w:rPr>
          <w:rFonts w:eastAsia="Arial" w:cs="Arial"/>
          <w:sz w:val="20"/>
          <w:szCs w:val="20"/>
        </w:rPr>
        <w:t>an officer or other relevant employee with knowledge of such action determines that it is legal and appropriate to destroy the hard copy document or electronic media.</w:t>
      </w:r>
    </w:p>
    <w:p>
      <w:pPr>
        <w:pStyle w:val="normal0"/>
        <w:spacing w:before="200" w:after="200"/>
        <w:rPr>
          <w:rFonts w:eastAsia="Arial" w:cs="Arial"/>
          <w:sz w:val="20"/>
          <w:szCs w:val="20"/>
        </w:rPr>
      </w:pPr>
      <w:r>
        <w:rPr>
          <w:rFonts w:eastAsia="Arial" w:cs="Arial"/>
          <w:sz w:val="20"/>
          <w:szCs w:val="20"/>
        </w:rPr>
        <w:t>When KCD determines to destroy any hard copy documents, it will:</w:t>
      </w:r>
    </w:p>
    <w:p>
      <w:pPr>
        <w:numPr>
          <w:ilvl w:val="0"/>
          <w:numId w:val="879"/>
        </w:numPr>
        <w:spacing w:before="200"/>
        <w:ind w:left="720" w:hanging="192"/>
        <w:jc w:val="left"/>
        <w:rPr>
          <w:rFonts w:eastAsia="Arial" w:cs="Arial"/>
          <w:sz w:val="20"/>
          <w:szCs w:val="20"/>
        </w:rPr>
      </w:pPr>
      <w:r>
        <w:rPr>
          <w:rFonts w:eastAsia="Arial" w:cs="Arial"/>
          <w:sz w:val="20"/>
          <w:szCs w:val="20"/>
        </w:rPr>
        <w:t>Make sure that the hard copy documents containing material non-public information are shredded or otherwise destroyed so that the information cannot be read or reconstructed; and</w:t>
      </w:r>
    </w:p>
    <w:p>
      <w:pPr>
        <w:numPr>
          <w:ilvl w:val="0"/>
          <w:numId w:val="879"/>
        </w:numPr>
        <w:spacing w:after="200"/>
        <w:ind w:left="720" w:hanging="192"/>
        <w:jc w:val="left"/>
        <w:rPr>
          <w:rFonts w:eastAsia="Arial" w:cs="Arial"/>
          <w:sz w:val="20"/>
          <w:szCs w:val="20"/>
        </w:rPr>
      </w:pPr>
      <w:r>
        <w:rPr>
          <w:rFonts w:eastAsia="Arial" w:cs="Arial"/>
          <w:sz w:val="20"/>
          <w:szCs w:val="20"/>
        </w:rPr>
        <w:t>Make sure that the destruction or erasure of electronic media containing material non-public information so that the information cannot be read or reconstructed.</w:t>
      </w:r>
    </w:p>
    <w:p>
      <w:pPr>
        <w:pStyle w:val="normal0"/>
        <w:spacing w:before="200" w:after="200"/>
        <w:rPr>
          <w:rFonts w:eastAsia="Arial" w:cs="Arial"/>
          <w:sz w:val="20"/>
          <w:szCs w:val="20"/>
        </w:rPr>
      </w:pPr>
      <w:r>
        <w:rPr>
          <w:rFonts w:eastAsia="Arial" w:cs="Arial"/>
          <w:sz w:val="20"/>
          <w:szCs w:val="20"/>
        </w:rPr>
        <w:t>Prior to retaining a hard copy document or electronic media disposal company, KCD will:</w:t>
      </w:r>
    </w:p>
    <w:p>
      <w:pPr>
        <w:numPr>
          <w:ilvl w:val="0"/>
          <w:numId w:val="880"/>
        </w:numPr>
        <w:spacing w:before="200"/>
        <w:ind w:left="720" w:hanging="192"/>
        <w:jc w:val="left"/>
        <w:rPr>
          <w:rFonts w:eastAsia="Arial" w:cs="Arial"/>
          <w:sz w:val="20"/>
          <w:szCs w:val="20"/>
        </w:rPr>
      </w:pPr>
      <w:r>
        <w:rPr>
          <w:rFonts w:eastAsia="Arial" w:cs="Arial"/>
          <w:sz w:val="20"/>
          <w:szCs w:val="20"/>
        </w:rPr>
        <w:t>Obtain references from several reliable sources about such company;</w:t>
      </w:r>
    </w:p>
    <w:p>
      <w:pPr>
        <w:numPr>
          <w:ilvl w:val="0"/>
          <w:numId w:val="880"/>
        </w:numPr>
        <w:ind w:left="720" w:hanging="192"/>
        <w:jc w:val="left"/>
        <w:rPr>
          <w:rFonts w:eastAsia="Arial" w:cs="Arial"/>
          <w:sz w:val="20"/>
          <w:szCs w:val="20"/>
        </w:rPr>
      </w:pPr>
      <w:r>
        <w:rPr>
          <w:rFonts w:eastAsia="Arial" w:cs="Arial"/>
          <w:sz w:val="20"/>
          <w:szCs w:val="20"/>
        </w:rPr>
        <w:t>Take other actions necessary to determine the competency and integrity of such company; and</w:t>
      </w:r>
    </w:p>
    <w:p>
      <w:pPr>
        <w:numPr>
          <w:ilvl w:val="0"/>
          <w:numId w:val="880"/>
        </w:numPr>
        <w:spacing w:after="200"/>
        <w:ind w:left="720" w:hanging="192"/>
        <w:jc w:val="left"/>
        <w:rPr>
          <w:rFonts w:eastAsia="Arial" w:cs="Arial"/>
          <w:sz w:val="20"/>
          <w:szCs w:val="20"/>
        </w:rPr>
      </w:pPr>
      <w:r>
        <w:rPr>
          <w:rFonts w:eastAsia="Arial" w:cs="Arial"/>
          <w:sz w:val="20"/>
          <w:szCs w:val="20"/>
        </w:rPr>
        <w:t>Make sure that any company retained to dispose hard copy documents or electronic media performs such functions in a manner consistent with these procedures.</w:t>
      </w:r>
    </w:p>
    <w:p>
      <w:pPr>
        <w:pStyle w:val="normal0"/>
        <w:spacing w:before="200" w:after="200"/>
        <w:rPr>
          <w:rFonts w:eastAsia="Arial" w:cs="Arial"/>
          <w:sz w:val="20"/>
          <w:szCs w:val="20"/>
        </w:rPr>
      </w:pPr>
      <w:r>
        <w:rPr>
          <w:rFonts w:eastAsia="Arial" w:cs="Arial"/>
          <w:sz w:val="20"/>
          <w:szCs w:val="20"/>
        </w:rPr>
        <w:t>KCD shall not implement and operate software or other systems that automatically run deletions of electronic communications such as e-mails even if records of such electronic communications are outside the retention period requirements of the Advisers Act.</w:t>
      </w:r>
    </w:p>
    <w:p>
      <w:bookmarkEnd w:id="1036"/>
      <w:bookmarkStart w:id="1038" w:name="Sec_Chp_061016102259171_061016102259546"/>
    </w:p>
    <w:p>
      <w:pPr>
        <w:pStyle w:val="Heading2"/>
      </w:pPr>
      <w:bookmarkStart w:id="1039" w:name="_Toc256000265"/>
      <w:r>
        <w:t>13.4 Books and Records</w:t>
      </w:r>
      <w:bookmarkEnd w:id="1039"/>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maintain the necessary documents and other records demonstrating its compliance with the Recordkeeping procedures set forth in this chapter.</w:t>
      </w:r>
    </w:p>
    <w:p>
      <w:pPr>
        <w:rPr>
          <w:rFonts w:ascii="Times New Roman" w:eastAsia="Times New Roman" w:hAnsi="Times New Roman" w:cs="Times New Roman"/>
          <w:sz w:val="24"/>
        </w:rPr>
      </w:pPr>
      <w:bookmarkEnd w:id="1038"/>
    </w:p>
    <w:p>
      <w:r>
        <w:rPr>
          <w:rFonts w:ascii="Times New Roman" w:eastAsia="Times New Roman" w:hAnsi="Times New Roman" w:cs="Times New Roman"/>
          <w:sz w:val="24"/>
        </w:rPr>
        <w:br w:type="page"/>
      </w:r>
    </w:p>
    <w:p>
      <w:pPr>
        <w:pStyle w:val="Heading1"/>
      </w:pPr>
      <w:bookmarkStart w:id="1040" w:name="_Toc256000266"/>
      <w:r>
        <w:t>14 COMPLIANCE</w:t>
      </w:r>
      <w:bookmarkEnd w:id="1040"/>
    </w:p>
    <w:p>
      <w:bookmarkStart w:id="1041" w:name="Sec_Chp_061016102246187_061016102246296"/>
    </w:p>
    <w:p>
      <w:pPr>
        <w:pStyle w:val="Heading2"/>
      </w:pPr>
      <w:bookmarkStart w:id="1042" w:name="_Toc256000267"/>
      <w:r>
        <w:t>Introduction</w:t>
      </w:r>
      <w:bookmarkEnd w:id="1042"/>
    </w:p>
    <w:p/>
    <w:p>
      <w:pPr>
        <w:rPr>
          <w:rFonts w:eastAsia="Arial" w:cs="Arial"/>
          <w:sz w:val="16"/>
          <w:szCs w:val="16"/>
        </w:rPr>
      </w:pPr>
      <w:r>
        <w:rPr>
          <w:rFonts w:eastAsia="Arial" w:cs="Arial"/>
          <w:sz w:val="16"/>
          <w:szCs w:val="16"/>
        </w:rPr>
        <w:t>[Investment Advisers Act of 1940 Rule 206(4)-7]</w:t>
      </w:r>
    </w:p>
    <w:p/>
    <w:p>
      <w:pPr>
        <w:pStyle w:val="normal0"/>
        <w:spacing w:after="200"/>
        <w:rPr>
          <w:rFonts w:eastAsia="Arial" w:cs="Arial"/>
          <w:sz w:val="20"/>
          <w:szCs w:val="20"/>
        </w:rPr>
      </w:pPr>
      <w:r>
        <w:rPr>
          <w:rFonts w:eastAsia="Arial" w:cs="Arial"/>
          <w:sz w:val="20"/>
          <w:szCs w:val="20"/>
        </w:rPr>
        <w:t>Rule 206(4)-7 under the Investment Advisers Act of 1940 requires SEC-registered investment advisers to adopt written compliance procedures, review the adequacy of the compliance procedures annually, and designate a chief compliance officer. The SEC adopted the rule because it is critically important for investment advisers to have strong systems of controls in place to prevent violations of laws and to protect the interests of clients.</w:t>
      </w:r>
    </w:p>
    <w:p>
      <w:pPr>
        <w:pStyle w:val="normal0"/>
        <w:spacing w:before="200" w:after="200"/>
        <w:rPr>
          <w:rFonts w:eastAsia="Arial" w:cs="Arial"/>
          <w:sz w:val="20"/>
          <w:szCs w:val="20"/>
        </w:rPr>
      </w:pPr>
      <w:r>
        <w:rPr>
          <w:rFonts w:eastAsia="Arial" w:cs="Arial"/>
          <w:sz w:val="20"/>
          <w:szCs w:val="20"/>
        </w:rPr>
        <w:t xml:space="preserve">The SEC, state securities regulators and other regulatory agencies from time to time may conduct inspections and examinations of KCD to ensure compliance with applicable laws and rules. In many cases, a regulatory inspection may be unannounced. </w:t>
      </w:r>
    </w:p>
    <w:p>
      <w:pPr>
        <w:pStyle w:val="normal0"/>
        <w:spacing w:before="200" w:after="200"/>
        <w:rPr>
          <w:rFonts w:eastAsia="Arial" w:cs="Arial"/>
          <w:sz w:val="20"/>
          <w:szCs w:val="20"/>
        </w:rPr>
      </w:pPr>
      <w:r>
        <w:rPr>
          <w:rFonts w:eastAsia="Arial" w:cs="Arial"/>
          <w:sz w:val="20"/>
          <w:szCs w:val="20"/>
        </w:rPr>
        <w:t>In this chapter, the firm appoints a Chief Compliance Officer, sets forth the firm's supervisory system, calls for training employees about compliance, and requires the firm to audit its compliance procedures.</w:t>
      </w:r>
    </w:p>
    <w:p>
      <w:bookmarkEnd w:id="1041"/>
      <w:bookmarkStart w:id="1043" w:name="Sec_Chp_061016102246187_061016102246312"/>
    </w:p>
    <w:p>
      <w:pPr>
        <w:pStyle w:val="Heading2"/>
      </w:pPr>
      <w:bookmarkStart w:id="1044" w:name="_Toc256000268"/>
      <w:r>
        <w:t>14.1 Compliance Reference Chart</w:t>
      </w:r>
      <w:bookmarkEnd w:id="1044"/>
    </w:p>
    <w:p/>
    <w:p>
      <w:pPr>
        <w:rPr>
          <w:rFonts w:eastAsia="Arial" w:cs="Arial"/>
          <w:sz w:val="16"/>
          <w:szCs w:val="16"/>
        </w:rPr>
      </w:pPr>
      <w:r>
        <w:rPr>
          <w:rFonts w:eastAsia="Arial" w:cs="Arial"/>
          <w:sz w:val="16"/>
          <w:szCs w:val="16"/>
        </w:rPr>
        <w:t>[Investment Advisers Act of 1940 Rule 206(4)-7; Investment Advisers Act of 1940 Section 203(e)(6)]</w:t>
      </w:r>
    </w:p>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1984"/>
        <w:gridCol w:w="7936"/>
      </w:tblGrid>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Responsibility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81"/>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Chief Compliance Officer</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Operational Areas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8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 Management</w:t>
            </w:r>
          </w:p>
          <w:p>
            <w:pPr>
              <w:numPr>
                <w:ilvl w:val="0"/>
                <w:numId w:val="882"/>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Legal</w:t>
            </w:r>
          </w:p>
          <w:p>
            <w:pPr>
              <w:numPr>
                <w:ilvl w:val="0"/>
                <w:numId w:val="882"/>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Operations</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Frequency</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83"/>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 xml:space="preserve">Each day KCD is open for business it must carry out specific compliance responsibilities set forth herein </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Statute/Rule</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84"/>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Section 203(e)(6) of the Investment Advisers Act of 1940</w:t>
            </w:r>
          </w:p>
          <w:p>
            <w:pPr>
              <w:numPr>
                <w:ilvl w:val="0"/>
                <w:numId w:val="884"/>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Rule 206(4)-7 under the Investment Advisers Act of 1940</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Records</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8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This Compliance Manual and the versions of the Compliance Manuals that were in effect at any time during the last five years</w:t>
            </w:r>
          </w:p>
          <w:p>
            <w:pPr>
              <w:numPr>
                <w:ilvl w:val="0"/>
                <w:numId w:val="885"/>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All records documenting KCD's annual review of the Compliance Manual</w:t>
            </w:r>
          </w:p>
          <w:p>
            <w:pPr>
              <w:numPr>
                <w:ilvl w:val="0"/>
                <w:numId w:val="885"/>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Written records of any Compliance Manual violation</w:t>
            </w:r>
          </w:p>
        </w:tc>
      </w:tr>
      <w:tr>
        <w:tblPrEx>
          <w:tblW w:w="5000" w:type="pct"/>
          <w:tblLook w:val="05E0"/>
        </w:tblPrEx>
        <w:tc>
          <w:tcPr>
            <w:tcW w:w="1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jc w:val="center"/>
              <w:rPr>
                <w:rFonts w:eastAsia="Arial" w:cs="Arial"/>
                <w:b/>
                <w:bCs/>
                <w:i w:val="0"/>
                <w:iCs w:val="0"/>
                <w:smallCaps w:val="0"/>
                <w:color w:val="000000"/>
                <w:sz w:val="24"/>
              </w:rPr>
            </w:pPr>
            <w:r>
              <w:rPr>
                <w:rFonts w:eastAsia="Arial" w:cs="Arial"/>
                <w:b/>
                <w:bCs/>
                <w:i w:val="0"/>
                <w:iCs w:val="0"/>
                <w:smallCaps w:val="0"/>
                <w:color w:val="000000"/>
                <w:sz w:val="20"/>
              </w:rPr>
              <w:t>Audit</w:t>
            </w:r>
          </w:p>
        </w:tc>
        <w:tc>
          <w:tcPr>
            <w:tcW w:w="4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numPr>
                <w:ilvl w:val="0"/>
                <w:numId w:val="886"/>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KCD audits its Compliance Procedures annually.</w:t>
            </w:r>
          </w:p>
        </w:tc>
      </w:tr>
    </w:tbl>
    <w:p>
      <w:bookmarkEnd w:id="1043"/>
      <w:bookmarkStart w:id="1045" w:name="Sec_Chp_061016102246187_061016102246343"/>
    </w:p>
    <w:p>
      <w:pPr>
        <w:pStyle w:val="Heading2"/>
      </w:pPr>
      <w:bookmarkStart w:id="1046" w:name="_Toc256000269"/>
      <w:r>
        <w:t>14.2 Policy</w:t>
      </w:r>
      <w:bookmarkEnd w:id="1046"/>
    </w:p>
    <w:p/>
    <w:p>
      <w:pPr>
        <w:rPr>
          <w:rFonts w:eastAsia="Arial" w:cs="Arial"/>
          <w:sz w:val="16"/>
          <w:szCs w:val="16"/>
        </w:rPr>
      </w:pPr>
    </w:p>
    <w:p>
      <w:pPr>
        <w:pStyle w:val="normal0"/>
        <w:spacing w:after="200"/>
        <w:rPr>
          <w:rFonts w:eastAsia="Arial" w:cs="Arial"/>
          <w:sz w:val="20"/>
          <w:szCs w:val="20"/>
        </w:rPr>
      </w:pPr>
      <w:r>
        <w:rPr>
          <w:rFonts w:eastAsia="Arial" w:cs="Arial"/>
          <w:sz w:val="20"/>
          <w:szCs w:val="20"/>
        </w:rPr>
        <w:t>It is KCD's policy to have a Compliance Manual and Chief Compliance Officer, to require each employee to participate, at least annually in compliance training, to take swift remedial action to address any violations of KCD's compliance policies and procedures and laws and regulations, and to fully cooperate with regulatory examiners.</w:t>
      </w:r>
    </w:p>
    <w:p>
      <w:bookmarkEnd w:id="1045"/>
      <w:bookmarkStart w:id="1047" w:name="Sec_Chp_061016102246187_061016102246359"/>
    </w:p>
    <w:p>
      <w:pPr>
        <w:pStyle w:val="Heading2"/>
      </w:pPr>
      <w:bookmarkStart w:id="1048" w:name="_Toc256000270"/>
      <w:r>
        <w:t>14.3 Procedures</w:t>
      </w:r>
      <w:bookmarkEnd w:id="1048"/>
      <w:r>
        <w:t xml:space="preserve"> </w:t>
      </w:r>
    </w:p>
    <w:p/>
    <w:p>
      <w:pPr>
        <w:rPr>
          <w:rFonts w:eastAsia="Arial" w:cs="Arial"/>
          <w:sz w:val="16"/>
          <w:szCs w:val="16"/>
        </w:rPr>
      </w:pPr>
    </w:p>
    <w:p>
      <w:bookmarkEnd w:id="1047"/>
      <w:bookmarkStart w:id="1049" w:name="Sec_Chp_061016102246187_061016102246375"/>
    </w:p>
    <w:p>
      <w:pPr>
        <w:pStyle w:val="Heading3"/>
      </w:pPr>
      <w:bookmarkStart w:id="1050" w:name="_Toc256000271"/>
      <w:r>
        <w:t>14.3.1 Compliance Procedures</w:t>
      </w:r>
      <w:bookmarkEnd w:id="1050"/>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Pursuant to Rule 206(4)-7 under the Investment Advisers Act of 1940, KCD has adopted this Compliance Manual and the compliance procedures contained herein. These Compliance Procedures shall be designed to:</w:t>
      </w:r>
    </w:p>
    <w:p>
      <w:pPr>
        <w:numPr>
          <w:ilvl w:val="0"/>
          <w:numId w:val="887"/>
        </w:numPr>
        <w:spacing w:before="200"/>
        <w:ind w:left="720" w:hanging="192"/>
        <w:jc w:val="left"/>
        <w:rPr>
          <w:rFonts w:eastAsia="Arial" w:cs="Arial"/>
          <w:sz w:val="20"/>
          <w:szCs w:val="20"/>
        </w:rPr>
      </w:pPr>
      <w:r>
        <w:rPr>
          <w:rFonts w:eastAsia="Arial" w:cs="Arial"/>
          <w:sz w:val="20"/>
          <w:szCs w:val="20"/>
        </w:rPr>
        <w:t xml:space="preserve">Prevent violations of the securities laws and other applicable laws from occurring; </w:t>
      </w:r>
    </w:p>
    <w:p>
      <w:pPr>
        <w:numPr>
          <w:ilvl w:val="0"/>
          <w:numId w:val="887"/>
        </w:numPr>
        <w:ind w:left="720" w:hanging="192"/>
        <w:jc w:val="left"/>
        <w:rPr>
          <w:rFonts w:eastAsia="Arial" w:cs="Arial"/>
          <w:sz w:val="20"/>
          <w:szCs w:val="20"/>
        </w:rPr>
      </w:pPr>
      <w:r>
        <w:rPr>
          <w:rFonts w:eastAsia="Arial" w:cs="Arial"/>
          <w:sz w:val="20"/>
          <w:szCs w:val="20"/>
        </w:rPr>
        <w:t xml:space="preserve">Detect violations that have occurred; and </w:t>
      </w:r>
    </w:p>
    <w:p>
      <w:pPr>
        <w:numPr>
          <w:ilvl w:val="0"/>
          <w:numId w:val="887"/>
        </w:numPr>
        <w:spacing w:after="200"/>
        <w:ind w:left="720" w:hanging="192"/>
        <w:jc w:val="left"/>
        <w:rPr>
          <w:rFonts w:eastAsia="Arial" w:cs="Arial"/>
          <w:sz w:val="20"/>
          <w:szCs w:val="20"/>
        </w:rPr>
      </w:pPr>
      <w:r>
        <w:rPr>
          <w:rFonts w:eastAsia="Arial" w:cs="Arial"/>
          <w:sz w:val="20"/>
          <w:szCs w:val="20"/>
        </w:rPr>
        <w:t>Correct promptly any violations that have occurred.</w:t>
      </w:r>
    </w:p>
    <w:p>
      <w:bookmarkEnd w:id="1049"/>
      <w:bookmarkStart w:id="1051" w:name="Sec_Chp_061016102246187_061016102246390"/>
    </w:p>
    <w:p>
      <w:pPr>
        <w:pStyle w:val="Heading3"/>
      </w:pPr>
      <w:bookmarkStart w:id="1052" w:name="_Toc256000272"/>
      <w:r>
        <w:t>14.3.2 Chief Compliance Officer</w:t>
      </w:r>
      <w:bookmarkEnd w:id="1052"/>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will have at all times a "Chief Compliance Officer" whose duties are to administer the compliance policies and procedures of KCD. The Chief Executive Officer or senior management of KCD shall appoint a single employee to be the Chief Compliance Officer. Such appointment shall be reflected in the minutes of a board or management meeting held by KCD. The position of "Chief Compliance Officer" shall:</w:t>
      </w:r>
    </w:p>
    <w:p>
      <w:pPr>
        <w:numPr>
          <w:ilvl w:val="0"/>
          <w:numId w:val="888"/>
        </w:numPr>
        <w:spacing w:before="200"/>
        <w:ind w:left="720" w:hanging="192"/>
        <w:jc w:val="left"/>
        <w:rPr>
          <w:rFonts w:eastAsia="Arial" w:cs="Arial"/>
          <w:sz w:val="20"/>
          <w:szCs w:val="20"/>
        </w:rPr>
      </w:pPr>
      <w:r>
        <w:rPr>
          <w:rFonts w:eastAsia="Arial" w:cs="Arial"/>
          <w:sz w:val="20"/>
          <w:szCs w:val="20"/>
        </w:rPr>
        <w:t>Be occupied by a person who is competent and knowledgeable about the Investment Advisers Act of 1940 and rules thereunder, and other applicable laws;</w:t>
      </w:r>
    </w:p>
    <w:p>
      <w:pPr>
        <w:numPr>
          <w:ilvl w:val="0"/>
          <w:numId w:val="888"/>
        </w:numPr>
        <w:ind w:left="720" w:hanging="192"/>
        <w:jc w:val="left"/>
        <w:rPr>
          <w:rFonts w:eastAsia="Arial" w:cs="Arial"/>
          <w:sz w:val="20"/>
          <w:szCs w:val="20"/>
        </w:rPr>
      </w:pPr>
      <w:r>
        <w:rPr>
          <w:rFonts w:eastAsia="Arial" w:cs="Arial"/>
          <w:sz w:val="20"/>
          <w:szCs w:val="20"/>
        </w:rPr>
        <w:t>Have minimum other professional responsibilities, either elsewhere with KCD or with outside firms, ensuring that he or she will be able to devote sufficient time to fulfilling his or her responsibilities as Chief Compliance Officer;</w:t>
      </w:r>
    </w:p>
    <w:p>
      <w:pPr>
        <w:numPr>
          <w:ilvl w:val="0"/>
          <w:numId w:val="888"/>
        </w:numPr>
        <w:ind w:left="720" w:hanging="192"/>
        <w:jc w:val="left"/>
        <w:rPr>
          <w:rFonts w:eastAsia="Arial" w:cs="Arial"/>
          <w:sz w:val="20"/>
          <w:szCs w:val="20"/>
        </w:rPr>
      </w:pPr>
      <w:r>
        <w:rPr>
          <w:rFonts w:eastAsia="Arial" w:cs="Arial"/>
          <w:sz w:val="20"/>
          <w:szCs w:val="20"/>
        </w:rPr>
        <w:t xml:space="preserve">Have the power with full responsibility and authority to develop and enforce the compliance policies and procedures of KCD; </w:t>
      </w:r>
    </w:p>
    <w:p>
      <w:pPr>
        <w:numPr>
          <w:ilvl w:val="0"/>
          <w:numId w:val="888"/>
        </w:numPr>
        <w:ind w:left="720" w:hanging="192"/>
        <w:jc w:val="left"/>
        <w:rPr>
          <w:rFonts w:eastAsia="Arial" w:cs="Arial"/>
          <w:sz w:val="20"/>
          <w:szCs w:val="20"/>
        </w:rPr>
      </w:pPr>
      <w:r>
        <w:rPr>
          <w:rFonts w:eastAsia="Arial" w:cs="Arial"/>
          <w:sz w:val="20"/>
          <w:szCs w:val="20"/>
        </w:rPr>
        <w:t>Have full ability to access Firm information technology systems for critical compliance information, such as trading exception reports and investment advisory agreements with key clients;</w:t>
      </w:r>
    </w:p>
    <w:p>
      <w:pPr>
        <w:numPr>
          <w:ilvl w:val="0"/>
          <w:numId w:val="888"/>
        </w:numPr>
        <w:ind w:left="720" w:hanging="192"/>
        <w:jc w:val="left"/>
        <w:rPr>
          <w:rFonts w:eastAsia="Arial" w:cs="Arial"/>
          <w:sz w:val="20"/>
          <w:szCs w:val="20"/>
        </w:rPr>
      </w:pPr>
      <w:r>
        <w:rPr>
          <w:rFonts w:eastAsia="Arial" w:cs="Arial"/>
          <w:sz w:val="20"/>
          <w:szCs w:val="20"/>
        </w:rPr>
        <w:t>Have sufficient seniority and authority at KCD, comparable if possible to the Chief Financial Officer, Chief Operating Officer or Chief Investment Officer and with comparable direct reporting to the Chief Executive Officer and/or senior management, to compel others to adhere to the policies and procedures set forth in this Compliance Manual; and</w:t>
      </w:r>
    </w:p>
    <w:p>
      <w:pPr>
        <w:numPr>
          <w:ilvl w:val="0"/>
          <w:numId w:val="888"/>
        </w:numPr>
        <w:spacing w:after="200"/>
        <w:ind w:left="720" w:hanging="192"/>
        <w:jc w:val="left"/>
        <w:rPr>
          <w:rFonts w:eastAsia="Arial" w:cs="Arial"/>
          <w:sz w:val="20"/>
          <w:szCs w:val="20"/>
        </w:rPr>
      </w:pPr>
      <w:r>
        <w:rPr>
          <w:rFonts w:eastAsia="Arial" w:cs="Arial"/>
          <w:sz w:val="20"/>
          <w:szCs w:val="20"/>
        </w:rPr>
        <w:t>Be given the opportunity to regularly meet with Firm senior management.</w:t>
      </w:r>
    </w:p>
    <w:p>
      <w:pPr>
        <w:spacing w:before="200" w:after="200"/>
        <w:rPr>
          <w:rFonts w:eastAsia="Arial" w:cs="Arial"/>
          <w:sz w:val="20"/>
          <w:szCs w:val="20"/>
        </w:rPr>
      </w:pPr>
      <w:r>
        <w:rPr>
          <w:rFonts w:eastAsia="Arial" w:cs="Arial"/>
          <w:sz w:val="20"/>
          <w:szCs w:val="20"/>
        </w:rPr>
        <w:t>KCD will provide the Chief Compliance Officer with adequate resources including the authority to:</w:t>
      </w:r>
    </w:p>
    <w:p>
      <w:pPr>
        <w:numPr>
          <w:ilvl w:val="0"/>
          <w:numId w:val="889"/>
        </w:numPr>
        <w:spacing w:before="200"/>
        <w:ind w:left="720" w:hanging="192"/>
        <w:jc w:val="left"/>
        <w:rPr>
          <w:rFonts w:eastAsia="Arial" w:cs="Arial"/>
          <w:sz w:val="20"/>
          <w:szCs w:val="20"/>
        </w:rPr>
      </w:pPr>
      <w:r>
        <w:rPr>
          <w:rFonts w:eastAsia="Arial" w:cs="Arial"/>
          <w:sz w:val="20"/>
          <w:szCs w:val="20"/>
        </w:rPr>
        <w:t>Hire sufficient compliance personnel especially if KCD has been experiencing significant growth;</w:t>
      </w:r>
    </w:p>
    <w:p>
      <w:pPr>
        <w:numPr>
          <w:ilvl w:val="0"/>
          <w:numId w:val="889"/>
        </w:numPr>
        <w:ind w:left="720" w:hanging="192"/>
        <w:jc w:val="left"/>
        <w:rPr>
          <w:rFonts w:eastAsia="Arial" w:cs="Arial"/>
          <w:sz w:val="20"/>
          <w:szCs w:val="20"/>
        </w:rPr>
      </w:pPr>
      <w:r>
        <w:rPr>
          <w:rFonts w:eastAsia="Arial" w:cs="Arial"/>
          <w:sz w:val="20"/>
          <w:szCs w:val="20"/>
        </w:rPr>
        <w:t>Participate in KCD's budget process to ensure compliance receives a reasonable portion of KCD's budget;</w:t>
      </w:r>
    </w:p>
    <w:p>
      <w:pPr>
        <w:numPr>
          <w:ilvl w:val="0"/>
          <w:numId w:val="889"/>
        </w:numPr>
        <w:ind w:left="720" w:hanging="192"/>
        <w:jc w:val="left"/>
        <w:rPr>
          <w:rFonts w:eastAsia="Arial" w:cs="Arial"/>
          <w:sz w:val="20"/>
          <w:szCs w:val="20"/>
        </w:rPr>
      </w:pPr>
      <w:r>
        <w:rPr>
          <w:rFonts w:eastAsia="Arial" w:cs="Arial"/>
          <w:sz w:val="20"/>
          <w:szCs w:val="20"/>
        </w:rPr>
        <w:t>Require Firm employees to participate in compliance training sessions;</w:t>
      </w:r>
    </w:p>
    <w:p>
      <w:pPr>
        <w:numPr>
          <w:ilvl w:val="0"/>
          <w:numId w:val="889"/>
        </w:numPr>
        <w:ind w:left="720" w:hanging="192"/>
        <w:jc w:val="left"/>
        <w:rPr>
          <w:rFonts w:eastAsia="Arial" w:cs="Arial"/>
          <w:sz w:val="20"/>
          <w:szCs w:val="20"/>
        </w:rPr>
      </w:pPr>
      <w:r>
        <w:rPr>
          <w:rFonts w:eastAsia="Arial" w:cs="Arial"/>
          <w:sz w:val="20"/>
          <w:szCs w:val="20"/>
        </w:rPr>
        <w:t>Purchase sufficient compliance information technology; and</w:t>
      </w:r>
    </w:p>
    <w:p>
      <w:pPr>
        <w:numPr>
          <w:ilvl w:val="0"/>
          <w:numId w:val="889"/>
        </w:numPr>
        <w:spacing w:after="200"/>
        <w:ind w:left="720" w:hanging="192"/>
        <w:jc w:val="left"/>
        <w:rPr>
          <w:rFonts w:eastAsia="Arial" w:cs="Arial"/>
          <w:sz w:val="20"/>
          <w:szCs w:val="20"/>
        </w:rPr>
      </w:pPr>
      <w:r>
        <w:rPr>
          <w:rFonts w:eastAsia="Arial" w:cs="Arial"/>
          <w:sz w:val="20"/>
          <w:szCs w:val="20"/>
        </w:rPr>
        <w:t>Engage compliance vendors.</w:t>
      </w:r>
    </w:p>
    <w:p>
      <w:pPr>
        <w:pStyle w:val="normal0"/>
        <w:spacing w:before="200" w:after="200"/>
        <w:rPr>
          <w:rFonts w:eastAsia="Arial" w:cs="Arial"/>
          <w:sz w:val="20"/>
          <w:szCs w:val="20"/>
        </w:rPr>
      </w:pPr>
      <w:r>
        <w:rPr>
          <w:rFonts w:eastAsia="Arial" w:cs="Arial"/>
          <w:sz w:val="20"/>
          <w:szCs w:val="20"/>
        </w:rPr>
        <w:t>The Chief Compliance Officer shall have specific duties described in this Compliance Manual. In addition, the Chief Compliance Officer shall:</w:t>
      </w:r>
    </w:p>
    <w:p>
      <w:pPr>
        <w:numPr>
          <w:ilvl w:val="0"/>
          <w:numId w:val="890"/>
        </w:numPr>
        <w:spacing w:before="200"/>
        <w:ind w:left="720" w:hanging="192"/>
        <w:jc w:val="left"/>
        <w:rPr>
          <w:rFonts w:eastAsia="Arial" w:cs="Arial"/>
          <w:sz w:val="20"/>
          <w:szCs w:val="20"/>
        </w:rPr>
      </w:pPr>
      <w:r>
        <w:rPr>
          <w:rFonts w:eastAsia="Arial" w:cs="Arial"/>
          <w:sz w:val="20"/>
          <w:szCs w:val="20"/>
        </w:rPr>
        <w:t xml:space="preserve">Monitor other firm employees who have specific compliance responsibilities under this Compliance Manual to verify that they have carried out those responsibilities in a timely manner; </w:t>
      </w:r>
    </w:p>
    <w:p>
      <w:pPr>
        <w:numPr>
          <w:ilvl w:val="0"/>
          <w:numId w:val="890"/>
        </w:numPr>
        <w:ind w:left="720" w:hanging="192"/>
        <w:jc w:val="left"/>
        <w:rPr>
          <w:rFonts w:eastAsia="Arial" w:cs="Arial"/>
          <w:sz w:val="20"/>
          <w:szCs w:val="20"/>
        </w:rPr>
      </w:pPr>
      <w:r>
        <w:rPr>
          <w:rFonts w:eastAsia="Arial" w:cs="Arial"/>
          <w:sz w:val="20"/>
          <w:szCs w:val="20"/>
        </w:rPr>
        <w:t>Ensure that all firm employees have access to a current copy of the Compliance Manual;</w:t>
      </w:r>
    </w:p>
    <w:p>
      <w:pPr>
        <w:numPr>
          <w:ilvl w:val="0"/>
          <w:numId w:val="890"/>
        </w:numPr>
        <w:ind w:left="720" w:hanging="192"/>
        <w:jc w:val="left"/>
        <w:rPr>
          <w:rFonts w:eastAsia="Arial" w:cs="Arial"/>
          <w:sz w:val="20"/>
          <w:szCs w:val="20"/>
        </w:rPr>
      </w:pPr>
      <w:r>
        <w:rPr>
          <w:rFonts w:eastAsia="Arial" w:cs="Arial"/>
          <w:sz w:val="20"/>
          <w:szCs w:val="20"/>
        </w:rPr>
        <w:t>Ensure proper licensing of all personnel in the jurisdictions where required;</w:t>
      </w:r>
    </w:p>
    <w:p>
      <w:pPr>
        <w:numPr>
          <w:ilvl w:val="0"/>
          <w:numId w:val="890"/>
        </w:numPr>
        <w:ind w:left="720" w:hanging="192"/>
        <w:jc w:val="left"/>
        <w:rPr>
          <w:rFonts w:eastAsia="Arial" w:cs="Arial"/>
          <w:sz w:val="20"/>
          <w:szCs w:val="20"/>
        </w:rPr>
      </w:pPr>
      <w:r>
        <w:rPr>
          <w:rFonts w:eastAsia="Arial" w:cs="Arial"/>
          <w:sz w:val="20"/>
          <w:szCs w:val="20"/>
        </w:rPr>
        <w:t xml:space="preserve">Conduct a periodic (or ongoing) review of KCD's various activities to verify that KCD is in compliance with applicable regulations and document this review; </w:t>
      </w:r>
    </w:p>
    <w:p>
      <w:pPr>
        <w:numPr>
          <w:ilvl w:val="0"/>
          <w:numId w:val="890"/>
        </w:numPr>
        <w:ind w:left="720" w:hanging="192"/>
        <w:jc w:val="left"/>
        <w:rPr>
          <w:rFonts w:eastAsia="Arial" w:cs="Arial"/>
          <w:sz w:val="20"/>
          <w:szCs w:val="20"/>
        </w:rPr>
      </w:pPr>
      <w:r>
        <w:rPr>
          <w:rFonts w:eastAsia="Arial" w:cs="Arial"/>
          <w:sz w:val="20"/>
          <w:szCs w:val="20"/>
        </w:rPr>
        <w:t>Keep current with all laws applicable to the operations of KCD, best practices in the advisory industry, and other events impacting KCD's compliance program;</w:t>
      </w:r>
    </w:p>
    <w:p>
      <w:pPr>
        <w:numPr>
          <w:ilvl w:val="0"/>
          <w:numId w:val="890"/>
        </w:numPr>
        <w:ind w:left="720" w:hanging="192"/>
        <w:jc w:val="left"/>
        <w:rPr>
          <w:rFonts w:eastAsia="Arial" w:cs="Arial"/>
          <w:sz w:val="20"/>
          <w:szCs w:val="20"/>
        </w:rPr>
      </w:pPr>
      <w:r>
        <w:rPr>
          <w:rFonts w:eastAsia="Arial" w:cs="Arial"/>
          <w:sz w:val="20"/>
          <w:szCs w:val="20"/>
        </w:rPr>
        <w:t xml:space="preserve">When appropriate, recommend amendments to this Compliance Manual and changes to the compliance program of KCD in light of regulatory and industry developments, and changes in the business of KCD; </w:t>
      </w:r>
    </w:p>
    <w:p>
      <w:pPr>
        <w:numPr>
          <w:ilvl w:val="0"/>
          <w:numId w:val="890"/>
        </w:numPr>
        <w:ind w:left="720" w:hanging="192"/>
        <w:jc w:val="left"/>
        <w:rPr>
          <w:rFonts w:eastAsia="Arial" w:cs="Arial"/>
          <w:sz w:val="20"/>
          <w:szCs w:val="20"/>
        </w:rPr>
      </w:pPr>
      <w:r>
        <w:rPr>
          <w:rFonts w:eastAsia="Arial" w:cs="Arial"/>
          <w:sz w:val="20"/>
          <w:szCs w:val="20"/>
        </w:rPr>
        <w:t xml:space="preserve">Prepare reports and summaries about the operation of KCD's compliance program, including an Annual Report discussed below; and </w:t>
      </w:r>
    </w:p>
    <w:p>
      <w:pPr>
        <w:numPr>
          <w:ilvl w:val="0"/>
          <w:numId w:val="890"/>
        </w:numPr>
        <w:spacing w:after="200"/>
        <w:ind w:left="720" w:hanging="192"/>
        <w:jc w:val="left"/>
        <w:rPr>
          <w:rFonts w:eastAsia="Arial" w:cs="Arial"/>
          <w:sz w:val="20"/>
          <w:szCs w:val="20"/>
        </w:rPr>
      </w:pPr>
      <w:r>
        <w:rPr>
          <w:rFonts w:eastAsia="Arial" w:cs="Arial"/>
          <w:sz w:val="20"/>
          <w:szCs w:val="20"/>
        </w:rPr>
        <w:t>Periodically meet with senior management of KCD to discuss the effectiveness of the compliance program.</w:t>
      </w:r>
    </w:p>
    <w:p>
      <w:pPr>
        <w:pStyle w:val="normal0"/>
        <w:spacing w:before="200" w:after="200"/>
        <w:rPr>
          <w:rFonts w:eastAsia="Arial" w:cs="Arial"/>
          <w:sz w:val="20"/>
          <w:szCs w:val="20"/>
        </w:rPr>
      </w:pPr>
      <w:r>
        <w:rPr>
          <w:rFonts w:eastAsia="Arial" w:cs="Arial"/>
          <w:sz w:val="20"/>
          <w:szCs w:val="20"/>
        </w:rPr>
        <w:t>KCD shall note herein the following information about the Chief Compliance Officer (as proposed by the SEC in Item 1.J.(2) of Part 1A of Form ADV):</w:t>
      </w:r>
    </w:p>
    <w:p>
      <w:pPr>
        <w:numPr>
          <w:ilvl w:val="0"/>
          <w:numId w:val="891"/>
        </w:numPr>
        <w:spacing w:before="200"/>
        <w:ind w:left="720" w:hanging="192"/>
        <w:jc w:val="left"/>
        <w:rPr>
          <w:rFonts w:eastAsia="Arial" w:cs="Arial"/>
          <w:sz w:val="20"/>
          <w:szCs w:val="20"/>
        </w:rPr>
      </w:pPr>
      <w:r>
        <w:rPr>
          <w:rFonts w:eastAsia="Arial" w:cs="Arial"/>
          <w:sz w:val="20"/>
          <w:szCs w:val="20"/>
        </w:rPr>
        <w:t>Whether the Chief Compliance Officer is compensated by KCD, a related person of KCD or a third party;</w:t>
      </w:r>
    </w:p>
    <w:p>
      <w:pPr>
        <w:numPr>
          <w:ilvl w:val="0"/>
          <w:numId w:val="891"/>
        </w:numPr>
        <w:ind w:left="720" w:hanging="192"/>
        <w:jc w:val="left"/>
        <w:rPr>
          <w:rFonts w:eastAsia="Arial" w:cs="Arial"/>
          <w:sz w:val="20"/>
          <w:szCs w:val="20"/>
        </w:rPr>
      </w:pPr>
      <w:r>
        <w:rPr>
          <w:rFonts w:eastAsia="Arial" w:cs="Arial"/>
          <w:sz w:val="20"/>
          <w:szCs w:val="20"/>
        </w:rPr>
        <w:t>Whether the Chief Compliance Officer is employed by KCD, a related person of KCD or a third party; and</w:t>
      </w:r>
    </w:p>
    <w:p>
      <w:pPr>
        <w:numPr>
          <w:ilvl w:val="0"/>
          <w:numId w:val="891"/>
        </w:numPr>
        <w:spacing w:after="200"/>
        <w:ind w:left="720" w:hanging="192"/>
        <w:jc w:val="left"/>
        <w:rPr>
          <w:rFonts w:eastAsia="Arial" w:cs="Arial"/>
          <w:sz w:val="20"/>
          <w:szCs w:val="20"/>
        </w:rPr>
      </w:pPr>
      <w:r>
        <w:rPr>
          <w:rFonts w:eastAsia="Arial" w:cs="Arial"/>
          <w:sz w:val="20"/>
          <w:szCs w:val="20"/>
        </w:rPr>
        <w:t>If the Chief Compliance Officer is compensated or employed by a third party, the Tax Employer Identification Number (EIN) of the third party.</w:t>
      </w:r>
    </w:p>
    <w:p>
      <w:bookmarkEnd w:id="1051"/>
      <w:bookmarkStart w:id="1053" w:name="Sec_Chp_061016102246187_061016102246406"/>
    </w:p>
    <w:p>
      <w:pPr>
        <w:pStyle w:val="Heading3"/>
      </w:pPr>
      <w:bookmarkStart w:id="1054" w:name="_Toc256000273"/>
      <w:r>
        <w:t>14.3.3 Senior Management</w:t>
      </w:r>
      <w:bookmarkEnd w:id="1054"/>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senior management of KCD, including any directors of KCD, shall have the overall responsibility to ensure that KCD has in place an effective compliance program. In carrying out this responsibility, senior management shall:</w:t>
      </w:r>
    </w:p>
    <w:p>
      <w:pPr>
        <w:numPr>
          <w:ilvl w:val="0"/>
          <w:numId w:val="892"/>
        </w:numPr>
        <w:spacing w:before="200"/>
        <w:ind w:left="720" w:hanging="192"/>
        <w:jc w:val="left"/>
        <w:rPr>
          <w:rFonts w:eastAsia="Arial" w:cs="Arial"/>
          <w:sz w:val="20"/>
          <w:szCs w:val="20"/>
        </w:rPr>
      </w:pPr>
      <w:r>
        <w:rPr>
          <w:rFonts w:eastAsia="Arial" w:cs="Arial"/>
          <w:sz w:val="20"/>
          <w:szCs w:val="20"/>
        </w:rPr>
        <w:t xml:space="preserve">Periodically review this Compliance Manual and KCD's overall compliance program so that they are familiar with the material features of this Compliance Manual and program; </w:t>
      </w:r>
    </w:p>
    <w:p>
      <w:pPr>
        <w:numPr>
          <w:ilvl w:val="0"/>
          <w:numId w:val="892"/>
        </w:numPr>
        <w:ind w:left="720" w:hanging="192"/>
        <w:jc w:val="left"/>
        <w:rPr>
          <w:rFonts w:eastAsia="Arial" w:cs="Arial"/>
          <w:sz w:val="20"/>
          <w:szCs w:val="20"/>
        </w:rPr>
      </w:pPr>
      <w:r>
        <w:rPr>
          <w:rFonts w:eastAsia="Arial" w:cs="Arial"/>
          <w:sz w:val="20"/>
          <w:szCs w:val="20"/>
        </w:rPr>
        <w:t xml:space="preserve">Understand particularly significant compliance risks of KCD and how this Compliance Manual and compliance program address these risks; </w:t>
      </w:r>
    </w:p>
    <w:p>
      <w:pPr>
        <w:numPr>
          <w:ilvl w:val="0"/>
          <w:numId w:val="892"/>
        </w:numPr>
        <w:ind w:left="720" w:hanging="192"/>
        <w:jc w:val="left"/>
        <w:rPr>
          <w:rFonts w:eastAsia="Arial" w:cs="Arial"/>
          <w:sz w:val="20"/>
          <w:szCs w:val="20"/>
        </w:rPr>
      </w:pPr>
      <w:r>
        <w:rPr>
          <w:rFonts w:eastAsia="Arial" w:cs="Arial"/>
          <w:sz w:val="20"/>
          <w:szCs w:val="20"/>
        </w:rPr>
        <w:t xml:space="preserve">Review reports and summaries prepared by the Chief Compliance Officer about the operation of KCD's compliance program, including an Annual Report discussed below; and </w:t>
      </w:r>
    </w:p>
    <w:p>
      <w:pPr>
        <w:numPr>
          <w:ilvl w:val="0"/>
          <w:numId w:val="892"/>
        </w:numPr>
        <w:spacing w:after="200"/>
        <w:ind w:left="720" w:hanging="192"/>
        <w:jc w:val="left"/>
        <w:rPr>
          <w:rFonts w:eastAsia="Arial" w:cs="Arial"/>
          <w:sz w:val="20"/>
          <w:szCs w:val="20"/>
        </w:rPr>
      </w:pPr>
      <w:r>
        <w:rPr>
          <w:rFonts w:eastAsia="Arial" w:cs="Arial"/>
          <w:sz w:val="20"/>
          <w:szCs w:val="20"/>
        </w:rPr>
        <w:t>Periodically meet with the Chief Compliance Officer to discuss the effectiveness of the compliance program.</w:t>
      </w:r>
    </w:p>
    <w:p>
      <w:bookmarkEnd w:id="1053"/>
      <w:bookmarkStart w:id="1055" w:name="Sec_Chp_061016102246187_061016102246421"/>
    </w:p>
    <w:p>
      <w:pPr>
        <w:pStyle w:val="Heading3"/>
      </w:pPr>
      <w:bookmarkStart w:id="1056" w:name="_Toc256000274"/>
      <w:r>
        <w:t>14.3.4 Service Providers</w:t>
      </w:r>
      <w:bookmarkEnd w:id="1056"/>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In cases where service providers perform services that in part are related to an investment adviser complying with laws and rules, the investment adviser remains responsible for complying with such laws and rules and retains the responsibility to supervise the activities of the service provider related to complying with such laws and rules. Such arrangements require adequate initial and ongoing due diligence of the outsourced service providers.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The Chief Compliance Officer shall periodically interface with the compliance officers of key service providers to KCD (e.g., the broker-dealer maintaining client records) so that he or she is familiar with their operations and the compliance risks they present for KCD. Where appropriate, the Chief Compliance officer shall request the service provider to:</w:t>
      </w:r>
    </w:p>
    <w:p>
      <w:pPr>
        <w:numPr>
          <w:ilvl w:val="0"/>
          <w:numId w:val="893"/>
        </w:numPr>
        <w:spacing w:before="200"/>
        <w:ind w:left="720" w:hanging="192"/>
        <w:jc w:val="left"/>
        <w:rPr>
          <w:rFonts w:eastAsia="Arial" w:cs="Arial"/>
          <w:sz w:val="20"/>
          <w:szCs w:val="20"/>
        </w:rPr>
      </w:pPr>
      <w:r>
        <w:rPr>
          <w:rFonts w:eastAsia="Arial" w:cs="Arial"/>
          <w:sz w:val="20"/>
          <w:szCs w:val="20"/>
        </w:rPr>
        <w:t xml:space="preserve">Certify their compliance with applicable securities and other laws; </w:t>
      </w:r>
    </w:p>
    <w:p>
      <w:pPr>
        <w:numPr>
          <w:ilvl w:val="0"/>
          <w:numId w:val="893"/>
        </w:numPr>
        <w:ind w:left="720" w:hanging="192"/>
        <w:jc w:val="left"/>
        <w:rPr>
          <w:rFonts w:eastAsia="Arial" w:cs="Arial"/>
          <w:sz w:val="20"/>
          <w:szCs w:val="20"/>
        </w:rPr>
      </w:pPr>
      <w:r>
        <w:rPr>
          <w:rFonts w:eastAsia="Arial" w:cs="Arial"/>
          <w:sz w:val="20"/>
          <w:szCs w:val="20"/>
        </w:rPr>
        <w:t xml:space="preserve">Prepare periodic or special reports (e.g., a SAS-70 report) addressing compliance issues; and </w:t>
      </w:r>
    </w:p>
    <w:p>
      <w:pPr>
        <w:numPr>
          <w:ilvl w:val="0"/>
          <w:numId w:val="893"/>
        </w:numPr>
        <w:spacing w:after="200"/>
        <w:ind w:left="720" w:hanging="192"/>
        <w:jc w:val="left"/>
        <w:rPr>
          <w:rFonts w:eastAsia="Arial" w:cs="Arial"/>
          <w:sz w:val="20"/>
          <w:szCs w:val="20"/>
        </w:rPr>
      </w:pPr>
      <w:r>
        <w:rPr>
          <w:rFonts w:eastAsia="Arial" w:cs="Arial"/>
          <w:sz w:val="20"/>
          <w:szCs w:val="20"/>
        </w:rPr>
        <w:t>Conduct, or retain a firm to conduct, an audit of certain compliance functions of the service provider that impact KCD.</w:t>
      </w:r>
    </w:p>
    <w:p>
      <w:pPr>
        <w:pStyle w:val="normal0"/>
        <w:spacing w:before="200" w:after="200"/>
        <w:rPr>
          <w:rFonts w:eastAsia="Arial" w:cs="Arial"/>
          <w:sz w:val="20"/>
          <w:szCs w:val="20"/>
        </w:rPr>
      </w:pPr>
      <w:r>
        <w:rPr>
          <w:rFonts w:eastAsia="Arial" w:cs="Arial"/>
          <w:sz w:val="20"/>
          <w:szCs w:val="20"/>
        </w:rPr>
        <w:t>The Chief Compliance Officer, senior management and other employees of KCD shall cooperate with any reasonable requests by a service provider regarding the compliance procedures of KCD that impact the operations of the service provider.</w:t>
      </w:r>
    </w:p>
    <w:p>
      <w:pPr>
        <w:pStyle w:val="normal0"/>
        <w:spacing w:before="200" w:after="200"/>
        <w:rPr>
          <w:rFonts w:eastAsia="Arial" w:cs="Arial"/>
          <w:sz w:val="20"/>
          <w:szCs w:val="20"/>
        </w:rPr>
      </w:pPr>
      <w:r>
        <w:rPr>
          <w:rFonts w:eastAsia="Arial" w:cs="Arial"/>
          <w:sz w:val="20"/>
          <w:szCs w:val="20"/>
        </w:rPr>
        <w:t>Prior to engaging any new service provider, KCD will perform a due diligence review of the service provider candidate including taking the following steps:</w:t>
      </w:r>
    </w:p>
    <w:p>
      <w:pPr>
        <w:numPr>
          <w:ilvl w:val="0"/>
          <w:numId w:val="894"/>
        </w:numPr>
        <w:spacing w:before="200"/>
        <w:ind w:left="720" w:hanging="192"/>
        <w:jc w:val="left"/>
        <w:rPr>
          <w:rFonts w:eastAsia="Arial" w:cs="Arial"/>
          <w:sz w:val="20"/>
          <w:szCs w:val="20"/>
        </w:rPr>
      </w:pPr>
      <w:r>
        <w:rPr>
          <w:rFonts w:eastAsia="Arial" w:cs="Arial"/>
          <w:sz w:val="20"/>
          <w:szCs w:val="20"/>
        </w:rPr>
        <w:t>Site visit to the service provider candidate;</w:t>
      </w:r>
    </w:p>
    <w:p>
      <w:pPr>
        <w:numPr>
          <w:ilvl w:val="0"/>
          <w:numId w:val="894"/>
        </w:numPr>
        <w:ind w:left="720" w:hanging="192"/>
        <w:jc w:val="left"/>
        <w:rPr>
          <w:rFonts w:eastAsia="Arial" w:cs="Arial"/>
          <w:sz w:val="20"/>
          <w:szCs w:val="20"/>
        </w:rPr>
      </w:pPr>
      <w:r>
        <w:rPr>
          <w:rFonts w:eastAsia="Arial" w:cs="Arial"/>
          <w:sz w:val="20"/>
          <w:szCs w:val="20"/>
        </w:rPr>
        <w:t>Where possible, obtain RFPs from multiple service provider candidates;</w:t>
      </w:r>
    </w:p>
    <w:p>
      <w:pPr>
        <w:numPr>
          <w:ilvl w:val="0"/>
          <w:numId w:val="894"/>
        </w:numPr>
        <w:ind w:left="720" w:hanging="192"/>
        <w:jc w:val="left"/>
        <w:rPr>
          <w:rFonts w:eastAsia="Arial" w:cs="Arial"/>
          <w:sz w:val="20"/>
          <w:szCs w:val="20"/>
        </w:rPr>
      </w:pPr>
      <w:r>
        <w:rPr>
          <w:rFonts w:eastAsia="Arial" w:cs="Arial"/>
          <w:sz w:val="20"/>
          <w:szCs w:val="20"/>
        </w:rPr>
        <w:t>Review of systems used to interface with the service provider candidate including back-up systems;</w:t>
      </w:r>
    </w:p>
    <w:p>
      <w:pPr>
        <w:numPr>
          <w:ilvl w:val="0"/>
          <w:numId w:val="894"/>
        </w:numPr>
        <w:ind w:left="720" w:hanging="192"/>
        <w:jc w:val="left"/>
        <w:rPr>
          <w:rFonts w:eastAsia="Arial" w:cs="Arial"/>
          <w:sz w:val="20"/>
          <w:szCs w:val="20"/>
        </w:rPr>
      </w:pPr>
      <w:r>
        <w:rPr>
          <w:rFonts w:eastAsia="Arial" w:cs="Arial"/>
          <w:sz w:val="20"/>
          <w:szCs w:val="20"/>
        </w:rPr>
        <w:t>Request a list of existing customers of the service provider candidate and obtain assessments of the service provider candidate from such customers;</w:t>
      </w:r>
    </w:p>
    <w:p>
      <w:pPr>
        <w:numPr>
          <w:ilvl w:val="0"/>
          <w:numId w:val="894"/>
        </w:numPr>
        <w:ind w:left="720" w:hanging="192"/>
        <w:jc w:val="left"/>
        <w:rPr>
          <w:rFonts w:eastAsia="Arial" w:cs="Arial"/>
          <w:sz w:val="20"/>
          <w:szCs w:val="20"/>
        </w:rPr>
      </w:pPr>
      <w:r>
        <w:rPr>
          <w:rFonts w:eastAsia="Arial" w:cs="Arial"/>
          <w:sz w:val="20"/>
          <w:szCs w:val="20"/>
        </w:rPr>
        <w:t xml:space="preserve">Review of the proposed contract with the service provider candidate including provisions governing cybersecurity, non-disclosure of client information, liability, indemnification and disaster recovery plans; and </w:t>
      </w:r>
    </w:p>
    <w:p>
      <w:pPr>
        <w:numPr>
          <w:ilvl w:val="0"/>
          <w:numId w:val="894"/>
        </w:numPr>
        <w:spacing w:after="200"/>
        <w:ind w:left="720" w:hanging="192"/>
        <w:jc w:val="left"/>
        <w:rPr>
          <w:rFonts w:eastAsia="Arial" w:cs="Arial"/>
          <w:sz w:val="20"/>
          <w:szCs w:val="20"/>
        </w:rPr>
      </w:pPr>
      <w:r>
        <w:rPr>
          <w:rFonts w:eastAsia="Arial" w:cs="Arial"/>
          <w:sz w:val="20"/>
          <w:szCs w:val="20"/>
        </w:rPr>
        <w:t>Third party check of the service provider candidate's good standing in its state of organization and regulatory history.</w:t>
      </w:r>
    </w:p>
    <w:p>
      <w:bookmarkEnd w:id="1055"/>
      <w:bookmarkStart w:id="1057" w:name="Sec_Chp_061016102246187_061016102246437"/>
    </w:p>
    <w:p>
      <w:pPr>
        <w:pStyle w:val="Heading3"/>
      </w:pPr>
      <w:bookmarkStart w:id="1058" w:name="_Toc256000275"/>
      <w:r>
        <w:t>14.3.5 Supervisory System</w:t>
      </w:r>
      <w:bookmarkEnd w:id="1058"/>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KCD has adopted a supervisory system and supervisory procedures to ensure that the policies and procedures set forth in this Compliance Manual are being followed and to prevent and detect prohibited practices. Through its supervisory system and procedures, KCD has established clear lines of authority, accountability and responsibility. </w:t>
      </w:r>
    </w:p>
    <w:p>
      <w:bookmarkEnd w:id="1057"/>
      <w:bookmarkStart w:id="1059" w:name="Sec_Chp_061016102246187_061016102246453"/>
    </w:p>
    <w:p>
      <w:pPr>
        <w:pStyle w:val="Heading4"/>
      </w:pPr>
      <w:r>
        <w:t>14.3.5.1 Supervised Persons and Supervisors</w:t>
      </w:r>
    </w:p>
    <w:p/>
    <w:p>
      <w:pPr>
        <w:rPr>
          <w:rFonts w:eastAsia="Arial" w:cs="Arial"/>
          <w:sz w:val="16"/>
          <w:szCs w:val="16"/>
        </w:rPr>
      </w:pPr>
      <w:r>
        <w:rPr>
          <w:rFonts w:eastAsia="Arial" w:cs="Arial"/>
          <w:sz w:val="16"/>
          <w:szCs w:val="16"/>
        </w:rPr>
        <w:t>[Investment Advisers Act of 1940 Section 202(a)(17); Investment Advisers Act of 1940 Rule 206(4)-7(a)]</w:t>
      </w:r>
    </w:p>
    <w:p/>
    <w:p>
      <w:pPr>
        <w:pStyle w:val="normal0"/>
        <w:spacing w:after="200"/>
        <w:rPr>
          <w:rFonts w:eastAsia="Arial" w:cs="Arial"/>
          <w:sz w:val="20"/>
          <w:szCs w:val="20"/>
        </w:rPr>
      </w:pPr>
      <w:r>
        <w:rPr>
          <w:rFonts w:eastAsia="Arial" w:cs="Arial"/>
          <w:sz w:val="20"/>
          <w:szCs w:val="20"/>
        </w:rPr>
        <w:t>Each "Supervised Person" of KCD and Supervisor shall be subject to these Supervisory Procedures. Consistent with Rule 206(4)-7(a) under the Investment Advisers Act of 1940, "Supervised Person" of KCD means:</w:t>
      </w:r>
    </w:p>
    <w:p>
      <w:pPr>
        <w:numPr>
          <w:ilvl w:val="0"/>
          <w:numId w:val="895"/>
        </w:numPr>
        <w:spacing w:before="200"/>
        <w:ind w:left="720" w:hanging="192"/>
        <w:jc w:val="left"/>
        <w:rPr>
          <w:rFonts w:eastAsia="Arial" w:cs="Arial"/>
          <w:sz w:val="20"/>
          <w:szCs w:val="20"/>
        </w:rPr>
      </w:pPr>
      <w:r>
        <w:rPr>
          <w:rFonts w:eastAsia="Arial" w:cs="Arial"/>
          <w:sz w:val="20"/>
          <w:szCs w:val="20"/>
        </w:rPr>
        <w:t xml:space="preserve">any partner, officer, or director of KCD, or any other person occupying a similar status or performing similar functions, </w:t>
      </w:r>
    </w:p>
    <w:p>
      <w:pPr>
        <w:numPr>
          <w:ilvl w:val="0"/>
          <w:numId w:val="895"/>
        </w:numPr>
        <w:ind w:left="720" w:hanging="192"/>
        <w:jc w:val="left"/>
        <w:rPr>
          <w:rFonts w:eastAsia="Arial" w:cs="Arial"/>
          <w:sz w:val="20"/>
          <w:szCs w:val="20"/>
        </w:rPr>
      </w:pPr>
      <w:r>
        <w:rPr>
          <w:rFonts w:eastAsia="Arial" w:cs="Arial"/>
          <w:sz w:val="20"/>
          <w:szCs w:val="20"/>
        </w:rPr>
        <w:t xml:space="preserve">an employee of KCD, and </w:t>
      </w:r>
    </w:p>
    <w:p>
      <w:pPr>
        <w:numPr>
          <w:ilvl w:val="0"/>
          <w:numId w:val="895"/>
        </w:numPr>
        <w:spacing w:after="200"/>
        <w:ind w:left="720" w:hanging="192"/>
        <w:jc w:val="left"/>
        <w:rPr>
          <w:rFonts w:eastAsia="Arial" w:cs="Arial"/>
          <w:sz w:val="20"/>
          <w:szCs w:val="20"/>
        </w:rPr>
      </w:pPr>
      <w:r>
        <w:rPr>
          <w:rFonts w:eastAsia="Arial" w:cs="Arial"/>
          <w:sz w:val="20"/>
          <w:szCs w:val="20"/>
        </w:rPr>
        <w:t>any other person (including an independent contractor) who provides investment advice on behalf of KCD and is subject to the supervision and control of KCD.</w:t>
      </w:r>
    </w:p>
    <w:p>
      <w:pPr>
        <w:pStyle w:val="normal0"/>
        <w:spacing w:before="200" w:after="200"/>
        <w:rPr>
          <w:rFonts w:eastAsia="Arial" w:cs="Arial"/>
          <w:sz w:val="20"/>
          <w:szCs w:val="20"/>
        </w:rPr>
      </w:pPr>
      <w:r>
        <w:rPr>
          <w:rFonts w:eastAsia="Arial" w:cs="Arial"/>
          <w:sz w:val="20"/>
          <w:szCs w:val="20"/>
        </w:rPr>
        <w:t>"Supervisor" of KCD means an officer or employee of KCD who has supervisory responsibility over some or all actions of a Supervised Employee.</w:t>
      </w:r>
    </w:p>
    <w:p>
      <w:pPr>
        <w:pStyle w:val="normal0"/>
        <w:spacing w:before="200" w:after="200"/>
        <w:rPr>
          <w:rFonts w:eastAsia="Arial" w:cs="Arial"/>
          <w:sz w:val="20"/>
          <w:szCs w:val="20"/>
        </w:rPr>
      </w:pPr>
      <w:r>
        <w:rPr>
          <w:rFonts w:eastAsia="Arial" w:cs="Arial"/>
          <w:sz w:val="20"/>
          <w:szCs w:val="20"/>
        </w:rPr>
        <w:t>The title and position of "Chief Compliance Officer" in and of itself does not carry supervisory responsibilities and an officer or employee holding such title would not necessarily be found to have failed to supervise another employee that commits a compliance violation.</w:t>
      </w:r>
    </w:p>
    <w:p>
      <w:pPr>
        <w:pStyle w:val="normal0"/>
        <w:spacing w:before="200" w:after="200"/>
        <w:rPr>
          <w:rFonts w:eastAsia="Arial" w:cs="Arial"/>
          <w:sz w:val="20"/>
          <w:szCs w:val="20"/>
        </w:rPr>
      </w:pPr>
      <w:r>
        <w:rPr>
          <w:rFonts w:eastAsia="Arial" w:cs="Arial"/>
          <w:sz w:val="20"/>
          <w:szCs w:val="20"/>
        </w:rPr>
        <w:t xml:space="preserve">Each supervisor may appoint officers and employees of KCD to supervise certain employees within their area of responsibility. If a Supervisor delegates such responsibility, he or she is responsible for ensuring that supervisory duties are being performed properly by the person who has been delegated such supervisory responsibility. </w:t>
      </w:r>
    </w:p>
    <w:p>
      <w:bookmarkEnd w:id="1059"/>
      <w:bookmarkStart w:id="1060" w:name="Sec_Chp_061016102246187_061016102246468"/>
    </w:p>
    <w:p>
      <w:pPr>
        <w:pStyle w:val="Heading4"/>
      </w:pPr>
      <w:r>
        <w:t>14.3.5.2 Delegation of Supervisory and Compliance Responsibilities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officer of KCD may appoint an officer or employee under his or her supervision as a supervisor of other officers and employees, provided such delegation has been approved by the Chief Compliance Officer or such delegation is expressly permitted by this Compliance Manual. The supervisory structure, including each supervisor and those officers or employees he or she supervises, shall be set forth in an organizational chart, which shall be kept current.</w:t>
      </w:r>
    </w:p>
    <w:p>
      <w:bookmarkEnd w:id="1060"/>
      <w:bookmarkStart w:id="1061" w:name="Sec_Chp_061016102246187_061016102246484"/>
    </w:p>
    <w:p>
      <w:pPr>
        <w:pStyle w:val="Heading4"/>
      </w:pPr>
      <w:r>
        <w:t xml:space="preserve">14.3.5.3 Appointments of Supervisors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Before designating a particular officer or employee as a supervisor, the officer making such appointment will consider the following factors: </w:t>
      </w:r>
    </w:p>
    <w:p>
      <w:pPr>
        <w:numPr>
          <w:ilvl w:val="0"/>
          <w:numId w:val="896"/>
        </w:numPr>
        <w:spacing w:before="200"/>
        <w:ind w:left="720" w:hanging="192"/>
        <w:jc w:val="left"/>
        <w:rPr>
          <w:rFonts w:eastAsia="Arial" w:cs="Arial"/>
          <w:sz w:val="20"/>
          <w:szCs w:val="20"/>
        </w:rPr>
      </w:pPr>
      <w:r>
        <w:rPr>
          <w:rFonts w:eastAsia="Arial" w:cs="Arial"/>
          <w:sz w:val="20"/>
          <w:szCs w:val="20"/>
        </w:rPr>
        <w:t>The type of activity the potentially supervised employee conducts;</w:t>
      </w:r>
    </w:p>
    <w:p>
      <w:pPr>
        <w:numPr>
          <w:ilvl w:val="0"/>
          <w:numId w:val="896"/>
        </w:numPr>
        <w:ind w:left="720" w:hanging="192"/>
        <w:jc w:val="left"/>
        <w:rPr>
          <w:rFonts w:eastAsia="Arial" w:cs="Arial"/>
          <w:sz w:val="20"/>
          <w:szCs w:val="20"/>
        </w:rPr>
      </w:pPr>
      <w:r>
        <w:rPr>
          <w:rFonts w:eastAsia="Arial" w:cs="Arial"/>
          <w:sz w:val="20"/>
          <w:szCs w:val="20"/>
        </w:rPr>
        <w:t>Whether the particular officer or employee has clearly been given, or otherwise assumed, supervisory authority or responsibility for particular business activities or situations;</w:t>
      </w:r>
    </w:p>
    <w:p>
      <w:pPr>
        <w:numPr>
          <w:ilvl w:val="0"/>
          <w:numId w:val="896"/>
        </w:numPr>
        <w:ind w:left="720" w:hanging="192"/>
        <w:jc w:val="left"/>
        <w:rPr>
          <w:rFonts w:eastAsia="Arial" w:cs="Arial"/>
          <w:sz w:val="20"/>
          <w:szCs w:val="20"/>
        </w:rPr>
      </w:pPr>
      <w:r>
        <w:rPr>
          <w:rFonts w:eastAsia="Arial" w:cs="Arial"/>
          <w:sz w:val="20"/>
          <w:szCs w:val="20"/>
        </w:rPr>
        <w:t>Whether KCD's policies and procedures, or other documents, identify the particular officer or employee as responsible for supervising, or for overseeing, one or more potentially supervised employees or activities;</w:t>
      </w:r>
    </w:p>
    <w:p>
      <w:pPr>
        <w:numPr>
          <w:ilvl w:val="0"/>
          <w:numId w:val="896"/>
        </w:numPr>
        <w:ind w:left="720" w:hanging="192"/>
        <w:jc w:val="left"/>
        <w:rPr>
          <w:rFonts w:eastAsia="Arial" w:cs="Arial"/>
          <w:sz w:val="20"/>
          <w:szCs w:val="20"/>
        </w:rPr>
      </w:pPr>
      <w:r>
        <w:rPr>
          <w:rFonts w:eastAsia="Arial" w:cs="Arial"/>
          <w:sz w:val="20"/>
          <w:szCs w:val="20"/>
        </w:rPr>
        <w:t>Whether the particular officer or employee has the requisite degree of responsibility, ability or authority to affect the potentially supervised employee's conduct;</w:t>
      </w:r>
    </w:p>
    <w:p>
      <w:pPr>
        <w:numPr>
          <w:ilvl w:val="0"/>
          <w:numId w:val="896"/>
        </w:numPr>
        <w:spacing w:after="200"/>
        <w:ind w:left="720" w:hanging="192"/>
        <w:jc w:val="left"/>
        <w:rPr>
          <w:rFonts w:eastAsia="Arial" w:cs="Arial"/>
          <w:sz w:val="20"/>
          <w:szCs w:val="20"/>
        </w:rPr>
      </w:pPr>
      <w:r>
        <w:rPr>
          <w:rFonts w:eastAsia="Arial" w:cs="Arial"/>
          <w:sz w:val="20"/>
          <w:szCs w:val="20"/>
        </w:rPr>
        <w:t>Whether the particular officer or employee has the ability to hire, reward or punish the potentially supervised employee.</w:t>
      </w:r>
    </w:p>
    <w:p>
      <w:pPr>
        <w:pStyle w:val="normal0"/>
        <w:spacing w:before="200" w:after="200"/>
        <w:rPr>
          <w:rFonts w:eastAsia="Arial" w:cs="Arial"/>
          <w:sz w:val="20"/>
          <w:szCs w:val="20"/>
        </w:rPr>
      </w:pPr>
      <w:r>
        <w:rPr>
          <w:rFonts w:eastAsia="Arial" w:cs="Arial"/>
          <w:sz w:val="20"/>
          <w:szCs w:val="20"/>
        </w:rPr>
        <w:t>If a violation occurs by an employee, whether any other employee at KCD will be deemed to be its supervisor for purposes of the violation depends upon the facts and circumstances surrounding the violation and role of both employees, including:</w:t>
      </w:r>
    </w:p>
    <w:p>
      <w:pPr>
        <w:numPr>
          <w:ilvl w:val="0"/>
          <w:numId w:val="897"/>
        </w:numPr>
        <w:spacing w:before="200"/>
        <w:ind w:left="720" w:hanging="192"/>
        <w:jc w:val="left"/>
        <w:rPr>
          <w:rFonts w:eastAsia="Arial" w:cs="Arial"/>
          <w:sz w:val="20"/>
          <w:szCs w:val="20"/>
        </w:rPr>
      </w:pPr>
      <w:r>
        <w:rPr>
          <w:rFonts w:eastAsia="Arial" w:cs="Arial"/>
          <w:sz w:val="20"/>
          <w:szCs w:val="20"/>
        </w:rPr>
        <w:t>Did the employee in question otherwise have authority and responsibility such that he or she could have prevented the violation by the other employee from continuing, even if he or she did not have the power to fire, demote or reduce the pay of the employee in question?</w:t>
      </w:r>
    </w:p>
    <w:p>
      <w:pPr>
        <w:numPr>
          <w:ilvl w:val="0"/>
          <w:numId w:val="897"/>
        </w:numPr>
        <w:ind w:left="720" w:hanging="192"/>
        <w:jc w:val="left"/>
        <w:rPr>
          <w:rFonts w:eastAsia="Arial" w:cs="Arial"/>
          <w:sz w:val="20"/>
          <w:szCs w:val="20"/>
        </w:rPr>
      </w:pPr>
      <w:r>
        <w:rPr>
          <w:rFonts w:eastAsia="Arial" w:cs="Arial"/>
          <w:sz w:val="20"/>
          <w:szCs w:val="20"/>
        </w:rPr>
        <w:t>Did the employee in question know that he or she was responsible for the actions of the employee who committed the predicate violation, and that he or she could have taken effective action to fulfill that responsibility?</w:t>
      </w:r>
    </w:p>
    <w:p>
      <w:pPr>
        <w:numPr>
          <w:ilvl w:val="0"/>
          <w:numId w:val="897"/>
        </w:numPr>
        <w:spacing w:after="200"/>
        <w:ind w:left="720" w:hanging="192"/>
        <w:jc w:val="left"/>
        <w:rPr>
          <w:rFonts w:eastAsia="Arial" w:cs="Arial"/>
          <w:sz w:val="20"/>
          <w:szCs w:val="20"/>
        </w:rPr>
      </w:pPr>
      <w:r>
        <w:rPr>
          <w:rFonts w:eastAsia="Arial" w:cs="Arial"/>
          <w:sz w:val="20"/>
          <w:szCs w:val="20"/>
        </w:rPr>
        <w:t>Should the employee nonetheless reasonably have known in light of all the facts and circumstances that he or she had the authority or responsibility within the administrative structure to exercise control to prevent the underlying violation?</w:t>
      </w:r>
    </w:p>
    <w:p>
      <w:bookmarkEnd w:id="1061"/>
      <w:bookmarkStart w:id="1062" w:name="Sec_Chp_061016102246187_061016102246495"/>
    </w:p>
    <w:p>
      <w:pPr>
        <w:pStyle w:val="Heading4"/>
      </w:pPr>
      <w:r>
        <w:t xml:space="preserve">14.3.5.4 Chain of Supervision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w:t>
      </w:r>
    </w:p>
    <w:p>
      <w:pPr>
        <w:numPr>
          <w:ilvl w:val="0"/>
          <w:numId w:val="898"/>
        </w:numPr>
        <w:spacing w:before="200"/>
        <w:ind w:left="720" w:hanging="192"/>
        <w:jc w:val="left"/>
        <w:rPr>
          <w:rFonts w:eastAsia="Arial" w:cs="Arial"/>
          <w:sz w:val="20"/>
          <w:szCs w:val="20"/>
        </w:rPr>
      </w:pPr>
      <w:r>
        <w:rPr>
          <w:rFonts w:eastAsia="Arial" w:cs="Arial"/>
          <w:sz w:val="20"/>
          <w:szCs w:val="20"/>
        </w:rPr>
        <w:t xml:space="preserve">Maintain a list of supervisors; </w:t>
      </w:r>
    </w:p>
    <w:p>
      <w:pPr>
        <w:numPr>
          <w:ilvl w:val="0"/>
          <w:numId w:val="898"/>
        </w:numPr>
        <w:ind w:left="720" w:hanging="192"/>
        <w:jc w:val="left"/>
        <w:rPr>
          <w:rFonts w:eastAsia="Arial" w:cs="Arial"/>
          <w:sz w:val="20"/>
          <w:szCs w:val="20"/>
        </w:rPr>
      </w:pPr>
      <w:r>
        <w:rPr>
          <w:rFonts w:eastAsia="Arial" w:cs="Arial"/>
          <w:sz w:val="20"/>
          <w:szCs w:val="20"/>
        </w:rPr>
        <w:t>Maintain a diagram or chart showing the chain of supervision; and</w:t>
      </w:r>
    </w:p>
    <w:p>
      <w:pPr>
        <w:numPr>
          <w:ilvl w:val="0"/>
          <w:numId w:val="898"/>
        </w:numPr>
        <w:spacing w:after="200"/>
        <w:ind w:left="720" w:hanging="192"/>
        <w:jc w:val="left"/>
        <w:rPr>
          <w:rFonts w:eastAsia="Arial" w:cs="Arial"/>
          <w:sz w:val="20"/>
          <w:szCs w:val="20"/>
        </w:rPr>
      </w:pPr>
      <w:r>
        <w:rPr>
          <w:rFonts w:eastAsia="Arial" w:cs="Arial"/>
          <w:sz w:val="20"/>
          <w:szCs w:val="20"/>
        </w:rPr>
        <w:t>Periodically verify that each supervisory position is filled.</w:t>
      </w:r>
    </w:p>
    <w:p>
      <w:pPr>
        <w:pStyle w:val="normal0"/>
        <w:spacing w:before="200" w:after="200"/>
        <w:rPr>
          <w:rFonts w:eastAsia="Arial" w:cs="Arial"/>
          <w:sz w:val="20"/>
          <w:szCs w:val="20"/>
        </w:rPr>
      </w:pPr>
      <w:r>
        <w:rPr>
          <w:rFonts w:eastAsia="Arial" w:cs="Arial"/>
          <w:sz w:val="20"/>
          <w:szCs w:val="20"/>
        </w:rPr>
        <w:t>Possible positions include:</w:t>
      </w:r>
    </w:p>
    <w:p>
      <w:pPr>
        <w:pStyle w:val="normal0"/>
        <w:spacing w:before="200" w:after="200"/>
        <w:rPr>
          <w:rFonts w:eastAsia="Arial" w:cs="Arial"/>
          <w:sz w:val="20"/>
          <w:szCs w:val="20"/>
        </w:rPr>
      </w:pPr>
      <w:r>
        <w:rPr>
          <w:rFonts w:eastAsia="Arial" w:cs="Arial"/>
          <w:b/>
          <w:bCs/>
          <w:sz w:val="20"/>
          <w:szCs w:val="20"/>
        </w:rPr>
        <w:t>President:</w:t>
      </w:r>
      <w:r>
        <w:rPr>
          <w:rFonts w:eastAsia="Arial" w:cs="Arial"/>
          <w:sz w:val="20"/>
          <w:szCs w:val="20"/>
        </w:rPr>
        <w:t xml:space="preserve"> overall supervisory responsibility with financial decision-making authority on certain matters. Confers with the Chief Compliance Officer on compliance matters.</w:t>
      </w:r>
    </w:p>
    <w:p>
      <w:pPr>
        <w:pStyle w:val="normal0"/>
        <w:spacing w:before="200" w:after="200"/>
        <w:rPr>
          <w:rFonts w:eastAsia="Arial" w:cs="Arial"/>
          <w:sz w:val="20"/>
          <w:szCs w:val="20"/>
        </w:rPr>
      </w:pPr>
      <w:r>
        <w:rPr>
          <w:rFonts w:eastAsia="Arial" w:cs="Arial"/>
          <w:b/>
          <w:bCs/>
          <w:sz w:val="20"/>
          <w:szCs w:val="20"/>
        </w:rPr>
        <w:t>Chief Compliance Officer:</w:t>
      </w:r>
      <w:r>
        <w:rPr>
          <w:rFonts w:eastAsia="Arial" w:cs="Arial"/>
          <w:sz w:val="20"/>
          <w:szCs w:val="20"/>
        </w:rPr>
        <w:t xml:space="preserve"> responsible for compliance program and discrepancies, irregularities and deficiencies that arise in the operation of the compliance program.</w:t>
      </w:r>
    </w:p>
    <w:p>
      <w:pPr>
        <w:pStyle w:val="normal0"/>
        <w:spacing w:before="200" w:after="200"/>
        <w:rPr>
          <w:rFonts w:eastAsia="Arial" w:cs="Arial"/>
          <w:sz w:val="20"/>
          <w:szCs w:val="20"/>
        </w:rPr>
      </w:pPr>
      <w:r>
        <w:rPr>
          <w:rFonts w:eastAsia="Arial" w:cs="Arial"/>
          <w:b/>
          <w:bCs/>
          <w:sz w:val="20"/>
          <w:szCs w:val="20"/>
        </w:rPr>
        <w:t>Chief Operating Officer:</w:t>
      </w:r>
      <w:r>
        <w:rPr>
          <w:rFonts w:eastAsia="Arial" w:cs="Arial"/>
          <w:sz w:val="20"/>
          <w:szCs w:val="20"/>
        </w:rPr>
        <w:t xml:space="preserve"> responsible for day-to-day operations of KCD.</w:t>
      </w:r>
    </w:p>
    <w:p>
      <w:pPr>
        <w:pStyle w:val="normal0"/>
        <w:spacing w:before="200" w:after="200"/>
        <w:rPr>
          <w:rFonts w:eastAsia="Arial" w:cs="Arial"/>
          <w:sz w:val="20"/>
          <w:szCs w:val="20"/>
        </w:rPr>
      </w:pPr>
      <w:r>
        <w:rPr>
          <w:rFonts w:eastAsia="Arial" w:cs="Arial"/>
          <w:b/>
          <w:bCs/>
          <w:sz w:val="20"/>
          <w:szCs w:val="20"/>
        </w:rPr>
        <w:t>Chief Investment Officer:</w:t>
      </w:r>
      <w:r>
        <w:rPr>
          <w:rFonts w:eastAsia="Arial" w:cs="Arial"/>
          <w:sz w:val="20"/>
          <w:szCs w:val="20"/>
        </w:rPr>
        <w:t xml:space="preserve"> responsible for the investments of Client assets and supervises Client portfolio managers, research analysts and other employees performing investment management functions at KCD.</w:t>
      </w:r>
    </w:p>
    <w:p>
      <w:pPr>
        <w:pStyle w:val="normal0"/>
        <w:spacing w:before="200" w:after="200"/>
        <w:rPr>
          <w:rFonts w:eastAsia="Arial" w:cs="Arial"/>
          <w:sz w:val="20"/>
          <w:szCs w:val="20"/>
        </w:rPr>
      </w:pPr>
      <w:r>
        <w:rPr>
          <w:rFonts w:eastAsia="Arial" w:cs="Arial"/>
          <w:b/>
          <w:bCs/>
          <w:sz w:val="20"/>
          <w:szCs w:val="20"/>
        </w:rPr>
        <w:t>Vice President - Marketing:</w:t>
      </w:r>
      <w:r>
        <w:rPr>
          <w:rFonts w:eastAsia="Arial" w:cs="Arial"/>
          <w:sz w:val="20"/>
          <w:szCs w:val="20"/>
        </w:rPr>
        <w:t xml:space="preserve"> responsible for sales and marketing activities, including sales-related materials of KCD, and supervises employees who carry out marketing functions.</w:t>
      </w:r>
    </w:p>
    <w:p>
      <w:pPr>
        <w:pStyle w:val="normal0"/>
        <w:spacing w:before="200" w:after="200"/>
        <w:rPr>
          <w:rFonts w:eastAsia="Arial" w:cs="Arial"/>
          <w:sz w:val="20"/>
          <w:szCs w:val="20"/>
        </w:rPr>
      </w:pPr>
      <w:r>
        <w:rPr>
          <w:rFonts w:eastAsia="Arial" w:cs="Arial"/>
          <w:b/>
          <w:bCs/>
          <w:sz w:val="20"/>
          <w:szCs w:val="20"/>
        </w:rPr>
        <w:t>Vice President - Training:</w:t>
      </w:r>
      <w:r>
        <w:rPr>
          <w:rFonts w:eastAsia="Arial" w:cs="Arial"/>
          <w:sz w:val="20"/>
          <w:szCs w:val="20"/>
        </w:rPr>
        <w:t xml:space="preserve"> responsible for developing, revising and maintaining training program.</w:t>
      </w:r>
    </w:p>
    <w:p>
      <w:pPr>
        <w:pStyle w:val="normal0"/>
        <w:spacing w:before="200" w:after="200"/>
        <w:rPr>
          <w:rFonts w:eastAsia="Arial" w:cs="Arial"/>
          <w:sz w:val="20"/>
          <w:szCs w:val="20"/>
        </w:rPr>
      </w:pPr>
      <w:r>
        <w:rPr>
          <w:rFonts w:eastAsia="Arial" w:cs="Arial"/>
          <w:b/>
          <w:bCs/>
          <w:sz w:val="20"/>
          <w:szCs w:val="20"/>
        </w:rPr>
        <w:t>Vice President - Auditing:</w:t>
      </w:r>
      <w:r>
        <w:rPr>
          <w:rFonts w:eastAsia="Arial" w:cs="Arial"/>
          <w:sz w:val="20"/>
          <w:szCs w:val="20"/>
        </w:rPr>
        <w:t xml:space="preserve"> responsible for internal audits of KCD and supervises employees performing audit functions.</w:t>
      </w:r>
    </w:p>
    <w:p>
      <w:pPr>
        <w:pStyle w:val="normal0"/>
        <w:spacing w:before="200" w:after="200"/>
        <w:rPr>
          <w:rFonts w:eastAsia="Arial" w:cs="Arial"/>
          <w:sz w:val="20"/>
          <w:szCs w:val="20"/>
        </w:rPr>
      </w:pPr>
      <w:r>
        <w:rPr>
          <w:rFonts w:eastAsia="Arial" w:cs="Arial"/>
          <w:b/>
          <w:bCs/>
          <w:sz w:val="20"/>
          <w:szCs w:val="20"/>
        </w:rPr>
        <w:t>Vice President - Trading &amp; Brokerage:</w:t>
      </w:r>
      <w:r>
        <w:rPr>
          <w:rFonts w:eastAsia="Arial" w:cs="Arial"/>
          <w:sz w:val="20"/>
          <w:szCs w:val="20"/>
        </w:rPr>
        <w:t xml:space="preserve"> responsible for Firm brokerage and supervises employees who place trades for Clients and otherwise involved in the processing of Client trade orders.</w:t>
      </w:r>
    </w:p>
    <w:p>
      <w:pPr>
        <w:pStyle w:val="normal0"/>
        <w:spacing w:before="200" w:after="200"/>
        <w:rPr>
          <w:rFonts w:eastAsia="Arial" w:cs="Arial"/>
          <w:sz w:val="20"/>
          <w:szCs w:val="20"/>
        </w:rPr>
      </w:pPr>
      <w:r>
        <w:rPr>
          <w:rFonts w:eastAsia="Arial" w:cs="Arial"/>
          <w:b/>
          <w:bCs/>
          <w:sz w:val="20"/>
          <w:szCs w:val="20"/>
        </w:rPr>
        <w:t>Vice President - Technology:</w:t>
      </w:r>
      <w:r>
        <w:rPr>
          <w:rFonts w:eastAsia="Arial" w:cs="Arial"/>
          <w:sz w:val="20"/>
          <w:szCs w:val="20"/>
        </w:rPr>
        <w:t xml:space="preserve"> responsible for Firm technology and implementation of technology.</w:t>
      </w:r>
    </w:p>
    <w:p>
      <w:pPr>
        <w:pStyle w:val="normal0"/>
        <w:spacing w:before="200" w:after="200"/>
        <w:rPr>
          <w:rFonts w:eastAsia="Arial" w:cs="Arial"/>
          <w:sz w:val="20"/>
          <w:szCs w:val="20"/>
        </w:rPr>
      </w:pPr>
      <w:r>
        <w:rPr>
          <w:rFonts w:eastAsia="Arial" w:cs="Arial"/>
          <w:b/>
          <w:bCs/>
          <w:sz w:val="20"/>
          <w:szCs w:val="20"/>
        </w:rPr>
        <w:t>Treasurer:</w:t>
      </w:r>
      <w:r>
        <w:rPr>
          <w:rFonts w:eastAsia="Arial" w:cs="Arial"/>
          <w:sz w:val="20"/>
          <w:szCs w:val="20"/>
        </w:rPr>
        <w:t xml:space="preserve"> responsible for financial matters of KCD and supervises employees who prepare KCD’s financial statements and perform other accounting functions.</w:t>
      </w:r>
    </w:p>
    <w:p>
      <w:pPr>
        <w:pStyle w:val="normal0"/>
        <w:spacing w:before="200" w:after="200"/>
        <w:rPr>
          <w:rFonts w:eastAsia="Arial" w:cs="Arial"/>
          <w:sz w:val="20"/>
          <w:szCs w:val="20"/>
        </w:rPr>
      </w:pPr>
      <w:r>
        <w:rPr>
          <w:rFonts w:eastAsia="Arial" w:cs="Arial"/>
          <w:b/>
          <w:bCs/>
          <w:sz w:val="20"/>
          <w:szCs w:val="20"/>
        </w:rPr>
        <w:t>Secretary:</w:t>
      </w:r>
      <w:r>
        <w:rPr>
          <w:rFonts w:eastAsia="Arial" w:cs="Arial"/>
          <w:sz w:val="20"/>
          <w:szCs w:val="20"/>
        </w:rPr>
        <w:t xml:space="preserve"> responsible for corporate and organizational matters of KCD, including meetings of board or other oversight body.</w:t>
      </w:r>
    </w:p>
    <w:p>
      <w:bookmarkEnd w:id="1062"/>
      <w:bookmarkStart w:id="1063" w:name="Sec_Chp_061016102246187_061016102246500"/>
    </w:p>
    <w:p>
      <w:pPr>
        <w:pStyle w:val="Heading4"/>
      </w:pPr>
      <w:r>
        <w:t xml:space="preserve">14.3.5.5 General Supervisory Responsibilities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Supervisor is responsible for overseeing the activities of the Supervised Person(s) he or she supervises and taking appropriate action, or recommending senior management of KCD to take appropriate action, reasonably designed to achieve compliance with respect to such Supervised Person(s). A given compliance officer, including the Chief Compliance Officer, will not be a supervisor over a particular business line or group of employees solely by virtue of his or her position. By providing advice concerning compliance or legal issues to a business line employee, a compliance officer will not automatically be deemed to be a supervisor of such person. Determining whether a particular employee is a supervisor depends on whether, under the facts and circumstances, that employee has the requisite degree of responsibility, ability or authority to affect the conduct of other employees of KCD.</w:t>
      </w:r>
    </w:p>
    <w:p>
      <w:pPr>
        <w:pStyle w:val="normal0"/>
        <w:spacing w:before="200" w:after="200"/>
        <w:rPr>
          <w:rFonts w:eastAsia="Arial" w:cs="Arial"/>
          <w:sz w:val="20"/>
          <w:szCs w:val="20"/>
        </w:rPr>
      </w:pPr>
      <w:r>
        <w:rPr>
          <w:rFonts w:eastAsia="Arial" w:cs="Arial"/>
          <w:sz w:val="20"/>
          <w:szCs w:val="20"/>
        </w:rPr>
        <w:t>Each Supervisor must:</w:t>
      </w:r>
    </w:p>
    <w:p>
      <w:pPr>
        <w:numPr>
          <w:ilvl w:val="0"/>
          <w:numId w:val="899"/>
        </w:numPr>
        <w:spacing w:before="200"/>
        <w:ind w:left="720" w:hanging="192"/>
        <w:jc w:val="left"/>
        <w:rPr>
          <w:rFonts w:eastAsia="Arial" w:cs="Arial"/>
          <w:sz w:val="20"/>
          <w:szCs w:val="20"/>
        </w:rPr>
      </w:pPr>
      <w:r>
        <w:rPr>
          <w:rFonts w:eastAsia="Arial" w:cs="Arial"/>
          <w:sz w:val="20"/>
          <w:szCs w:val="20"/>
        </w:rPr>
        <w:t xml:space="preserve">Possess the knowledge and experience necessary for the supervisory position; </w:t>
      </w:r>
    </w:p>
    <w:p>
      <w:pPr>
        <w:numPr>
          <w:ilvl w:val="0"/>
          <w:numId w:val="899"/>
        </w:numPr>
        <w:ind w:left="720" w:hanging="192"/>
        <w:jc w:val="left"/>
        <w:rPr>
          <w:rFonts w:eastAsia="Arial" w:cs="Arial"/>
          <w:sz w:val="20"/>
          <w:szCs w:val="20"/>
        </w:rPr>
      </w:pPr>
      <w:r>
        <w:rPr>
          <w:rFonts w:eastAsia="Arial" w:cs="Arial"/>
          <w:sz w:val="20"/>
          <w:szCs w:val="20"/>
        </w:rPr>
        <w:t xml:space="preserve">Be familiar with and understand the contents of the Compliance Manual; </w:t>
      </w:r>
    </w:p>
    <w:p>
      <w:pPr>
        <w:numPr>
          <w:ilvl w:val="0"/>
          <w:numId w:val="899"/>
        </w:numPr>
        <w:ind w:left="720" w:hanging="192"/>
        <w:jc w:val="left"/>
        <w:rPr>
          <w:rFonts w:eastAsia="Arial" w:cs="Arial"/>
          <w:sz w:val="20"/>
          <w:szCs w:val="20"/>
        </w:rPr>
      </w:pPr>
      <w:r>
        <w:rPr>
          <w:rFonts w:eastAsia="Arial" w:cs="Arial"/>
          <w:sz w:val="20"/>
          <w:szCs w:val="20"/>
        </w:rPr>
        <w:t xml:space="preserve">Be properly licensed to conduct the assigned supervisory responsibilities; and </w:t>
      </w:r>
    </w:p>
    <w:p>
      <w:pPr>
        <w:numPr>
          <w:ilvl w:val="0"/>
          <w:numId w:val="899"/>
        </w:numPr>
        <w:spacing w:after="200"/>
        <w:ind w:left="720" w:hanging="192"/>
        <w:jc w:val="left"/>
        <w:rPr>
          <w:rFonts w:eastAsia="Arial" w:cs="Arial"/>
          <w:sz w:val="20"/>
          <w:szCs w:val="20"/>
        </w:rPr>
      </w:pPr>
      <w:r>
        <w:rPr>
          <w:rFonts w:eastAsia="Arial" w:cs="Arial"/>
          <w:sz w:val="20"/>
          <w:szCs w:val="20"/>
        </w:rPr>
        <w:t>Perform the supervisory responsibilities, including the authority to terminate the employment of, or otherwise affect the conduct of, the employee being supervised.</w:t>
      </w:r>
    </w:p>
    <w:p>
      <w:pPr>
        <w:pStyle w:val="normal0"/>
        <w:spacing w:before="200" w:after="200"/>
        <w:rPr>
          <w:rFonts w:eastAsia="Arial" w:cs="Arial"/>
          <w:sz w:val="20"/>
          <w:szCs w:val="20"/>
        </w:rPr>
      </w:pPr>
      <w:r>
        <w:rPr>
          <w:rFonts w:eastAsia="Arial" w:cs="Arial"/>
          <w:sz w:val="20"/>
          <w:szCs w:val="20"/>
        </w:rPr>
        <w:t xml:space="preserve">In addition to the supervisory responsibilities noted elsewhere in this Compliance Manual, each Supervisor shall: </w:t>
      </w:r>
    </w:p>
    <w:p>
      <w:pPr>
        <w:numPr>
          <w:ilvl w:val="0"/>
          <w:numId w:val="900"/>
        </w:numPr>
        <w:spacing w:before="200"/>
        <w:ind w:left="720" w:hanging="192"/>
        <w:jc w:val="left"/>
        <w:rPr>
          <w:rFonts w:eastAsia="Arial" w:cs="Arial"/>
          <w:sz w:val="20"/>
          <w:szCs w:val="20"/>
        </w:rPr>
      </w:pPr>
      <w:r>
        <w:rPr>
          <w:rFonts w:eastAsia="Arial" w:cs="Arial"/>
          <w:sz w:val="20"/>
          <w:szCs w:val="20"/>
        </w:rPr>
        <w:t xml:space="preserve">Ensure that the Compliance Manual, updates to the Compliance Manual, and all other compliance materials are timely delivered to each of his or her Supervised Persons, including new employees who come under his or her supervision; </w:t>
      </w:r>
    </w:p>
    <w:p>
      <w:pPr>
        <w:numPr>
          <w:ilvl w:val="0"/>
          <w:numId w:val="900"/>
        </w:numPr>
        <w:ind w:left="720" w:hanging="192"/>
        <w:jc w:val="left"/>
        <w:rPr>
          <w:rFonts w:eastAsia="Arial" w:cs="Arial"/>
          <w:sz w:val="20"/>
          <w:szCs w:val="20"/>
        </w:rPr>
      </w:pPr>
      <w:r>
        <w:rPr>
          <w:rFonts w:eastAsia="Arial" w:cs="Arial"/>
          <w:sz w:val="20"/>
          <w:szCs w:val="20"/>
        </w:rPr>
        <w:t xml:space="preserve">Ensure that his or her Supervised Persons know and understand the contents of the Compliance Manual as it relates to their day-to-day activities; </w:t>
      </w:r>
    </w:p>
    <w:p>
      <w:pPr>
        <w:numPr>
          <w:ilvl w:val="0"/>
          <w:numId w:val="900"/>
        </w:numPr>
        <w:ind w:left="720" w:hanging="192"/>
        <w:jc w:val="left"/>
        <w:rPr>
          <w:rFonts w:eastAsia="Arial" w:cs="Arial"/>
          <w:sz w:val="20"/>
          <w:szCs w:val="20"/>
        </w:rPr>
      </w:pPr>
      <w:r>
        <w:rPr>
          <w:rFonts w:eastAsia="Arial" w:cs="Arial"/>
          <w:sz w:val="20"/>
          <w:szCs w:val="20"/>
        </w:rPr>
        <w:t>Promptly review all incoming and outgoing correspondence between his or her Supervised Persons and clients;</w:t>
      </w:r>
    </w:p>
    <w:p>
      <w:pPr>
        <w:numPr>
          <w:ilvl w:val="0"/>
          <w:numId w:val="900"/>
        </w:numPr>
        <w:ind w:left="720" w:hanging="192"/>
        <w:jc w:val="left"/>
        <w:rPr>
          <w:rFonts w:eastAsia="Arial" w:cs="Arial"/>
          <w:sz w:val="20"/>
          <w:szCs w:val="20"/>
        </w:rPr>
      </w:pPr>
      <w:r>
        <w:rPr>
          <w:rFonts w:eastAsia="Arial" w:cs="Arial"/>
          <w:sz w:val="20"/>
          <w:szCs w:val="20"/>
        </w:rPr>
        <w:t>Create and maintain a supervisory file for each of his or her Supervised Persons;</w:t>
      </w:r>
    </w:p>
    <w:p>
      <w:pPr>
        <w:numPr>
          <w:ilvl w:val="0"/>
          <w:numId w:val="900"/>
        </w:numPr>
        <w:ind w:left="720" w:hanging="192"/>
        <w:jc w:val="left"/>
        <w:rPr>
          <w:rFonts w:eastAsia="Arial" w:cs="Arial"/>
          <w:sz w:val="20"/>
          <w:szCs w:val="20"/>
        </w:rPr>
      </w:pPr>
      <w:r>
        <w:rPr>
          <w:rFonts w:eastAsia="Arial" w:cs="Arial"/>
          <w:sz w:val="20"/>
          <w:szCs w:val="20"/>
        </w:rPr>
        <w:t>Designate officers or employees, if needed, to oversee the activities of Supervised Persons within his or her area of responsibility;</w:t>
      </w:r>
    </w:p>
    <w:p>
      <w:pPr>
        <w:numPr>
          <w:ilvl w:val="0"/>
          <w:numId w:val="900"/>
        </w:numPr>
        <w:ind w:left="720" w:hanging="192"/>
        <w:jc w:val="left"/>
        <w:rPr>
          <w:rFonts w:eastAsia="Arial" w:cs="Arial"/>
          <w:sz w:val="20"/>
          <w:szCs w:val="20"/>
        </w:rPr>
      </w:pPr>
      <w:r>
        <w:rPr>
          <w:rFonts w:eastAsia="Arial" w:cs="Arial"/>
          <w:sz w:val="20"/>
          <w:szCs w:val="20"/>
        </w:rPr>
        <w:t>Effectively communicate with his or her Supervised Persons;</w:t>
      </w:r>
    </w:p>
    <w:p>
      <w:pPr>
        <w:numPr>
          <w:ilvl w:val="0"/>
          <w:numId w:val="900"/>
        </w:numPr>
        <w:ind w:left="720" w:hanging="192"/>
        <w:jc w:val="left"/>
        <w:rPr>
          <w:rFonts w:eastAsia="Arial" w:cs="Arial"/>
          <w:sz w:val="20"/>
          <w:szCs w:val="20"/>
        </w:rPr>
      </w:pPr>
      <w:r>
        <w:rPr>
          <w:rFonts w:eastAsia="Arial" w:cs="Arial"/>
          <w:sz w:val="20"/>
          <w:szCs w:val="20"/>
        </w:rPr>
        <w:t xml:space="preserve">Monitor his or her Supervised Persons for irregular or improper activity; </w:t>
      </w:r>
    </w:p>
    <w:p>
      <w:pPr>
        <w:numPr>
          <w:ilvl w:val="0"/>
          <w:numId w:val="900"/>
        </w:numPr>
        <w:ind w:left="720" w:hanging="192"/>
        <w:jc w:val="left"/>
        <w:rPr>
          <w:rFonts w:eastAsia="Arial" w:cs="Arial"/>
          <w:sz w:val="20"/>
          <w:szCs w:val="20"/>
        </w:rPr>
      </w:pPr>
      <w:r>
        <w:rPr>
          <w:rFonts w:eastAsia="Arial" w:cs="Arial"/>
          <w:sz w:val="20"/>
          <w:szCs w:val="20"/>
        </w:rPr>
        <w:t>Promptly notify the Chief Compliance Officer of any irregular or improper activity of his or her Supervised Persons;</w:t>
      </w:r>
    </w:p>
    <w:p>
      <w:pPr>
        <w:numPr>
          <w:ilvl w:val="0"/>
          <w:numId w:val="900"/>
        </w:numPr>
        <w:ind w:left="720" w:hanging="192"/>
        <w:jc w:val="left"/>
        <w:rPr>
          <w:rFonts w:eastAsia="Arial" w:cs="Arial"/>
          <w:sz w:val="20"/>
          <w:szCs w:val="20"/>
        </w:rPr>
      </w:pPr>
      <w:r>
        <w:rPr>
          <w:rFonts w:eastAsia="Arial" w:cs="Arial"/>
          <w:sz w:val="20"/>
          <w:szCs w:val="20"/>
        </w:rPr>
        <w:t>Promptly notify the Chief Compliance Officer and senior officers of KCD in writing of any known civil, criminal or administrative action brought against any of his or her Supervised Persons;</w:t>
      </w:r>
    </w:p>
    <w:p>
      <w:pPr>
        <w:numPr>
          <w:ilvl w:val="0"/>
          <w:numId w:val="900"/>
        </w:numPr>
        <w:ind w:left="720" w:hanging="192"/>
        <w:jc w:val="left"/>
        <w:rPr>
          <w:rFonts w:eastAsia="Arial" w:cs="Arial"/>
          <w:sz w:val="20"/>
          <w:szCs w:val="20"/>
        </w:rPr>
      </w:pPr>
      <w:r>
        <w:rPr>
          <w:rFonts w:eastAsia="Arial" w:cs="Arial"/>
          <w:sz w:val="20"/>
          <w:szCs w:val="20"/>
        </w:rPr>
        <w:t>Review and submit all client complaints made against his or her Supervised Persons to the Compliance Officer and KCD's chief legal counsel;</w:t>
      </w:r>
    </w:p>
    <w:p>
      <w:pPr>
        <w:numPr>
          <w:ilvl w:val="0"/>
          <w:numId w:val="900"/>
        </w:numPr>
        <w:ind w:left="720" w:hanging="192"/>
        <w:jc w:val="left"/>
        <w:rPr>
          <w:rFonts w:eastAsia="Arial" w:cs="Arial"/>
          <w:sz w:val="20"/>
          <w:szCs w:val="20"/>
        </w:rPr>
      </w:pPr>
      <w:r>
        <w:rPr>
          <w:rFonts w:eastAsia="Arial" w:cs="Arial"/>
          <w:sz w:val="20"/>
          <w:szCs w:val="20"/>
        </w:rPr>
        <w:t>Conduct, on an annual basis, a meeting with each of his or her Supervised Persons that covers all relevant compliance matters; and</w:t>
      </w:r>
    </w:p>
    <w:p>
      <w:pPr>
        <w:numPr>
          <w:ilvl w:val="0"/>
          <w:numId w:val="900"/>
        </w:numPr>
        <w:spacing w:after="200"/>
        <w:ind w:left="720" w:hanging="192"/>
        <w:jc w:val="left"/>
        <w:rPr>
          <w:rFonts w:eastAsia="Arial" w:cs="Arial"/>
          <w:sz w:val="20"/>
          <w:szCs w:val="20"/>
        </w:rPr>
      </w:pPr>
      <w:r>
        <w:rPr>
          <w:rFonts w:eastAsia="Arial" w:cs="Arial"/>
          <w:sz w:val="20"/>
          <w:szCs w:val="20"/>
        </w:rPr>
        <w:t xml:space="preserve">Complete a compliance review form for each of his or her Supervised Persons, maintain the form in the employee's supervisory file, and forward a copy of the form to the Compliance Officer. </w:t>
      </w:r>
    </w:p>
    <w:p>
      <w:bookmarkEnd w:id="1063"/>
      <w:bookmarkStart w:id="1064" w:name="Sec_Chp_061016102246187_061016102246560"/>
    </w:p>
    <w:p>
      <w:pPr>
        <w:pStyle w:val="Heading4"/>
      </w:pPr>
      <w:r>
        <w:t xml:space="preserve">14.3.5.6 Employee Supervision </w:t>
      </w:r>
    </w:p>
    <w:p/>
    <w:p>
      <w:pPr>
        <w:rPr>
          <w:rFonts w:eastAsia="Arial" w:cs="Arial"/>
          <w:sz w:val="16"/>
          <w:szCs w:val="16"/>
        </w:rPr>
      </w:pPr>
    </w:p>
    <w:p>
      <w:pPr>
        <w:pStyle w:val="fmtssstext"/>
        <w:spacing w:after="200"/>
        <w:rPr>
          <w:rFonts w:eastAsia="Arial" w:cs="Arial"/>
          <w:sz w:val="20"/>
          <w:szCs w:val="20"/>
        </w:rPr>
      </w:pPr>
      <w:r>
        <w:rPr>
          <w:rFonts w:eastAsia="Arial" w:cs="Arial"/>
          <w:sz w:val="20"/>
          <w:szCs w:val="20"/>
        </w:rPr>
        <w:t>A Supervisor with respect to the activities of each Supervised Person he or she supervises shall periodically:</w:t>
      </w:r>
    </w:p>
    <w:p>
      <w:pPr>
        <w:numPr>
          <w:ilvl w:val="0"/>
          <w:numId w:val="901"/>
        </w:numPr>
        <w:spacing w:before="200"/>
        <w:ind w:left="720" w:hanging="192"/>
        <w:jc w:val="left"/>
        <w:rPr>
          <w:rFonts w:eastAsia="Arial" w:cs="Arial"/>
          <w:sz w:val="20"/>
          <w:szCs w:val="20"/>
        </w:rPr>
      </w:pPr>
      <w:r>
        <w:rPr>
          <w:rFonts w:eastAsia="Arial" w:cs="Arial"/>
          <w:sz w:val="20"/>
          <w:szCs w:val="20"/>
        </w:rPr>
        <w:t xml:space="preserve">Review the activities of the Supervised Person to make sure such Supervised Person is carrying out his or her assigned responsibilities in a manner that complies with KCD's policies and procedures; </w:t>
      </w:r>
    </w:p>
    <w:p>
      <w:pPr>
        <w:numPr>
          <w:ilvl w:val="0"/>
          <w:numId w:val="901"/>
        </w:numPr>
        <w:ind w:left="720" w:hanging="192"/>
        <w:jc w:val="left"/>
        <w:rPr>
          <w:rFonts w:eastAsia="Arial" w:cs="Arial"/>
          <w:sz w:val="20"/>
          <w:szCs w:val="20"/>
        </w:rPr>
      </w:pPr>
      <w:r>
        <w:rPr>
          <w:rFonts w:eastAsia="Arial" w:cs="Arial"/>
          <w:sz w:val="20"/>
          <w:szCs w:val="20"/>
        </w:rPr>
        <w:t xml:space="preserve">Ensure that the Supervised Person has received sufficient training with respect to his or her assigned responsibilities; </w:t>
      </w:r>
    </w:p>
    <w:p>
      <w:pPr>
        <w:numPr>
          <w:ilvl w:val="0"/>
          <w:numId w:val="901"/>
        </w:numPr>
        <w:ind w:left="720" w:hanging="192"/>
        <w:jc w:val="left"/>
        <w:rPr>
          <w:rFonts w:eastAsia="Arial" w:cs="Arial"/>
          <w:sz w:val="20"/>
          <w:szCs w:val="20"/>
        </w:rPr>
      </w:pPr>
      <w:r>
        <w:rPr>
          <w:rFonts w:eastAsia="Arial" w:cs="Arial"/>
          <w:sz w:val="20"/>
          <w:szCs w:val="20"/>
        </w:rPr>
        <w:t xml:space="preserve">Examine periodic incoming and outgoing communications of the Supervised Person; </w:t>
      </w:r>
    </w:p>
    <w:p>
      <w:pPr>
        <w:numPr>
          <w:ilvl w:val="0"/>
          <w:numId w:val="901"/>
        </w:numPr>
        <w:ind w:left="720" w:hanging="192"/>
        <w:jc w:val="left"/>
        <w:rPr>
          <w:rFonts w:eastAsia="Arial" w:cs="Arial"/>
          <w:sz w:val="20"/>
          <w:szCs w:val="20"/>
        </w:rPr>
      </w:pPr>
      <w:r>
        <w:rPr>
          <w:rFonts w:eastAsia="Arial" w:cs="Arial"/>
          <w:sz w:val="20"/>
          <w:szCs w:val="20"/>
        </w:rPr>
        <w:t>Review personal securities trading reports of the Supervised Person;</w:t>
      </w:r>
    </w:p>
    <w:p>
      <w:pPr>
        <w:numPr>
          <w:ilvl w:val="0"/>
          <w:numId w:val="901"/>
        </w:numPr>
        <w:ind w:left="720" w:hanging="192"/>
        <w:jc w:val="left"/>
        <w:rPr>
          <w:rFonts w:eastAsia="Arial" w:cs="Arial"/>
          <w:sz w:val="20"/>
          <w:szCs w:val="20"/>
        </w:rPr>
      </w:pPr>
      <w:r>
        <w:rPr>
          <w:rFonts w:eastAsia="Arial" w:cs="Arial"/>
          <w:sz w:val="20"/>
          <w:szCs w:val="20"/>
        </w:rPr>
        <w:t xml:space="preserve">Report to the Chief Compliance Officer any change of lifestyle by the Supervised Person that is not supported by his or her production or income changes; </w:t>
      </w:r>
    </w:p>
    <w:p>
      <w:pPr>
        <w:numPr>
          <w:ilvl w:val="0"/>
          <w:numId w:val="901"/>
        </w:numPr>
        <w:ind w:left="720" w:hanging="192"/>
        <w:jc w:val="left"/>
        <w:rPr>
          <w:rFonts w:eastAsia="Arial" w:cs="Arial"/>
          <w:sz w:val="20"/>
          <w:szCs w:val="20"/>
        </w:rPr>
      </w:pPr>
      <w:r>
        <w:rPr>
          <w:rFonts w:eastAsia="Arial" w:cs="Arial"/>
          <w:sz w:val="20"/>
          <w:szCs w:val="20"/>
        </w:rPr>
        <w:t xml:space="preserve">Report to the Chief Compliance Officer the Supervised Person's failure to timely make any required reports or certifications; </w:t>
      </w:r>
    </w:p>
    <w:p>
      <w:pPr>
        <w:numPr>
          <w:ilvl w:val="0"/>
          <w:numId w:val="901"/>
        </w:numPr>
        <w:ind w:left="720" w:hanging="192"/>
        <w:jc w:val="left"/>
        <w:rPr>
          <w:rFonts w:eastAsia="Arial" w:cs="Arial"/>
          <w:sz w:val="20"/>
          <w:szCs w:val="20"/>
        </w:rPr>
      </w:pPr>
      <w:r>
        <w:rPr>
          <w:rFonts w:eastAsia="Arial" w:cs="Arial"/>
          <w:sz w:val="20"/>
          <w:szCs w:val="20"/>
        </w:rPr>
        <w:t xml:space="preserve">Review client complaints involving the Supervised Person; </w:t>
      </w:r>
    </w:p>
    <w:p>
      <w:pPr>
        <w:numPr>
          <w:ilvl w:val="0"/>
          <w:numId w:val="901"/>
        </w:numPr>
        <w:ind w:left="720" w:hanging="192"/>
        <w:jc w:val="left"/>
        <w:rPr>
          <w:rFonts w:eastAsia="Arial" w:cs="Arial"/>
          <w:sz w:val="20"/>
          <w:szCs w:val="20"/>
        </w:rPr>
      </w:pPr>
      <w:r>
        <w:rPr>
          <w:rFonts w:eastAsia="Arial" w:cs="Arial"/>
          <w:sz w:val="20"/>
          <w:szCs w:val="20"/>
        </w:rPr>
        <w:t xml:space="preserve">Immediately report to the Chief Compliance Officer and the supervisor of the Supervisor any compliance violations or irregular activities committed by the Supervised Person; and </w:t>
      </w:r>
    </w:p>
    <w:p>
      <w:pPr>
        <w:numPr>
          <w:ilvl w:val="0"/>
          <w:numId w:val="901"/>
        </w:numPr>
        <w:spacing w:after="200"/>
        <w:ind w:left="720" w:hanging="192"/>
        <w:jc w:val="left"/>
        <w:rPr>
          <w:rFonts w:eastAsia="Arial" w:cs="Arial"/>
          <w:sz w:val="20"/>
          <w:szCs w:val="20"/>
        </w:rPr>
      </w:pPr>
      <w:r>
        <w:rPr>
          <w:rFonts w:eastAsia="Arial" w:cs="Arial"/>
          <w:sz w:val="20"/>
          <w:szCs w:val="20"/>
        </w:rPr>
        <w:t xml:space="preserve">Periodically report to the supervisor of the Supervisor the results of this review. </w:t>
      </w:r>
    </w:p>
    <w:p>
      <w:pPr>
        <w:spacing w:before="200" w:after="200"/>
        <w:rPr>
          <w:rFonts w:eastAsia="Arial" w:cs="Arial"/>
          <w:sz w:val="20"/>
          <w:szCs w:val="20"/>
        </w:rPr>
      </w:pPr>
      <w:r>
        <w:rPr>
          <w:rFonts w:eastAsia="Arial" w:cs="Arial"/>
          <w:sz w:val="20"/>
          <w:szCs w:val="20"/>
        </w:rPr>
        <w:t>During a pandemic or other disaster that confines Supervisors and Supervised Persons to their respective residences, the following steps shall be taken to facilitate supervision remotely:</w:t>
      </w:r>
    </w:p>
    <w:p>
      <w:pPr>
        <w:numPr>
          <w:ilvl w:val="0"/>
          <w:numId w:val="902"/>
        </w:numPr>
        <w:spacing w:before="200"/>
        <w:ind w:left="720" w:hanging="192"/>
        <w:jc w:val="left"/>
        <w:rPr>
          <w:rFonts w:eastAsia="Arial" w:cs="Arial"/>
          <w:sz w:val="20"/>
          <w:szCs w:val="20"/>
        </w:rPr>
      </w:pPr>
      <w:r>
        <w:rPr>
          <w:rFonts w:eastAsia="Arial" w:cs="Arial"/>
          <w:sz w:val="20"/>
          <w:szCs w:val="20"/>
        </w:rPr>
        <w:t>Conduct periodic one-on-one virtual meetings between a Supervisor and Supervised Persons, as well as periodic video conference calls that includes all or a significant number of employees;</w:t>
      </w:r>
    </w:p>
    <w:p>
      <w:pPr>
        <w:numPr>
          <w:ilvl w:val="0"/>
          <w:numId w:val="902"/>
        </w:numPr>
        <w:ind w:left="720" w:hanging="192"/>
        <w:jc w:val="left"/>
        <w:rPr>
          <w:rFonts w:eastAsia="Arial" w:cs="Arial"/>
          <w:sz w:val="20"/>
          <w:szCs w:val="20"/>
        </w:rPr>
      </w:pPr>
      <w:r>
        <w:rPr>
          <w:rFonts w:eastAsia="Arial" w:cs="Arial"/>
          <w:sz w:val="20"/>
          <w:szCs w:val="20"/>
        </w:rPr>
        <w:t>Encourage Supervised Employees to call telephonically or virtually with questions and concerns instead of communicating in writing through e-mails;</w:t>
      </w:r>
    </w:p>
    <w:p>
      <w:pPr>
        <w:numPr>
          <w:ilvl w:val="0"/>
          <w:numId w:val="902"/>
        </w:numPr>
        <w:ind w:left="720" w:hanging="192"/>
        <w:jc w:val="left"/>
        <w:rPr>
          <w:rFonts w:eastAsia="Arial" w:cs="Arial"/>
          <w:sz w:val="20"/>
          <w:szCs w:val="20"/>
        </w:rPr>
      </w:pPr>
      <w:r>
        <w:rPr>
          <w:rFonts w:eastAsia="Arial" w:cs="Arial"/>
          <w:sz w:val="20"/>
          <w:szCs w:val="20"/>
        </w:rPr>
        <w:t>If safe conditions are achievable (</w:t>
      </w:r>
      <w:r>
        <w:rPr>
          <w:rFonts w:eastAsia="Arial" w:cs="Arial"/>
          <w:i/>
          <w:iCs/>
          <w:sz w:val="20"/>
          <w:szCs w:val="20"/>
        </w:rPr>
        <w:t>e.g.,</w:t>
      </w:r>
      <w:r>
        <w:rPr>
          <w:rFonts w:eastAsia="Arial" w:cs="Arial"/>
          <w:sz w:val="20"/>
          <w:szCs w:val="20"/>
        </w:rPr>
        <w:t xml:space="preserve"> outside, masks and social distancing), Supervisors and Supervised Employees periodically should meet in person; and</w:t>
      </w:r>
    </w:p>
    <w:p>
      <w:pPr>
        <w:numPr>
          <w:ilvl w:val="0"/>
          <w:numId w:val="902"/>
        </w:numPr>
        <w:spacing w:after="200"/>
        <w:ind w:left="720" w:hanging="192"/>
        <w:jc w:val="left"/>
        <w:rPr>
          <w:rFonts w:eastAsia="Arial" w:cs="Arial"/>
          <w:sz w:val="20"/>
          <w:szCs w:val="20"/>
        </w:rPr>
      </w:pPr>
      <w:r>
        <w:rPr>
          <w:rFonts w:eastAsia="Arial" w:cs="Arial"/>
          <w:sz w:val="20"/>
          <w:szCs w:val="20"/>
        </w:rPr>
        <w:t>Acquire and implement software and hardware that facilitates remote communication, supervision and compliance audits.</w:t>
      </w:r>
    </w:p>
    <w:p>
      <w:bookmarkEnd w:id="1064"/>
      <w:bookmarkStart w:id="1065" w:name="Sec_Chp_061016102246187_061016102246562"/>
    </w:p>
    <w:p>
      <w:pPr>
        <w:pStyle w:val="Heading4"/>
      </w:pPr>
      <w:r>
        <w:t xml:space="preserve">14.3.5.7 Failure to Supervise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Any Supervisor of KCD is potentially liable for violations committed by any Supervised Person that he or she indirectly or directly supervises (which would be called a "failure to supervise charge"). Consistent with Section 203(e)(6) of the Investment Advisers Act of 1940, a Supervisor of KCD will not be deemed to have failed to reasonably supervise the Supervised Person if the Supervisor:</w:t>
      </w:r>
    </w:p>
    <w:p>
      <w:pPr>
        <w:numPr>
          <w:ilvl w:val="0"/>
          <w:numId w:val="903"/>
        </w:numPr>
        <w:spacing w:before="200"/>
        <w:ind w:left="720" w:hanging="192"/>
        <w:jc w:val="left"/>
        <w:rPr>
          <w:rFonts w:eastAsia="Arial" w:cs="Arial"/>
          <w:sz w:val="20"/>
          <w:szCs w:val="20"/>
        </w:rPr>
      </w:pPr>
      <w:r>
        <w:rPr>
          <w:rFonts w:eastAsia="Arial" w:cs="Arial"/>
          <w:sz w:val="20"/>
          <w:szCs w:val="20"/>
        </w:rPr>
        <w:t xml:space="preserve">had reasonably discharged his or her supervisory responsibilities in accordance with the Compliance Manual and any applicable compliance procedures; and </w:t>
      </w:r>
    </w:p>
    <w:p>
      <w:pPr>
        <w:numPr>
          <w:ilvl w:val="0"/>
          <w:numId w:val="903"/>
        </w:numPr>
        <w:spacing w:after="200"/>
        <w:ind w:left="720" w:hanging="192"/>
        <w:jc w:val="left"/>
        <w:rPr>
          <w:rFonts w:eastAsia="Arial" w:cs="Arial"/>
          <w:sz w:val="20"/>
          <w:szCs w:val="20"/>
        </w:rPr>
      </w:pPr>
      <w:r>
        <w:rPr>
          <w:rFonts w:eastAsia="Arial" w:cs="Arial"/>
          <w:sz w:val="20"/>
          <w:szCs w:val="20"/>
        </w:rPr>
        <w:t xml:space="preserve">had no reason to believe the Supervised Person was not complying with the Compliance Manual and its procedures. </w:t>
      </w:r>
    </w:p>
    <w:p>
      <w:pPr>
        <w:pStyle w:val="normal0"/>
        <w:spacing w:before="200" w:after="200"/>
        <w:rPr>
          <w:rFonts w:eastAsia="Arial" w:cs="Arial"/>
          <w:sz w:val="20"/>
          <w:szCs w:val="20"/>
        </w:rPr>
      </w:pPr>
      <w:r>
        <w:rPr>
          <w:rFonts w:eastAsia="Arial" w:cs="Arial"/>
          <w:sz w:val="20"/>
          <w:szCs w:val="20"/>
        </w:rPr>
        <w:t>To better avoid a failure to supervise charge, Supervisors will take steps to ensure that their Supervised Persons:</w:t>
      </w:r>
    </w:p>
    <w:p>
      <w:pPr>
        <w:numPr>
          <w:ilvl w:val="0"/>
          <w:numId w:val="904"/>
        </w:numPr>
        <w:spacing w:before="200"/>
        <w:ind w:left="720" w:hanging="192"/>
        <w:jc w:val="left"/>
        <w:rPr>
          <w:rFonts w:eastAsia="Arial" w:cs="Arial"/>
          <w:sz w:val="20"/>
          <w:szCs w:val="20"/>
        </w:rPr>
      </w:pPr>
      <w:r>
        <w:rPr>
          <w:rFonts w:eastAsia="Arial" w:cs="Arial"/>
          <w:sz w:val="20"/>
          <w:szCs w:val="20"/>
        </w:rPr>
        <w:t xml:space="preserve">have the requisite level of knowledge and experience for tasks Supervised Persons are undertaking; </w:t>
      </w:r>
    </w:p>
    <w:p>
      <w:pPr>
        <w:numPr>
          <w:ilvl w:val="0"/>
          <w:numId w:val="904"/>
        </w:numPr>
        <w:ind w:left="720" w:hanging="192"/>
        <w:jc w:val="left"/>
        <w:rPr>
          <w:rFonts w:eastAsia="Arial" w:cs="Arial"/>
          <w:sz w:val="20"/>
          <w:szCs w:val="20"/>
        </w:rPr>
      </w:pPr>
      <w:r>
        <w:rPr>
          <w:rFonts w:eastAsia="Arial" w:cs="Arial"/>
          <w:sz w:val="20"/>
          <w:szCs w:val="20"/>
        </w:rPr>
        <w:t xml:space="preserve">are and remain competent for the work Supervised Persons undertake; and </w:t>
      </w:r>
    </w:p>
    <w:p>
      <w:pPr>
        <w:numPr>
          <w:ilvl w:val="0"/>
          <w:numId w:val="904"/>
        </w:numPr>
        <w:spacing w:after="200"/>
        <w:ind w:left="720" w:hanging="192"/>
        <w:jc w:val="left"/>
        <w:rPr>
          <w:rFonts w:eastAsia="Arial" w:cs="Arial"/>
          <w:sz w:val="20"/>
          <w:szCs w:val="20"/>
        </w:rPr>
      </w:pPr>
      <w:r>
        <w:rPr>
          <w:rFonts w:eastAsia="Arial" w:cs="Arial"/>
          <w:sz w:val="20"/>
          <w:szCs w:val="20"/>
        </w:rPr>
        <w:t>are appropriately supervised and that the Supervised Persons' competence is regularly reviewed.</w:t>
      </w:r>
    </w:p>
    <w:p>
      <w:bookmarkEnd w:id="1065"/>
      <w:bookmarkStart w:id="1066" w:name="Sec_Chp_061016102246187_0610161022465621"/>
    </w:p>
    <w:p>
      <w:pPr>
        <w:pStyle w:val="Heading4"/>
      </w:pPr>
      <w:r>
        <w:t>14.3.5.8 Employee Compliance Responsibilities</w:t>
      </w:r>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Employees, including officers, may have compliance responsibilities even if they are not compliance officers or do not report to compliance officers. Because investment advisers are heavily regulated, the ordinary operations of areas such as portfolio management, marketing and billing generate compliance responsibilities that must be carried out by a variety of employees.</w:t>
            </w:r>
          </w:p>
        </w:tc>
      </w:tr>
    </w:tbl>
    <w:p>
      <w:pPr>
        <w:rPr>
          <w:rFonts w:eastAsia="Arial" w:cs="Arial"/>
          <w:sz w:val="20"/>
          <w:szCs w:val="20"/>
        </w:rPr>
      </w:pPr>
    </w:p>
    <w:p>
      <w:pPr>
        <w:pStyle w:val="normal0"/>
        <w:spacing w:before="200" w:after="200"/>
        <w:rPr>
          <w:rFonts w:eastAsia="Arial" w:cs="Arial"/>
          <w:sz w:val="20"/>
          <w:szCs w:val="20"/>
        </w:rPr>
      </w:pPr>
      <w:r>
        <w:rPr>
          <w:rFonts w:eastAsia="Arial" w:cs="Arial"/>
          <w:sz w:val="20"/>
          <w:szCs w:val="20"/>
        </w:rPr>
        <w:t>KCD shall assign compliance responsibilities to employees as follows:</w:t>
      </w:r>
    </w:p>
    <w:p>
      <w:pPr>
        <w:numPr>
          <w:ilvl w:val="0"/>
          <w:numId w:val="905"/>
        </w:numPr>
        <w:spacing w:before="200"/>
        <w:ind w:left="720" w:hanging="267"/>
        <w:jc w:val="left"/>
        <w:rPr>
          <w:rFonts w:eastAsia="Arial" w:cs="Arial"/>
          <w:sz w:val="20"/>
          <w:szCs w:val="20"/>
        </w:rPr>
      </w:pPr>
      <w:r>
        <w:rPr>
          <w:rFonts w:eastAsia="Arial" w:cs="Arial"/>
          <w:sz w:val="20"/>
          <w:szCs w:val="20"/>
        </w:rPr>
        <w:t>The Chief Compliance Officer and department heads (or persons with similar positions) shall review the Firm-related responsibilities of each employee and identify whether such responsibilities involve compliance with the Investment Advisers Act of 1940, Securities Act of 1933 or other applicable law;</w:t>
      </w:r>
    </w:p>
    <w:p>
      <w:pPr>
        <w:numPr>
          <w:ilvl w:val="0"/>
          <w:numId w:val="905"/>
        </w:numPr>
        <w:ind w:left="720" w:hanging="267"/>
        <w:jc w:val="left"/>
        <w:rPr>
          <w:rFonts w:eastAsia="Arial" w:cs="Arial"/>
          <w:sz w:val="20"/>
          <w:szCs w:val="20"/>
        </w:rPr>
      </w:pPr>
      <w:r>
        <w:rPr>
          <w:rFonts w:eastAsia="Arial" w:cs="Arial"/>
          <w:sz w:val="20"/>
          <w:szCs w:val="20"/>
        </w:rPr>
        <w:t>Each employee with compliance responsibilities will be informed about and assigned compliance responsibilities and expected to perform such responsibilities in accordance with applicable procedures;</w:t>
      </w:r>
    </w:p>
    <w:p>
      <w:pPr>
        <w:numPr>
          <w:ilvl w:val="0"/>
          <w:numId w:val="905"/>
        </w:numPr>
        <w:ind w:left="720" w:hanging="267"/>
        <w:jc w:val="left"/>
        <w:rPr>
          <w:rFonts w:eastAsia="Arial" w:cs="Arial"/>
          <w:sz w:val="20"/>
          <w:szCs w:val="20"/>
        </w:rPr>
      </w:pPr>
      <w:r>
        <w:rPr>
          <w:rFonts w:eastAsia="Arial" w:cs="Arial"/>
          <w:sz w:val="20"/>
          <w:szCs w:val="20"/>
        </w:rPr>
        <w:t>KCD shall designate a supervisor of each employee with compliance responsibilities and determine the role of compliance officer with respect to how such compliance responsibilities will be monitored and tracked; and</w:t>
      </w:r>
    </w:p>
    <w:p>
      <w:pPr>
        <w:numPr>
          <w:ilvl w:val="0"/>
          <w:numId w:val="905"/>
        </w:numPr>
        <w:spacing w:after="200"/>
        <w:ind w:left="720" w:hanging="267"/>
        <w:jc w:val="left"/>
        <w:rPr>
          <w:rFonts w:eastAsia="Arial" w:cs="Arial"/>
          <w:sz w:val="20"/>
          <w:szCs w:val="20"/>
        </w:rPr>
      </w:pPr>
      <w:r>
        <w:rPr>
          <w:rFonts w:eastAsia="Arial" w:cs="Arial"/>
          <w:sz w:val="20"/>
          <w:szCs w:val="20"/>
        </w:rPr>
        <w:t>Each employee with compliance responsibilities shall receive adequate training regarding how he or she should carry out their responsibilities.</w:t>
      </w:r>
    </w:p>
    <w:p>
      <w:pPr>
        <w:pStyle w:val="normal0"/>
        <w:spacing w:before="200" w:after="200"/>
        <w:rPr>
          <w:rFonts w:eastAsia="Arial" w:cs="Arial"/>
          <w:sz w:val="20"/>
          <w:szCs w:val="20"/>
        </w:rPr>
      </w:pPr>
      <w:r>
        <w:rPr>
          <w:rFonts w:eastAsia="Arial" w:cs="Arial"/>
          <w:sz w:val="20"/>
          <w:szCs w:val="20"/>
        </w:rPr>
        <w:t>Supervised employees shall:</w:t>
      </w:r>
    </w:p>
    <w:p>
      <w:pPr>
        <w:numPr>
          <w:ilvl w:val="0"/>
          <w:numId w:val="906"/>
        </w:numPr>
        <w:spacing w:before="200"/>
        <w:ind w:left="720" w:hanging="267"/>
        <w:jc w:val="left"/>
        <w:rPr>
          <w:rFonts w:eastAsia="Arial" w:cs="Arial"/>
          <w:sz w:val="20"/>
          <w:szCs w:val="20"/>
        </w:rPr>
      </w:pPr>
      <w:r>
        <w:rPr>
          <w:rFonts w:eastAsia="Arial" w:cs="Arial"/>
          <w:sz w:val="20"/>
          <w:szCs w:val="20"/>
        </w:rPr>
        <w:t>Report to their respective supervisors any compliance issues including known violations of these compliance procedures or law;</w:t>
      </w:r>
    </w:p>
    <w:p>
      <w:pPr>
        <w:numPr>
          <w:ilvl w:val="0"/>
          <w:numId w:val="906"/>
        </w:numPr>
        <w:ind w:left="720" w:hanging="267"/>
        <w:jc w:val="left"/>
        <w:rPr>
          <w:rFonts w:eastAsia="Arial" w:cs="Arial"/>
          <w:sz w:val="20"/>
          <w:szCs w:val="20"/>
        </w:rPr>
      </w:pPr>
      <w:r>
        <w:rPr>
          <w:rFonts w:eastAsia="Arial" w:cs="Arial"/>
          <w:sz w:val="20"/>
          <w:szCs w:val="20"/>
        </w:rPr>
        <w:t>Ask their respective supervisors or the CCO questions regarding any responsibility that they are unsure about; and</w:t>
      </w:r>
    </w:p>
    <w:p>
      <w:pPr>
        <w:numPr>
          <w:ilvl w:val="0"/>
          <w:numId w:val="906"/>
        </w:numPr>
        <w:spacing w:after="200"/>
        <w:ind w:left="720" w:hanging="267"/>
        <w:jc w:val="left"/>
        <w:rPr>
          <w:rFonts w:eastAsia="Arial" w:cs="Arial"/>
          <w:sz w:val="20"/>
          <w:szCs w:val="20"/>
        </w:rPr>
      </w:pPr>
      <w:r>
        <w:rPr>
          <w:rFonts w:eastAsia="Arial" w:cs="Arial"/>
          <w:sz w:val="20"/>
          <w:szCs w:val="20"/>
        </w:rPr>
        <w:t>Ask the CCO any questions regarding an applicable statute or rule or any compliance procedure that they do not fully understand.</w:t>
      </w:r>
    </w:p>
    <w:p>
      <w:bookmarkEnd w:id="1066"/>
      <w:bookmarkStart w:id="1067" w:name="Sec_Chp_061016102246187_061016102246578"/>
    </w:p>
    <w:p>
      <w:pPr>
        <w:pStyle w:val="Heading3"/>
      </w:pPr>
      <w:bookmarkStart w:id="1068" w:name="_Toc256000276"/>
      <w:r>
        <w:t>14.3.6 Certification</w:t>
      </w:r>
      <w:bookmarkEnd w:id="1068"/>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As a way of demonstrating compliance, KCD will require each employee with specific compliance responsibilities to annually certify that he or she has carried out those responsibilities. </w:t>
      </w:r>
    </w:p>
    <w:p>
      <w:bookmarkEnd w:id="1067"/>
      <w:bookmarkStart w:id="1069" w:name="Sec_Chp_061016102246187_061016102246593"/>
    </w:p>
    <w:p>
      <w:pPr>
        <w:pStyle w:val="Heading3"/>
      </w:pPr>
      <w:bookmarkStart w:id="1070" w:name="_Toc256000277"/>
      <w:r>
        <w:t>14.3.7 Training</w:t>
      </w:r>
      <w:bookmarkEnd w:id="1070"/>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Each new employee shall receive initial training about KCD's compliance policies and procedures, and thereafter, will continue periodic training during the term of their employment. Supervisors will also be trained on their specific supervisory and compliance responsibilities.</w:t>
      </w:r>
    </w:p>
    <w:p>
      <w:pPr>
        <w:pStyle w:val="normal0"/>
        <w:spacing w:before="200" w:after="200"/>
        <w:rPr>
          <w:rFonts w:eastAsia="Arial" w:cs="Arial"/>
          <w:sz w:val="20"/>
          <w:szCs w:val="20"/>
        </w:rPr>
      </w:pPr>
      <w:r>
        <w:rPr>
          <w:rFonts w:eastAsia="Arial" w:cs="Arial"/>
          <w:sz w:val="20"/>
          <w:szCs w:val="20"/>
        </w:rPr>
        <w:t xml:space="preserve">KCD shall hold at least annually a compliance meeting that provides each employee the opportunity to discuss compliance issues, including changing compliance requirements. Training meetings will be held in accordance with the following procedures: </w:t>
      </w:r>
    </w:p>
    <w:p>
      <w:pPr>
        <w:numPr>
          <w:ilvl w:val="0"/>
          <w:numId w:val="907"/>
        </w:numPr>
        <w:spacing w:before="200"/>
        <w:ind w:left="720" w:hanging="192"/>
        <w:jc w:val="left"/>
        <w:rPr>
          <w:rFonts w:eastAsia="Arial" w:cs="Arial"/>
          <w:sz w:val="20"/>
          <w:szCs w:val="20"/>
        </w:rPr>
      </w:pPr>
      <w:r>
        <w:rPr>
          <w:rFonts w:eastAsia="Arial" w:cs="Arial"/>
          <w:sz w:val="20"/>
          <w:szCs w:val="20"/>
        </w:rPr>
        <w:t xml:space="preserve">The Chief Compliance Officer shall arrange for a single meeting or multiple compliance meetings, which may be broken down by departments or employee job functions. </w:t>
      </w:r>
    </w:p>
    <w:p>
      <w:pPr>
        <w:numPr>
          <w:ilvl w:val="0"/>
          <w:numId w:val="907"/>
        </w:numPr>
        <w:ind w:left="720" w:hanging="192"/>
        <w:jc w:val="left"/>
        <w:rPr>
          <w:rFonts w:eastAsia="Arial" w:cs="Arial"/>
          <w:sz w:val="20"/>
          <w:szCs w:val="20"/>
        </w:rPr>
      </w:pPr>
      <w:r>
        <w:rPr>
          <w:rFonts w:eastAsia="Arial" w:cs="Arial"/>
          <w:sz w:val="20"/>
          <w:szCs w:val="20"/>
        </w:rPr>
        <w:t xml:space="preserve">Compliance meetings may be held in person, by video conference, by telephone or by other electronic means, provided the forum chosen allows for interactive communication. </w:t>
      </w:r>
    </w:p>
    <w:p>
      <w:pPr>
        <w:numPr>
          <w:ilvl w:val="0"/>
          <w:numId w:val="907"/>
        </w:numPr>
        <w:ind w:left="720" w:hanging="192"/>
        <w:jc w:val="left"/>
        <w:rPr>
          <w:rFonts w:eastAsia="Arial" w:cs="Arial"/>
          <w:sz w:val="20"/>
          <w:szCs w:val="20"/>
        </w:rPr>
      </w:pPr>
      <w:r>
        <w:rPr>
          <w:rFonts w:eastAsia="Arial" w:cs="Arial"/>
          <w:sz w:val="20"/>
          <w:szCs w:val="20"/>
        </w:rPr>
        <w:t xml:space="preserve">The Chief Compliance Officer may conduct a compliance meeting or designate another officer or employee to conduct the meeting. If the Chief Compliance Officer designates another officer or employee to conduct a meeting, the Chief Compliance Officer shall review such other person's proposed presentation in advance of the meeting to determine that all the necessary topics will be discussed at the meeting. </w:t>
      </w:r>
    </w:p>
    <w:p>
      <w:pPr>
        <w:numPr>
          <w:ilvl w:val="0"/>
          <w:numId w:val="907"/>
        </w:numPr>
        <w:ind w:left="720" w:hanging="192"/>
        <w:jc w:val="left"/>
        <w:rPr>
          <w:rFonts w:eastAsia="Arial" w:cs="Arial"/>
          <w:sz w:val="20"/>
          <w:szCs w:val="20"/>
        </w:rPr>
      </w:pPr>
      <w:r>
        <w:rPr>
          <w:rFonts w:eastAsia="Arial" w:cs="Arial"/>
          <w:sz w:val="20"/>
          <w:szCs w:val="20"/>
        </w:rPr>
        <w:t xml:space="preserve">At least 30 days in advance of the meeting, the Chief Compliance Officer shall notify each employee of the date, time and place of the compliance meeting. </w:t>
      </w:r>
    </w:p>
    <w:p>
      <w:pPr>
        <w:numPr>
          <w:ilvl w:val="0"/>
          <w:numId w:val="907"/>
        </w:numPr>
        <w:ind w:left="720" w:hanging="192"/>
        <w:jc w:val="left"/>
        <w:rPr>
          <w:rFonts w:eastAsia="Arial" w:cs="Arial"/>
          <w:sz w:val="20"/>
          <w:szCs w:val="20"/>
        </w:rPr>
      </w:pPr>
      <w:r>
        <w:rPr>
          <w:rFonts w:eastAsia="Arial" w:cs="Arial"/>
          <w:sz w:val="20"/>
          <w:szCs w:val="20"/>
        </w:rPr>
        <w:t xml:space="preserve">Each meeting will cover compliance matters that relate to the types of activities that are conducted by each employee attending the meeting. </w:t>
      </w:r>
    </w:p>
    <w:p>
      <w:pPr>
        <w:numPr>
          <w:ilvl w:val="0"/>
          <w:numId w:val="907"/>
        </w:numPr>
        <w:ind w:left="720" w:hanging="192"/>
        <w:jc w:val="left"/>
        <w:rPr>
          <w:rFonts w:eastAsia="Arial" w:cs="Arial"/>
          <w:sz w:val="20"/>
          <w:szCs w:val="20"/>
        </w:rPr>
      </w:pPr>
      <w:r>
        <w:rPr>
          <w:rFonts w:eastAsia="Arial" w:cs="Arial"/>
          <w:sz w:val="20"/>
          <w:szCs w:val="20"/>
        </w:rPr>
        <w:t xml:space="preserve">At the meeting, each employee will be given the opportunity to discuss his or her day-to-day activities and to raise compliance issues, and the Chief Compliance Officer or his or her designee will explain or review the laws and rules applicable to the employees in attendance and the procedures and systems designed to prevent violations of such laws and rules. </w:t>
      </w:r>
    </w:p>
    <w:p>
      <w:pPr>
        <w:numPr>
          <w:ilvl w:val="0"/>
          <w:numId w:val="907"/>
        </w:numPr>
        <w:spacing w:after="200"/>
        <w:ind w:left="720" w:hanging="192"/>
        <w:jc w:val="left"/>
        <w:rPr>
          <w:rFonts w:eastAsia="Arial" w:cs="Arial"/>
          <w:sz w:val="20"/>
          <w:szCs w:val="20"/>
        </w:rPr>
      </w:pPr>
      <w:r>
        <w:rPr>
          <w:rFonts w:eastAsia="Arial" w:cs="Arial"/>
          <w:sz w:val="20"/>
          <w:szCs w:val="20"/>
        </w:rPr>
        <w:t xml:space="preserve">The Chief Compliance Officer will confirm on an annual basis that each employee who has been employed by KCD at least one year has attended a compliance meeting during the calendar year. The Chief Compliance Officer will create and maintain the necessary documentation evidencing employee compliance training. </w:t>
      </w:r>
    </w:p>
    <w:p>
      <w:bookmarkEnd w:id="1069"/>
      <w:bookmarkStart w:id="1071" w:name="Sec_Chp_061016102246187_061016102246609"/>
    </w:p>
    <w:p>
      <w:pPr>
        <w:pStyle w:val="Heading3"/>
      </w:pPr>
      <w:bookmarkStart w:id="1072" w:name="_Toc256000278"/>
      <w:r>
        <w:t>14.3.8 Audits</w:t>
      </w:r>
      <w:bookmarkEnd w:id="1072"/>
      <w:r>
        <w:t xml:space="preserve"> </w:t>
      </w:r>
    </w:p>
    <w:p/>
    <w:p>
      <w:pPr>
        <w:rPr>
          <w:rFonts w:eastAsia="Arial" w:cs="Arial"/>
          <w:sz w:val="16"/>
          <w:szCs w:val="16"/>
        </w:rPr>
      </w:pPr>
    </w:p>
    <w:p>
      <w:bookmarkEnd w:id="1071"/>
      <w:bookmarkStart w:id="1073" w:name="Sec_Chp_061016102246187_061016102246625"/>
    </w:p>
    <w:p>
      <w:pPr>
        <w:pStyle w:val="Heading4"/>
      </w:pPr>
      <w:r>
        <w:t>14.3.8.1 Annual Review</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Pursuant to Rule 206(4)-7 under the Investment Advisers Act of 1940, KCD shall conduct a comprehensive review of this Compliance Manual and KCD's compliance program by April 6, 2007 and annually to determine the adequacy of KCD's compliance policies and procedures and the effectiveness of their implementation. In this review, the Chief Compliance Officer shall prepare an annual report, distribute the annual report to senior management, and implement revised policies and procedures.</w:t>
      </w:r>
    </w:p>
    <w:p>
      <w:bookmarkEnd w:id="1073"/>
      <w:bookmarkStart w:id="1074" w:name="Sec_Chp_061016102246187_061016102246640"/>
    </w:p>
    <w:p>
      <w:pPr>
        <w:pStyle w:val="Heading5"/>
      </w:pPr>
      <w:r>
        <w:t>14.3.8.1.1 Material Compliance Matters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 "Material Compliance Matter" means any compliance matter about which KCD's senior management would reasonably need to know to oversee KCD's compliance, and that involves, without limitation:</w:t>
      </w:r>
    </w:p>
    <w:p>
      <w:pPr>
        <w:numPr>
          <w:ilvl w:val="0"/>
          <w:numId w:val="908"/>
        </w:numPr>
        <w:spacing w:before="200"/>
        <w:ind w:left="720" w:hanging="267"/>
        <w:jc w:val="left"/>
        <w:rPr>
          <w:rFonts w:eastAsia="Arial" w:cs="Arial"/>
          <w:sz w:val="20"/>
          <w:szCs w:val="20"/>
        </w:rPr>
      </w:pPr>
      <w:r>
        <w:rPr>
          <w:rFonts w:eastAsia="Arial" w:cs="Arial"/>
          <w:sz w:val="20"/>
          <w:szCs w:val="20"/>
        </w:rPr>
        <w:t>A violation of the federal or state securities laws, and other applicable laws and regulations, by KCD or any of its officers, directors, employees or agents thereof,</w:t>
      </w:r>
    </w:p>
    <w:p>
      <w:pPr>
        <w:numPr>
          <w:ilvl w:val="0"/>
          <w:numId w:val="908"/>
        </w:numPr>
        <w:ind w:left="720" w:hanging="267"/>
        <w:jc w:val="left"/>
        <w:rPr>
          <w:rFonts w:eastAsia="Arial" w:cs="Arial"/>
          <w:sz w:val="20"/>
          <w:szCs w:val="20"/>
        </w:rPr>
      </w:pPr>
      <w:r>
        <w:rPr>
          <w:rFonts w:eastAsia="Arial" w:cs="Arial"/>
          <w:sz w:val="20"/>
          <w:szCs w:val="20"/>
        </w:rPr>
        <w:t>A violation of these policies and procedures, or</w:t>
      </w:r>
    </w:p>
    <w:p>
      <w:pPr>
        <w:numPr>
          <w:ilvl w:val="0"/>
          <w:numId w:val="908"/>
        </w:numPr>
        <w:spacing w:after="200"/>
        <w:ind w:left="720" w:hanging="267"/>
        <w:jc w:val="left"/>
        <w:rPr>
          <w:rFonts w:eastAsia="Arial" w:cs="Arial"/>
          <w:sz w:val="20"/>
          <w:szCs w:val="20"/>
        </w:rPr>
      </w:pPr>
      <w:r>
        <w:rPr>
          <w:rFonts w:eastAsia="Arial" w:cs="Arial"/>
          <w:sz w:val="20"/>
          <w:szCs w:val="20"/>
        </w:rPr>
        <w:t>A weakness in the design or implementation of these policies and procedures.</w:t>
      </w:r>
    </w:p>
    <w:p>
      <w:pPr>
        <w:pStyle w:val="normal0"/>
        <w:spacing w:before="200" w:after="200"/>
        <w:rPr>
          <w:rFonts w:eastAsia="Arial" w:cs="Arial"/>
          <w:sz w:val="20"/>
          <w:szCs w:val="20"/>
        </w:rPr>
      </w:pPr>
      <w:r>
        <w:rPr>
          <w:rFonts w:eastAsia="Arial" w:cs="Arial"/>
          <w:sz w:val="20"/>
          <w:szCs w:val="20"/>
        </w:rPr>
        <w:t>As part of the annual review, the Chief Compliance Officer shall:</w:t>
      </w:r>
    </w:p>
    <w:p>
      <w:pPr>
        <w:numPr>
          <w:ilvl w:val="0"/>
          <w:numId w:val="909"/>
        </w:numPr>
        <w:spacing w:before="200"/>
        <w:ind w:left="720" w:hanging="192"/>
        <w:jc w:val="left"/>
        <w:rPr>
          <w:rFonts w:eastAsia="Arial" w:cs="Arial"/>
          <w:sz w:val="20"/>
          <w:szCs w:val="20"/>
        </w:rPr>
      </w:pPr>
      <w:r>
        <w:rPr>
          <w:rFonts w:eastAsia="Arial" w:cs="Arial"/>
          <w:sz w:val="20"/>
          <w:szCs w:val="20"/>
        </w:rPr>
        <w:t xml:space="preserve">Attempt to detect or uncover Material Compliance Matters by, for example, using employee certifications, testing, investigating, and complaint logs; </w:t>
      </w:r>
    </w:p>
    <w:p>
      <w:pPr>
        <w:numPr>
          <w:ilvl w:val="0"/>
          <w:numId w:val="909"/>
        </w:numPr>
        <w:ind w:left="720" w:hanging="192"/>
        <w:jc w:val="left"/>
        <w:rPr>
          <w:rFonts w:eastAsia="Arial" w:cs="Arial"/>
          <w:sz w:val="20"/>
          <w:szCs w:val="20"/>
        </w:rPr>
      </w:pPr>
      <w:r>
        <w:rPr>
          <w:rFonts w:eastAsia="Arial" w:cs="Arial"/>
          <w:sz w:val="20"/>
          <w:szCs w:val="20"/>
        </w:rPr>
        <w:t xml:space="preserve">Note in writing each Material Compliance Matter that arose during the previous year, including deficiencies noted in SEC and other regulatory examination letters; </w:t>
      </w:r>
    </w:p>
    <w:p>
      <w:pPr>
        <w:numPr>
          <w:ilvl w:val="0"/>
          <w:numId w:val="909"/>
        </w:numPr>
        <w:ind w:left="720" w:hanging="192"/>
        <w:jc w:val="left"/>
        <w:rPr>
          <w:rFonts w:eastAsia="Arial" w:cs="Arial"/>
          <w:sz w:val="20"/>
          <w:szCs w:val="20"/>
        </w:rPr>
      </w:pPr>
      <w:r>
        <w:rPr>
          <w:rFonts w:eastAsia="Arial" w:cs="Arial"/>
          <w:sz w:val="20"/>
          <w:szCs w:val="20"/>
        </w:rPr>
        <w:t xml:space="preserve">Confirm that each Material Compliance Matter was reported to senior management, was corrected and is not reoccurring; </w:t>
      </w:r>
    </w:p>
    <w:p>
      <w:pPr>
        <w:numPr>
          <w:ilvl w:val="0"/>
          <w:numId w:val="909"/>
        </w:numPr>
        <w:ind w:left="720" w:hanging="192"/>
        <w:jc w:val="left"/>
        <w:rPr>
          <w:rFonts w:eastAsia="Arial" w:cs="Arial"/>
          <w:sz w:val="20"/>
          <w:szCs w:val="20"/>
        </w:rPr>
      </w:pPr>
      <w:r>
        <w:rPr>
          <w:rFonts w:eastAsia="Arial" w:cs="Arial"/>
          <w:sz w:val="20"/>
          <w:szCs w:val="20"/>
        </w:rPr>
        <w:t xml:space="preserve">Review the current procedure(s) addressing the operational area that was subject of the Material Compliance Matters; </w:t>
      </w:r>
    </w:p>
    <w:p>
      <w:pPr>
        <w:numPr>
          <w:ilvl w:val="0"/>
          <w:numId w:val="909"/>
        </w:numPr>
        <w:ind w:left="720" w:hanging="192"/>
        <w:jc w:val="left"/>
        <w:rPr>
          <w:rFonts w:eastAsia="Arial" w:cs="Arial"/>
          <w:sz w:val="20"/>
          <w:szCs w:val="20"/>
        </w:rPr>
      </w:pPr>
      <w:r>
        <w:rPr>
          <w:rFonts w:eastAsia="Arial" w:cs="Arial"/>
          <w:sz w:val="20"/>
          <w:szCs w:val="20"/>
        </w:rPr>
        <w:t xml:space="preserve">Verify whether the current procedures are effective in detecting and preventing the occurrence and reoccurrence of Material Compliance Matters; </w:t>
      </w:r>
    </w:p>
    <w:p>
      <w:pPr>
        <w:numPr>
          <w:ilvl w:val="0"/>
          <w:numId w:val="909"/>
        </w:numPr>
        <w:ind w:left="720" w:hanging="192"/>
        <w:jc w:val="left"/>
        <w:rPr>
          <w:rFonts w:eastAsia="Arial" w:cs="Arial"/>
          <w:sz w:val="20"/>
          <w:szCs w:val="20"/>
        </w:rPr>
      </w:pPr>
      <w:r>
        <w:rPr>
          <w:rFonts w:eastAsia="Arial" w:cs="Arial"/>
          <w:sz w:val="20"/>
          <w:szCs w:val="20"/>
        </w:rPr>
        <w:t xml:space="preserve">Revise current procedures or add new procedures if necessary to prevent reoccurrence of the Material Compliance Matters; and </w:t>
      </w:r>
    </w:p>
    <w:p>
      <w:pPr>
        <w:numPr>
          <w:ilvl w:val="0"/>
          <w:numId w:val="909"/>
        </w:numPr>
        <w:spacing w:after="200"/>
        <w:ind w:left="720" w:hanging="192"/>
        <w:jc w:val="left"/>
        <w:rPr>
          <w:rFonts w:eastAsia="Arial" w:cs="Arial"/>
          <w:sz w:val="20"/>
          <w:szCs w:val="20"/>
        </w:rPr>
      </w:pPr>
      <w:r>
        <w:rPr>
          <w:rFonts w:eastAsia="Arial" w:cs="Arial"/>
          <w:sz w:val="20"/>
          <w:szCs w:val="20"/>
        </w:rPr>
        <w:t>Review actions taken when a Material Compliance Matter was detected, including actions towards individuals, and whether the corrective action was sufficient.</w:t>
      </w:r>
    </w:p>
    <w:p>
      <w:bookmarkEnd w:id="1074"/>
      <w:bookmarkStart w:id="1075" w:name="Sec_Chp_061016102246187_061016102246656"/>
    </w:p>
    <w:p>
      <w:pPr>
        <w:pStyle w:val="Heading5"/>
      </w:pPr>
      <w:r>
        <w:t>14.3.8.1.2 Review of Critical Operational Areas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At a minimum, the Chief Compliance Officer and designees will review and document the review of the following critical areas of KCD:</w:t>
      </w:r>
    </w:p>
    <w:p>
      <w:pPr>
        <w:numPr>
          <w:ilvl w:val="0"/>
          <w:numId w:val="910"/>
        </w:numPr>
        <w:spacing w:before="200"/>
        <w:ind w:left="720" w:hanging="192"/>
        <w:jc w:val="left"/>
        <w:rPr>
          <w:rFonts w:eastAsia="Arial" w:cs="Arial"/>
          <w:sz w:val="20"/>
          <w:szCs w:val="20"/>
        </w:rPr>
      </w:pPr>
      <w:r>
        <w:rPr>
          <w:rFonts w:eastAsia="Arial" w:cs="Arial"/>
          <w:b/>
          <w:bCs/>
          <w:sz w:val="20"/>
          <w:szCs w:val="20"/>
        </w:rPr>
        <w:t>Investment Management.</w:t>
      </w:r>
      <w:r>
        <w:rPr>
          <w:rFonts w:eastAsia="Arial" w:cs="Arial"/>
          <w:sz w:val="20"/>
          <w:szCs w:val="20"/>
        </w:rPr>
        <w:t xml:space="preserve"> Review consistency of client portfolios with client objectives and KCD's disclosure in Form ADV. Confirm that the security valuation included in client reports correspond with the values derived from an independent pricing service or custodian records. Closely review any instance in which a supervised person over-rode an independently derived price. Also, closely review the valuation of illiquid securities.</w:t>
      </w:r>
    </w:p>
    <w:p>
      <w:pPr>
        <w:numPr>
          <w:ilvl w:val="0"/>
          <w:numId w:val="910"/>
        </w:numPr>
        <w:ind w:left="720" w:hanging="192"/>
        <w:jc w:val="left"/>
        <w:rPr>
          <w:rFonts w:eastAsia="Arial" w:cs="Arial"/>
          <w:sz w:val="20"/>
          <w:szCs w:val="20"/>
        </w:rPr>
      </w:pPr>
      <w:r>
        <w:rPr>
          <w:rFonts w:eastAsia="Arial" w:cs="Arial"/>
          <w:b/>
          <w:bCs/>
          <w:sz w:val="20"/>
          <w:szCs w:val="20"/>
        </w:rPr>
        <w:t>Trading.</w:t>
      </w:r>
      <w:r>
        <w:rPr>
          <w:rFonts w:eastAsia="Arial" w:cs="Arial"/>
          <w:sz w:val="20"/>
          <w:szCs w:val="20"/>
        </w:rPr>
        <w:t xml:space="preserve"> Review best execution, trade aggregation and fairness of trade allocation. </w:t>
      </w:r>
    </w:p>
    <w:p>
      <w:pPr>
        <w:numPr>
          <w:ilvl w:val="0"/>
          <w:numId w:val="910"/>
        </w:numPr>
        <w:ind w:left="720" w:hanging="192"/>
        <w:jc w:val="left"/>
        <w:rPr>
          <w:rFonts w:eastAsia="Arial" w:cs="Arial"/>
          <w:sz w:val="20"/>
          <w:szCs w:val="20"/>
        </w:rPr>
      </w:pPr>
      <w:r>
        <w:rPr>
          <w:rFonts w:eastAsia="Arial" w:cs="Arial"/>
          <w:b/>
          <w:bCs/>
          <w:sz w:val="20"/>
          <w:szCs w:val="20"/>
        </w:rPr>
        <w:t>Employees.</w:t>
      </w:r>
      <w:r>
        <w:rPr>
          <w:rFonts w:eastAsia="Arial" w:cs="Arial"/>
          <w:sz w:val="20"/>
          <w:szCs w:val="20"/>
        </w:rPr>
        <w:t xml:space="preserve"> Review employees' quarterly personal trading reports and compare employee trades with client trades. Verify that any purchases of IPOs and private placements were pre-cleared. Review the most profitable trades made by employees and determine whether any material information about the issuers became public around the time of the employee trades.</w:t>
      </w:r>
    </w:p>
    <w:p>
      <w:pPr>
        <w:numPr>
          <w:ilvl w:val="0"/>
          <w:numId w:val="910"/>
        </w:numPr>
        <w:ind w:left="720" w:hanging="192"/>
        <w:jc w:val="left"/>
        <w:rPr>
          <w:rFonts w:eastAsia="Arial" w:cs="Arial"/>
          <w:sz w:val="20"/>
          <w:szCs w:val="20"/>
        </w:rPr>
      </w:pPr>
      <w:r>
        <w:rPr>
          <w:rFonts w:eastAsia="Arial" w:cs="Arial"/>
          <w:b/>
          <w:bCs/>
          <w:sz w:val="20"/>
          <w:szCs w:val="20"/>
        </w:rPr>
        <w:t>Registration &amp; Filings.</w:t>
      </w:r>
      <w:r>
        <w:rPr>
          <w:rFonts w:eastAsia="Arial" w:cs="Arial"/>
          <w:sz w:val="20"/>
          <w:szCs w:val="20"/>
        </w:rPr>
        <w:t xml:space="preserve"> Review accuracy of disclosure, whether all required filings were made, and registration status of employees. Make sure that the Form ADV, if posted on the web site, is the most up-to-date version.</w:t>
      </w:r>
    </w:p>
    <w:p>
      <w:pPr>
        <w:numPr>
          <w:ilvl w:val="0"/>
          <w:numId w:val="910"/>
        </w:numPr>
        <w:ind w:left="720" w:hanging="192"/>
        <w:jc w:val="left"/>
        <w:rPr>
          <w:rFonts w:eastAsia="Arial" w:cs="Arial"/>
          <w:sz w:val="20"/>
          <w:szCs w:val="20"/>
        </w:rPr>
      </w:pPr>
      <w:r>
        <w:rPr>
          <w:rFonts w:eastAsia="Arial" w:cs="Arial"/>
          <w:b/>
          <w:bCs/>
          <w:sz w:val="20"/>
          <w:szCs w:val="20"/>
        </w:rPr>
        <w:t>Marketing.</w:t>
      </w:r>
      <w:r>
        <w:rPr>
          <w:rFonts w:eastAsia="Arial" w:cs="Arial"/>
          <w:sz w:val="20"/>
          <w:szCs w:val="20"/>
        </w:rPr>
        <w:t xml:space="preserve"> Review advertisements, performance calculations and use of solicitors. </w:t>
      </w:r>
    </w:p>
    <w:p>
      <w:pPr>
        <w:numPr>
          <w:ilvl w:val="0"/>
          <w:numId w:val="910"/>
        </w:numPr>
        <w:ind w:left="720" w:hanging="192"/>
        <w:jc w:val="left"/>
        <w:rPr>
          <w:rFonts w:eastAsia="Arial" w:cs="Arial"/>
          <w:sz w:val="20"/>
          <w:szCs w:val="20"/>
        </w:rPr>
      </w:pPr>
      <w:r>
        <w:rPr>
          <w:rFonts w:eastAsia="Arial" w:cs="Arial"/>
          <w:b/>
          <w:bCs/>
          <w:sz w:val="20"/>
          <w:szCs w:val="20"/>
        </w:rPr>
        <w:t>New Clients.</w:t>
      </w:r>
      <w:r>
        <w:rPr>
          <w:rFonts w:eastAsia="Arial" w:cs="Arial"/>
          <w:sz w:val="20"/>
          <w:szCs w:val="20"/>
        </w:rPr>
        <w:t xml:space="preserve"> Review client in-take practices, including information obtained. Confirm that a privacy notice, Firm Brochure and Brochure Supplement(s) (if applicable) were given to all new clients during the review period.</w:t>
      </w:r>
    </w:p>
    <w:p>
      <w:pPr>
        <w:numPr>
          <w:ilvl w:val="0"/>
          <w:numId w:val="910"/>
        </w:numPr>
        <w:ind w:left="720" w:hanging="192"/>
        <w:jc w:val="left"/>
        <w:rPr>
          <w:rFonts w:eastAsia="Arial" w:cs="Arial"/>
          <w:sz w:val="20"/>
          <w:szCs w:val="20"/>
        </w:rPr>
      </w:pPr>
      <w:r>
        <w:rPr>
          <w:rFonts w:eastAsia="Arial" w:cs="Arial"/>
          <w:b/>
          <w:bCs/>
          <w:sz w:val="20"/>
          <w:szCs w:val="20"/>
        </w:rPr>
        <w:t>Existing Clients.</w:t>
      </w:r>
      <w:r>
        <w:rPr>
          <w:rFonts w:eastAsia="Arial" w:cs="Arial"/>
          <w:sz w:val="20"/>
          <w:szCs w:val="20"/>
        </w:rPr>
        <w:t xml:space="preserve"> Review compliance with privacy policy, protection of client information and accuracy of reports sent to clients. Confirm that a privacy notice, Firm Brochure and Brochure Supplement(s) (if applicable) have been sent to existing clients at least once during the past year. Pull sample contracts with third-party service providers and confirm that such contracts prohibit the service providers from using clients' non-public, personal information for any purpose other than performing their obligations under the contract.</w:t>
      </w:r>
    </w:p>
    <w:p>
      <w:pPr>
        <w:numPr>
          <w:ilvl w:val="0"/>
          <w:numId w:val="910"/>
        </w:numPr>
        <w:ind w:left="720" w:hanging="192"/>
        <w:jc w:val="left"/>
        <w:rPr>
          <w:rFonts w:eastAsia="Arial" w:cs="Arial"/>
          <w:sz w:val="20"/>
          <w:szCs w:val="20"/>
        </w:rPr>
      </w:pPr>
      <w:r>
        <w:rPr>
          <w:rFonts w:eastAsia="Arial" w:cs="Arial"/>
          <w:b/>
          <w:bCs/>
          <w:sz w:val="20"/>
          <w:szCs w:val="20"/>
        </w:rPr>
        <w:t>Advisory Contract &amp; Fees.</w:t>
      </w:r>
      <w:r>
        <w:rPr>
          <w:rFonts w:eastAsia="Arial" w:cs="Arial"/>
          <w:sz w:val="20"/>
          <w:szCs w:val="20"/>
        </w:rPr>
        <w:t xml:space="preserve"> Review compliance with advisory contract and accuracy of fee calculations. </w:t>
      </w:r>
    </w:p>
    <w:p>
      <w:pPr>
        <w:numPr>
          <w:ilvl w:val="0"/>
          <w:numId w:val="910"/>
        </w:numPr>
        <w:ind w:left="720" w:hanging="192"/>
        <w:jc w:val="left"/>
        <w:rPr>
          <w:rFonts w:eastAsia="Arial" w:cs="Arial"/>
          <w:sz w:val="20"/>
          <w:szCs w:val="20"/>
        </w:rPr>
      </w:pPr>
      <w:r>
        <w:rPr>
          <w:rFonts w:eastAsia="Arial" w:cs="Arial"/>
          <w:b/>
          <w:bCs/>
          <w:sz w:val="20"/>
          <w:szCs w:val="20"/>
        </w:rPr>
        <w:t>Custody.</w:t>
      </w:r>
      <w:r>
        <w:rPr>
          <w:rFonts w:eastAsia="Arial" w:cs="Arial"/>
          <w:sz w:val="20"/>
          <w:szCs w:val="20"/>
        </w:rPr>
        <w:t xml:space="preserve"> Review custody of client assets with banks and broker-dealers, including reports sent to clients. Review the handling of any inadvertent receipt of client assets (e.g., stock certificates).</w:t>
      </w:r>
    </w:p>
    <w:p>
      <w:pPr>
        <w:numPr>
          <w:ilvl w:val="0"/>
          <w:numId w:val="910"/>
        </w:numPr>
        <w:ind w:left="720" w:hanging="192"/>
        <w:jc w:val="left"/>
        <w:rPr>
          <w:rFonts w:eastAsia="Arial" w:cs="Arial"/>
          <w:sz w:val="20"/>
          <w:szCs w:val="20"/>
        </w:rPr>
      </w:pPr>
      <w:r>
        <w:rPr>
          <w:rFonts w:eastAsia="Arial" w:cs="Arial"/>
          <w:b/>
          <w:bCs/>
          <w:sz w:val="20"/>
          <w:szCs w:val="20"/>
        </w:rPr>
        <w:t>Business.</w:t>
      </w:r>
      <w:r>
        <w:rPr>
          <w:rFonts w:eastAsia="Arial" w:cs="Arial"/>
          <w:sz w:val="20"/>
          <w:szCs w:val="20"/>
        </w:rPr>
        <w:t xml:space="preserve"> Review disaster recovery procedures and make sure that at least one disaster drill was performed during the review period. </w:t>
      </w:r>
    </w:p>
    <w:p>
      <w:pPr>
        <w:numPr>
          <w:ilvl w:val="0"/>
          <w:numId w:val="910"/>
        </w:numPr>
        <w:spacing w:after="200"/>
        <w:ind w:left="720" w:hanging="192"/>
        <w:jc w:val="left"/>
        <w:rPr>
          <w:rFonts w:eastAsia="Arial" w:cs="Arial"/>
          <w:sz w:val="20"/>
          <w:szCs w:val="20"/>
        </w:rPr>
      </w:pPr>
      <w:r>
        <w:rPr>
          <w:rFonts w:eastAsia="Arial" w:cs="Arial"/>
          <w:b/>
          <w:bCs/>
          <w:sz w:val="20"/>
          <w:szCs w:val="20"/>
        </w:rPr>
        <w:t>Books and Records.</w:t>
      </w:r>
      <w:r>
        <w:rPr>
          <w:rFonts w:eastAsia="Arial" w:cs="Arial"/>
          <w:sz w:val="20"/>
          <w:szCs w:val="20"/>
        </w:rPr>
        <w:t xml:space="preserve"> Review accuracy of input of records and completeness of records.</w:t>
      </w:r>
    </w:p>
    <w:p>
      <w:pPr>
        <w:pStyle w:val="normal0"/>
        <w:spacing w:before="200" w:after="200"/>
        <w:rPr>
          <w:rFonts w:eastAsia="Arial" w:cs="Arial"/>
          <w:sz w:val="20"/>
          <w:szCs w:val="20"/>
        </w:rPr>
      </w:pPr>
      <w:r>
        <w:rPr>
          <w:rFonts w:eastAsia="Arial" w:cs="Arial"/>
          <w:sz w:val="20"/>
          <w:szCs w:val="20"/>
        </w:rPr>
        <w:t>A report of each review of the above areas shall be prepared, upon completion promptly made available to the management of KCD and the findings of such report shall be made part of KCD's annual compliance review.</w:t>
      </w:r>
    </w:p>
    <w:p>
      <w:bookmarkEnd w:id="1075"/>
      <w:bookmarkStart w:id="1076" w:name="Sec_Chp_061016102246187_061016102246671"/>
    </w:p>
    <w:p>
      <w:pPr>
        <w:pStyle w:val="Heading5"/>
      </w:pPr>
      <w:r>
        <w:t>14.3.8.1.3 Review of Critical Compliance Areas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At a minimum, the Chief Compliance Officer and designees will review and document the review of the following critical areas of the compliance program of the Firm:</w:t>
      </w:r>
    </w:p>
    <w:p>
      <w:pPr>
        <w:numPr>
          <w:ilvl w:val="0"/>
          <w:numId w:val="911"/>
        </w:numPr>
        <w:spacing w:before="200"/>
        <w:ind w:left="720" w:hanging="192"/>
        <w:jc w:val="left"/>
        <w:rPr>
          <w:rFonts w:eastAsia="Arial" w:cs="Arial"/>
          <w:sz w:val="20"/>
          <w:szCs w:val="20"/>
        </w:rPr>
      </w:pPr>
      <w:r>
        <w:rPr>
          <w:rFonts w:eastAsia="Arial" w:cs="Arial"/>
          <w:b/>
          <w:bCs/>
          <w:sz w:val="20"/>
          <w:szCs w:val="20"/>
        </w:rPr>
        <w:t>Compliance Personnel.</w:t>
      </w:r>
      <w:r>
        <w:rPr>
          <w:rFonts w:eastAsia="Arial" w:cs="Arial"/>
          <w:sz w:val="20"/>
          <w:szCs w:val="20"/>
        </w:rPr>
        <w:t xml:space="preserve"> Interview compliance and other employees about their specific compliance responsibilities and adequacy of their training. </w:t>
      </w:r>
    </w:p>
    <w:p>
      <w:pPr>
        <w:numPr>
          <w:ilvl w:val="0"/>
          <w:numId w:val="911"/>
        </w:numPr>
        <w:ind w:left="720" w:hanging="192"/>
        <w:jc w:val="left"/>
        <w:rPr>
          <w:rFonts w:eastAsia="Arial" w:cs="Arial"/>
          <w:sz w:val="20"/>
          <w:szCs w:val="20"/>
        </w:rPr>
      </w:pPr>
      <w:r>
        <w:rPr>
          <w:rFonts w:eastAsia="Arial" w:cs="Arial"/>
          <w:b/>
          <w:bCs/>
          <w:sz w:val="20"/>
          <w:szCs w:val="20"/>
        </w:rPr>
        <w:t>Risk.</w:t>
      </w:r>
      <w:r>
        <w:rPr>
          <w:rFonts w:eastAsia="Arial" w:cs="Arial"/>
          <w:sz w:val="20"/>
          <w:szCs w:val="20"/>
        </w:rPr>
        <w:t xml:space="preserve"> Perform an analysis of the primary risks of the operations of KCD. </w:t>
      </w:r>
    </w:p>
    <w:p>
      <w:pPr>
        <w:numPr>
          <w:ilvl w:val="0"/>
          <w:numId w:val="911"/>
        </w:numPr>
        <w:ind w:left="720" w:hanging="192"/>
        <w:jc w:val="left"/>
        <w:rPr>
          <w:rFonts w:eastAsia="Arial" w:cs="Arial"/>
          <w:sz w:val="20"/>
          <w:szCs w:val="20"/>
        </w:rPr>
      </w:pPr>
      <w:r>
        <w:rPr>
          <w:rFonts w:eastAsia="Arial" w:cs="Arial"/>
          <w:b/>
          <w:bCs/>
          <w:sz w:val="20"/>
          <w:szCs w:val="20"/>
        </w:rPr>
        <w:t>Testing.</w:t>
      </w:r>
      <w:r>
        <w:rPr>
          <w:rFonts w:eastAsia="Arial" w:cs="Arial"/>
          <w:sz w:val="20"/>
          <w:szCs w:val="20"/>
        </w:rPr>
        <w:t xml:space="preserve"> Review whether the testing conducted in the prior year was adequate and whether new testing and tools are necessary. </w:t>
      </w:r>
    </w:p>
    <w:p>
      <w:pPr>
        <w:numPr>
          <w:ilvl w:val="0"/>
          <w:numId w:val="911"/>
        </w:numPr>
        <w:ind w:left="720" w:hanging="192"/>
        <w:jc w:val="left"/>
        <w:rPr>
          <w:rFonts w:eastAsia="Arial" w:cs="Arial"/>
          <w:sz w:val="20"/>
          <w:szCs w:val="20"/>
        </w:rPr>
      </w:pPr>
      <w:r>
        <w:rPr>
          <w:rFonts w:eastAsia="Arial" w:cs="Arial"/>
          <w:b/>
          <w:bCs/>
          <w:sz w:val="20"/>
          <w:szCs w:val="20"/>
        </w:rPr>
        <w:t>Resources.</w:t>
      </w:r>
      <w:r>
        <w:rPr>
          <w:rFonts w:eastAsia="Arial" w:cs="Arial"/>
          <w:sz w:val="20"/>
          <w:szCs w:val="20"/>
        </w:rPr>
        <w:t xml:space="preserve"> Determine adequacy of staffing and resources available to the Chief Compliance Officer. </w:t>
      </w:r>
    </w:p>
    <w:p>
      <w:pPr>
        <w:numPr>
          <w:ilvl w:val="0"/>
          <w:numId w:val="911"/>
        </w:numPr>
        <w:ind w:left="720" w:hanging="192"/>
        <w:jc w:val="left"/>
        <w:rPr>
          <w:rFonts w:eastAsia="Arial" w:cs="Arial"/>
          <w:sz w:val="20"/>
          <w:szCs w:val="20"/>
        </w:rPr>
      </w:pPr>
      <w:r>
        <w:rPr>
          <w:rFonts w:eastAsia="Arial" w:cs="Arial"/>
          <w:b/>
          <w:bCs/>
          <w:sz w:val="20"/>
          <w:szCs w:val="20"/>
        </w:rPr>
        <w:t>Reporting.</w:t>
      </w:r>
      <w:r>
        <w:rPr>
          <w:rFonts w:eastAsia="Arial" w:cs="Arial"/>
          <w:sz w:val="20"/>
          <w:szCs w:val="20"/>
        </w:rPr>
        <w:t xml:space="preserve"> Assess the adequacy of exception reports, management reports, checklists and other compliance reports. </w:t>
      </w:r>
    </w:p>
    <w:p>
      <w:pPr>
        <w:numPr>
          <w:ilvl w:val="0"/>
          <w:numId w:val="911"/>
        </w:numPr>
        <w:spacing w:after="200"/>
        <w:ind w:left="720" w:hanging="192"/>
        <w:jc w:val="left"/>
        <w:rPr>
          <w:rFonts w:eastAsia="Arial" w:cs="Arial"/>
          <w:sz w:val="20"/>
          <w:szCs w:val="20"/>
        </w:rPr>
      </w:pPr>
      <w:r>
        <w:rPr>
          <w:rFonts w:eastAsia="Arial" w:cs="Arial"/>
          <w:b/>
          <w:bCs/>
          <w:sz w:val="20"/>
          <w:szCs w:val="20"/>
        </w:rPr>
        <w:t>Chief Compliance Officer.</w:t>
      </w:r>
      <w:r>
        <w:rPr>
          <w:rFonts w:eastAsia="Arial" w:cs="Arial"/>
          <w:sz w:val="20"/>
          <w:szCs w:val="20"/>
        </w:rPr>
        <w:t xml:space="preserve"> A self-evaluation of the Chief Compliance Officer should be prepared.</w:t>
      </w:r>
    </w:p>
    <w:p>
      <w:pPr>
        <w:pStyle w:val="normal0"/>
        <w:spacing w:before="200" w:after="200"/>
        <w:rPr>
          <w:rFonts w:eastAsia="Arial" w:cs="Arial"/>
          <w:sz w:val="20"/>
          <w:szCs w:val="20"/>
        </w:rPr>
      </w:pPr>
      <w:r>
        <w:rPr>
          <w:rFonts w:eastAsia="Arial" w:cs="Arial"/>
          <w:sz w:val="20"/>
          <w:szCs w:val="20"/>
        </w:rPr>
        <w:t>A report of each review of the above areas shall be prepared, upon completion promptly made available to the management of KCD and the findings of such report shall be made part of KCD's annual compliance review.</w:t>
      </w:r>
    </w:p>
    <w:p>
      <w:bookmarkEnd w:id="1076"/>
      <w:bookmarkStart w:id="1077" w:name="Sec_Chp_061016102246187_061016102246687"/>
    </w:p>
    <w:p>
      <w:pPr>
        <w:pStyle w:val="Heading5"/>
      </w:pPr>
      <w:r>
        <w:t>14.3.8.1.4 Changes in Operations and Laws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connection with determining changes to existing procedures and adding new procedures, the Chief Compliance Officer should take into account:</w:t>
      </w:r>
    </w:p>
    <w:p>
      <w:pPr>
        <w:numPr>
          <w:ilvl w:val="0"/>
          <w:numId w:val="912"/>
        </w:numPr>
        <w:spacing w:before="200"/>
        <w:ind w:left="720" w:hanging="192"/>
        <w:jc w:val="left"/>
        <w:rPr>
          <w:rFonts w:eastAsia="Arial" w:cs="Arial"/>
          <w:sz w:val="20"/>
          <w:szCs w:val="20"/>
        </w:rPr>
      </w:pPr>
      <w:r>
        <w:rPr>
          <w:rFonts w:eastAsia="Arial" w:cs="Arial"/>
          <w:sz w:val="20"/>
          <w:szCs w:val="20"/>
        </w:rPr>
        <w:t xml:space="preserve">Any changes in the business activities of KCD; and </w:t>
      </w:r>
    </w:p>
    <w:p>
      <w:pPr>
        <w:numPr>
          <w:ilvl w:val="0"/>
          <w:numId w:val="912"/>
        </w:numPr>
        <w:spacing w:after="200"/>
        <w:ind w:left="720" w:hanging="192"/>
        <w:jc w:val="left"/>
        <w:rPr>
          <w:rFonts w:eastAsia="Arial" w:cs="Arial"/>
          <w:sz w:val="20"/>
          <w:szCs w:val="20"/>
        </w:rPr>
      </w:pPr>
      <w:r>
        <w:rPr>
          <w:rFonts w:eastAsia="Arial" w:cs="Arial"/>
          <w:sz w:val="20"/>
          <w:szCs w:val="20"/>
        </w:rPr>
        <w:t>Any changes in the Investment Advisers Act of 1940 and other applicable laws and regulations.</w:t>
      </w:r>
    </w:p>
    <w:p>
      <w:pPr>
        <w:pStyle w:val="normal0"/>
        <w:spacing w:before="200" w:after="200"/>
        <w:rPr>
          <w:rFonts w:eastAsia="Arial" w:cs="Arial"/>
          <w:sz w:val="20"/>
          <w:szCs w:val="20"/>
        </w:rPr>
      </w:pPr>
      <w:r>
        <w:rPr>
          <w:rFonts w:eastAsia="Arial" w:cs="Arial"/>
          <w:sz w:val="20"/>
          <w:szCs w:val="20"/>
        </w:rPr>
        <w:t>The Chief Compliance Officer shall monitor and keep abreast of:</w:t>
      </w:r>
    </w:p>
    <w:p>
      <w:pPr>
        <w:numPr>
          <w:ilvl w:val="0"/>
          <w:numId w:val="913"/>
        </w:numPr>
        <w:spacing w:before="200"/>
        <w:ind w:left="720" w:hanging="192"/>
        <w:jc w:val="left"/>
        <w:rPr>
          <w:rFonts w:eastAsia="Arial" w:cs="Arial"/>
          <w:sz w:val="20"/>
          <w:szCs w:val="20"/>
        </w:rPr>
      </w:pPr>
      <w:r>
        <w:rPr>
          <w:rFonts w:eastAsia="Arial" w:cs="Arial"/>
          <w:sz w:val="20"/>
          <w:szCs w:val="20"/>
        </w:rPr>
        <w:t xml:space="preserve">Changes in the law, and of any rules, regulations or regulatory interpretations; </w:t>
      </w:r>
    </w:p>
    <w:p>
      <w:pPr>
        <w:numPr>
          <w:ilvl w:val="0"/>
          <w:numId w:val="913"/>
        </w:numPr>
        <w:ind w:left="720" w:hanging="192"/>
        <w:jc w:val="left"/>
        <w:rPr>
          <w:rFonts w:eastAsia="Arial" w:cs="Arial"/>
          <w:sz w:val="20"/>
          <w:szCs w:val="20"/>
        </w:rPr>
      </w:pPr>
      <w:r>
        <w:rPr>
          <w:rFonts w:eastAsia="Arial" w:cs="Arial"/>
          <w:sz w:val="20"/>
          <w:szCs w:val="20"/>
        </w:rPr>
        <w:t xml:space="preserve">Court decisions; </w:t>
      </w:r>
    </w:p>
    <w:p>
      <w:pPr>
        <w:numPr>
          <w:ilvl w:val="0"/>
          <w:numId w:val="913"/>
        </w:numPr>
        <w:ind w:left="720" w:hanging="192"/>
        <w:jc w:val="left"/>
        <w:rPr>
          <w:rFonts w:eastAsia="Arial" w:cs="Arial"/>
          <w:sz w:val="20"/>
          <w:szCs w:val="20"/>
        </w:rPr>
      </w:pPr>
      <w:r>
        <w:rPr>
          <w:rFonts w:eastAsia="Arial" w:cs="Arial"/>
          <w:sz w:val="20"/>
          <w:szCs w:val="20"/>
        </w:rPr>
        <w:t xml:space="preserve">New industry, and changes in existing, industry best practices; and </w:t>
      </w:r>
    </w:p>
    <w:p>
      <w:pPr>
        <w:numPr>
          <w:ilvl w:val="0"/>
          <w:numId w:val="913"/>
        </w:numPr>
        <w:spacing w:after="200"/>
        <w:ind w:left="720" w:hanging="192"/>
        <w:jc w:val="left"/>
        <w:rPr>
          <w:rFonts w:eastAsia="Arial" w:cs="Arial"/>
          <w:sz w:val="20"/>
          <w:szCs w:val="20"/>
        </w:rPr>
      </w:pPr>
      <w:r>
        <w:rPr>
          <w:rFonts w:eastAsia="Arial" w:cs="Arial"/>
          <w:sz w:val="20"/>
          <w:szCs w:val="20"/>
        </w:rPr>
        <w:t>Changes in KCD's business activities.</w:t>
      </w:r>
    </w:p>
    <w:p>
      <w:pPr>
        <w:pStyle w:val="normal0"/>
        <w:spacing w:before="200" w:after="200"/>
        <w:rPr>
          <w:rFonts w:eastAsia="Arial" w:cs="Arial"/>
          <w:sz w:val="20"/>
          <w:szCs w:val="20"/>
        </w:rPr>
      </w:pPr>
      <w:r>
        <w:rPr>
          <w:rFonts w:eastAsia="Arial" w:cs="Arial"/>
          <w:sz w:val="20"/>
          <w:szCs w:val="20"/>
        </w:rPr>
        <w:t>At least annually, the Chief Compliance Officer will review each section of KCD's compliance policies and procedures in an effort to determine:</w:t>
      </w:r>
    </w:p>
    <w:p>
      <w:pPr>
        <w:numPr>
          <w:ilvl w:val="0"/>
          <w:numId w:val="914"/>
        </w:numPr>
        <w:spacing w:before="200"/>
        <w:ind w:left="720" w:hanging="192"/>
        <w:jc w:val="left"/>
        <w:rPr>
          <w:rFonts w:eastAsia="Arial" w:cs="Arial"/>
          <w:sz w:val="20"/>
          <w:szCs w:val="20"/>
        </w:rPr>
      </w:pPr>
      <w:r>
        <w:rPr>
          <w:rFonts w:eastAsia="Arial" w:cs="Arial"/>
          <w:sz w:val="20"/>
          <w:szCs w:val="20"/>
        </w:rPr>
        <w:t>the policy or procedure should be deleted;</w:t>
      </w:r>
    </w:p>
    <w:p>
      <w:pPr>
        <w:numPr>
          <w:ilvl w:val="0"/>
          <w:numId w:val="914"/>
        </w:numPr>
        <w:ind w:left="720" w:hanging="192"/>
        <w:jc w:val="left"/>
        <w:rPr>
          <w:rFonts w:eastAsia="Arial" w:cs="Arial"/>
          <w:sz w:val="20"/>
          <w:szCs w:val="20"/>
        </w:rPr>
      </w:pPr>
      <w:r>
        <w:rPr>
          <w:rFonts w:eastAsia="Arial" w:cs="Arial"/>
          <w:sz w:val="20"/>
          <w:szCs w:val="20"/>
        </w:rPr>
        <w:t>the policy or procedure should be modified or enhanced; or</w:t>
      </w:r>
    </w:p>
    <w:p>
      <w:pPr>
        <w:numPr>
          <w:ilvl w:val="0"/>
          <w:numId w:val="914"/>
        </w:numPr>
        <w:spacing w:after="200"/>
        <w:ind w:left="720" w:hanging="192"/>
        <w:jc w:val="left"/>
        <w:rPr>
          <w:rFonts w:eastAsia="Arial" w:cs="Arial"/>
          <w:sz w:val="20"/>
          <w:szCs w:val="20"/>
        </w:rPr>
      </w:pPr>
      <w:r>
        <w:rPr>
          <w:rFonts w:eastAsia="Arial" w:cs="Arial"/>
          <w:sz w:val="20"/>
          <w:szCs w:val="20"/>
        </w:rPr>
        <w:t>the policy or procedure should remain the same.</w:t>
      </w:r>
    </w:p>
    <w:p>
      <w:pPr>
        <w:pStyle w:val="normal0"/>
        <w:spacing w:before="200" w:after="200"/>
        <w:rPr>
          <w:rFonts w:eastAsia="Arial" w:cs="Arial"/>
          <w:sz w:val="20"/>
          <w:szCs w:val="20"/>
        </w:rPr>
      </w:pPr>
      <w:r>
        <w:rPr>
          <w:rFonts w:eastAsia="Arial" w:cs="Arial"/>
          <w:sz w:val="20"/>
          <w:szCs w:val="20"/>
        </w:rPr>
        <w:t>Any material changes to a policy or procedure including its deletion shall be reported to senior management of KCD in the annual compliance report. Applicable compliance and other employees will be informed about changes, if any, in their compliance responsibilities as a result of changes noted above.</w:t>
      </w:r>
    </w:p>
    <w:p>
      <w:bookmarkEnd w:id="1077"/>
      <w:bookmarkStart w:id="1078" w:name="Sec_Chp_061016102246187_061016102246703"/>
    </w:p>
    <w:p>
      <w:pPr>
        <w:pStyle w:val="Heading5"/>
      </w:pPr>
      <w:r>
        <w:t>14.3.8.1.5 Annual Report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annual compliance report shall be a written document divided into the following sections or cover the following areas:</w:t>
      </w:r>
    </w:p>
    <w:p>
      <w:pPr>
        <w:numPr>
          <w:ilvl w:val="0"/>
          <w:numId w:val="915"/>
        </w:numPr>
        <w:spacing w:before="200"/>
        <w:ind w:left="720" w:hanging="192"/>
        <w:jc w:val="left"/>
        <w:rPr>
          <w:rFonts w:eastAsia="Arial" w:cs="Arial"/>
          <w:sz w:val="20"/>
          <w:szCs w:val="20"/>
        </w:rPr>
      </w:pPr>
      <w:r>
        <w:rPr>
          <w:rFonts w:eastAsia="Arial" w:cs="Arial"/>
          <w:sz w:val="20"/>
          <w:szCs w:val="20"/>
        </w:rPr>
        <w:t xml:space="preserve">Overview of KCD's compliance program; </w:t>
      </w:r>
    </w:p>
    <w:p>
      <w:pPr>
        <w:numPr>
          <w:ilvl w:val="0"/>
          <w:numId w:val="915"/>
        </w:numPr>
        <w:ind w:left="720" w:hanging="192"/>
        <w:jc w:val="left"/>
        <w:rPr>
          <w:rFonts w:eastAsia="Arial" w:cs="Arial"/>
          <w:sz w:val="20"/>
          <w:szCs w:val="20"/>
        </w:rPr>
      </w:pPr>
      <w:r>
        <w:rPr>
          <w:rFonts w:eastAsia="Arial" w:cs="Arial"/>
          <w:sz w:val="20"/>
          <w:szCs w:val="20"/>
        </w:rPr>
        <w:t xml:space="preserve">Purpose of the annual review and the dates of review period; </w:t>
      </w:r>
    </w:p>
    <w:p>
      <w:pPr>
        <w:numPr>
          <w:ilvl w:val="0"/>
          <w:numId w:val="915"/>
        </w:numPr>
        <w:ind w:left="720" w:hanging="192"/>
        <w:jc w:val="left"/>
        <w:rPr>
          <w:rFonts w:eastAsia="Arial" w:cs="Arial"/>
          <w:sz w:val="20"/>
          <w:szCs w:val="20"/>
        </w:rPr>
      </w:pPr>
      <w:r>
        <w:rPr>
          <w:rFonts w:eastAsia="Arial" w:cs="Arial"/>
          <w:sz w:val="20"/>
          <w:szCs w:val="20"/>
        </w:rPr>
        <w:t xml:space="preserve">Brief summaries of key policies and procedures; </w:t>
      </w:r>
    </w:p>
    <w:p>
      <w:pPr>
        <w:numPr>
          <w:ilvl w:val="0"/>
          <w:numId w:val="915"/>
        </w:numPr>
        <w:ind w:left="720" w:hanging="192"/>
        <w:jc w:val="left"/>
        <w:rPr>
          <w:rFonts w:eastAsia="Arial" w:cs="Arial"/>
          <w:sz w:val="20"/>
          <w:szCs w:val="20"/>
        </w:rPr>
      </w:pPr>
      <w:r>
        <w:rPr>
          <w:rFonts w:eastAsia="Arial" w:cs="Arial"/>
          <w:sz w:val="20"/>
          <w:szCs w:val="20"/>
        </w:rPr>
        <w:t>Evidence of conducting the annual review including information collected and reviewed in connection with the annual review, including the past year's annual report, compliance reports generated throughout the year, interviews with portfolio managers and others, interviews with, and documents generated by, service providers, completed compliance checklists and evidence of other completed processes, including backtesting fee calculations and testing business continuity plans;</w:t>
      </w:r>
    </w:p>
    <w:p>
      <w:pPr>
        <w:numPr>
          <w:ilvl w:val="0"/>
          <w:numId w:val="915"/>
        </w:numPr>
        <w:ind w:left="720" w:hanging="192"/>
        <w:jc w:val="left"/>
        <w:rPr>
          <w:rFonts w:eastAsia="Arial" w:cs="Arial"/>
          <w:sz w:val="20"/>
          <w:szCs w:val="20"/>
        </w:rPr>
      </w:pPr>
      <w:r>
        <w:rPr>
          <w:rFonts w:eastAsia="Arial" w:cs="Arial"/>
          <w:sz w:val="20"/>
          <w:szCs w:val="20"/>
        </w:rPr>
        <w:t>Compliance matters that arose during the previous year;</w:t>
      </w:r>
    </w:p>
    <w:p>
      <w:pPr>
        <w:numPr>
          <w:ilvl w:val="0"/>
          <w:numId w:val="915"/>
        </w:numPr>
        <w:ind w:left="720" w:hanging="192"/>
        <w:jc w:val="left"/>
        <w:rPr>
          <w:rFonts w:eastAsia="Arial" w:cs="Arial"/>
          <w:sz w:val="20"/>
          <w:szCs w:val="20"/>
        </w:rPr>
      </w:pPr>
      <w:r>
        <w:rPr>
          <w:rFonts w:eastAsia="Arial" w:cs="Arial"/>
          <w:sz w:val="20"/>
          <w:szCs w:val="20"/>
        </w:rPr>
        <w:t>Significant risks of KCD such as conflicts and protection of client assets;</w:t>
      </w:r>
    </w:p>
    <w:p>
      <w:pPr>
        <w:numPr>
          <w:ilvl w:val="0"/>
          <w:numId w:val="915"/>
        </w:numPr>
        <w:ind w:left="720" w:hanging="192"/>
        <w:jc w:val="left"/>
        <w:rPr>
          <w:rFonts w:eastAsia="Arial" w:cs="Arial"/>
          <w:sz w:val="20"/>
          <w:szCs w:val="20"/>
        </w:rPr>
      </w:pPr>
      <w:r>
        <w:rPr>
          <w:rFonts w:eastAsia="Arial" w:cs="Arial"/>
          <w:sz w:val="20"/>
          <w:szCs w:val="20"/>
        </w:rPr>
        <w:t>Significant areas of KCD's business, such as the oversight and review of recommended third-party managers, cybersecurity, and the calculation of fees and allocation of expenses;</w:t>
      </w:r>
    </w:p>
    <w:p>
      <w:pPr>
        <w:numPr>
          <w:ilvl w:val="0"/>
          <w:numId w:val="915"/>
        </w:numPr>
        <w:ind w:left="720" w:hanging="192"/>
        <w:jc w:val="left"/>
        <w:rPr>
          <w:rFonts w:eastAsia="Arial" w:cs="Arial"/>
          <w:sz w:val="20"/>
          <w:szCs w:val="20"/>
        </w:rPr>
      </w:pPr>
      <w:r>
        <w:rPr>
          <w:rFonts w:eastAsia="Arial" w:cs="Arial"/>
          <w:sz w:val="20"/>
          <w:szCs w:val="20"/>
        </w:rPr>
        <w:t>Changes in the business activities of KCD;</w:t>
      </w:r>
    </w:p>
    <w:p>
      <w:pPr>
        <w:numPr>
          <w:ilvl w:val="0"/>
          <w:numId w:val="915"/>
        </w:numPr>
        <w:ind w:left="720" w:hanging="192"/>
        <w:jc w:val="left"/>
        <w:rPr>
          <w:rFonts w:eastAsia="Arial" w:cs="Arial"/>
          <w:sz w:val="20"/>
          <w:szCs w:val="20"/>
        </w:rPr>
      </w:pPr>
      <w:r>
        <w:rPr>
          <w:rFonts w:eastAsia="Arial" w:cs="Arial"/>
          <w:sz w:val="20"/>
          <w:szCs w:val="20"/>
        </w:rPr>
        <w:t>Previous SEC and other regulatory examination deficiency letters to confirm that past deficiencies were corrected and are not reoccurring;</w:t>
      </w:r>
    </w:p>
    <w:p>
      <w:pPr>
        <w:numPr>
          <w:ilvl w:val="0"/>
          <w:numId w:val="915"/>
        </w:numPr>
        <w:ind w:left="720" w:hanging="192"/>
        <w:jc w:val="left"/>
        <w:rPr>
          <w:rFonts w:eastAsia="Arial" w:cs="Arial"/>
          <w:sz w:val="20"/>
          <w:szCs w:val="20"/>
        </w:rPr>
      </w:pPr>
      <w:r>
        <w:rPr>
          <w:rFonts w:eastAsia="Arial" w:cs="Arial"/>
          <w:sz w:val="20"/>
          <w:szCs w:val="20"/>
        </w:rPr>
        <w:t>Changes in the Investment Advisers Act of 1940 and other applicable laws and regulations that might suggest the need to revise certain policies and procedures;</w:t>
      </w:r>
    </w:p>
    <w:p>
      <w:pPr>
        <w:numPr>
          <w:ilvl w:val="0"/>
          <w:numId w:val="915"/>
        </w:numPr>
        <w:ind w:left="720" w:hanging="192"/>
        <w:jc w:val="left"/>
        <w:rPr>
          <w:rFonts w:eastAsia="Arial" w:cs="Arial"/>
          <w:sz w:val="20"/>
          <w:szCs w:val="20"/>
        </w:rPr>
      </w:pPr>
      <w:r>
        <w:rPr>
          <w:rFonts w:eastAsia="Arial" w:cs="Arial"/>
          <w:sz w:val="20"/>
          <w:szCs w:val="20"/>
        </w:rPr>
        <w:t xml:space="preserve">Revisions made to the policies and procedures during the reporting period, and proposed revisions not yet implemented; </w:t>
      </w:r>
    </w:p>
    <w:p>
      <w:pPr>
        <w:numPr>
          <w:ilvl w:val="0"/>
          <w:numId w:val="915"/>
        </w:numPr>
        <w:ind w:left="720" w:hanging="192"/>
        <w:jc w:val="left"/>
        <w:rPr>
          <w:rFonts w:eastAsia="Arial" w:cs="Arial"/>
          <w:sz w:val="20"/>
          <w:szCs w:val="20"/>
        </w:rPr>
      </w:pPr>
      <w:r>
        <w:rPr>
          <w:rFonts w:eastAsia="Arial" w:cs="Arial"/>
          <w:sz w:val="20"/>
          <w:szCs w:val="20"/>
        </w:rPr>
        <w:t xml:space="preserve">Analysis of the compliance procedures and program; </w:t>
      </w:r>
    </w:p>
    <w:p>
      <w:pPr>
        <w:numPr>
          <w:ilvl w:val="0"/>
          <w:numId w:val="915"/>
        </w:numPr>
        <w:ind w:left="720" w:hanging="192"/>
        <w:jc w:val="left"/>
        <w:rPr>
          <w:rFonts w:eastAsia="Arial" w:cs="Arial"/>
          <w:sz w:val="20"/>
          <w:szCs w:val="20"/>
        </w:rPr>
      </w:pPr>
      <w:r>
        <w:rPr>
          <w:rFonts w:eastAsia="Arial" w:cs="Arial"/>
          <w:sz w:val="20"/>
          <w:szCs w:val="20"/>
        </w:rPr>
        <w:t xml:space="preserve">Conclusions drawn from the analysis of information, including high risk compliance areas, adequacy of policies and procedures, and adequacy of support of the Chief Compliance Officer in terms of manpower, budget and resources; and </w:t>
      </w:r>
    </w:p>
    <w:p>
      <w:pPr>
        <w:numPr>
          <w:ilvl w:val="0"/>
          <w:numId w:val="915"/>
        </w:numPr>
        <w:spacing w:after="200"/>
        <w:ind w:left="720" w:hanging="192"/>
        <w:jc w:val="left"/>
        <w:rPr>
          <w:rFonts w:eastAsia="Arial" w:cs="Arial"/>
          <w:sz w:val="20"/>
          <w:szCs w:val="20"/>
        </w:rPr>
      </w:pPr>
      <w:r>
        <w:rPr>
          <w:rFonts w:eastAsia="Arial" w:cs="Arial"/>
          <w:sz w:val="20"/>
          <w:szCs w:val="20"/>
        </w:rPr>
        <w:t>Specific recommendations.</w:t>
      </w:r>
    </w:p>
    <w:p>
      <w:bookmarkEnd w:id="1078"/>
      <w:bookmarkStart w:id="1079" w:name="Sec_Chp_061016102246187_061016102246718"/>
    </w:p>
    <w:p>
      <w:pPr>
        <w:pStyle w:val="Heading5"/>
      </w:pPr>
      <w:r>
        <w:t>14.3.8.1.6 Distribution of Annual Compliance Report</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Prior to being finalized, a draft of the annual compliance report shall be circulated for comments to all compliance personnel, department heads and senior management. Once finalized, the Chief Compliance Officer shall distribute the compliance report and any other relevant documents (e.g., a report from an outside auditor or service provider) to senior management. Shortly after the distribution of the report, senior management, the Chief Compliance Officer and any and all other relevant employees or officers of KCD shall have a meeting devoted to the annual review of KCD's compliance program. Minutes of the annual review meeting shall be kept and maintained.</w:t>
      </w:r>
    </w:p>
    <w:p>
      <w:bookmarkEnd w:id="1079"/>
      <w:bookmarkStart w:id="1080" w:name="Sec_Chp_061016102246187_061016102246734"/>
    </w:p>
    <w:p>
      <w:pPr>
        <w:pStyle w:val="Heading5"/>
      </w:pPr>
      <w:r>
        <w:t>14.3.8.1.7 Implementation of Revised Policies and Procedures and Annual Report Recommendations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After the issuance of the annual compliance report and the annual compliance meeting, the Chief Compliance Officer shall:</w:t>
      </w:r>
    </w:p>
    <w:p>
      <w:pPr>
        <w:numPr>
          <w:ilvl w:val="0"/>
          <w:numId w:val="916"/>
        </w:numPr>
        <w:spacing w:before="200"/>
        <w:ind w:left="720" w:hanging="192"/>
        <w:jc w:val="left"/>
        <w:rPr>
          <w:rFonts w:eastAsia="Arial" w:cs="Arial"/>
          <w:sz w:val="20"/>
          <w:szCs w:val="20"/>
        </w:rPr>
      </w:pPr>
      <w:r>
        <w:rPr>
          <w:rFonts w:eastAsia="Arial" w:cs="Arial"/>
          <w:sz w:val="20"/>
          <w:szCs w:val="20"/>
        </w:rPr>
        <w:t xml:space="preserve">Revise this compliance manual as necessary, including deleting procedures no longer in effect or noting that such procedures are no longer operative; </w:t>
      </w:r>
    </w:p>
    <w:p>
      <w:pPr>
        <w:numPr>
          <w:ilvl w:val="0"/>
          <w:numId w:val="916"/>
        </w:numPr>
        <w:ind w:left="720" w:hanging="192"/>
        <w:jc w:val="left"/>
        <w:rPr>
          <w:rFonts w:eastAsia="Arial" w:cs="Arial"/>
          <w:sz w:val="20"/>
          <w:szCs w:val="20"/>
        </w:rPr>
      </w:pPr>
      <w:r>
        <w:rPr>
          <w:rFonts w:eastAsia="Arial" w:cs="Arial"/>
          <w:sz w:val="20"/>
          <w:szCs w:val="20"/>
        </w:rPr>
        <w:t xml:space="preserve">Circulate revised sections of the manual to appropriate personnel; </w:t>
      </w:r>
    </w:p>
    <w:p>
      <w:pPr>
        <w:numPr>
          <w:ilvl w:val="0"/>
          <w:numId w:val="916"/>
        </w:numPr>
        <w:ind w:left="720" w:hanging="192"/>
        <w:jc w:val="left"/>
        <w:rPr>
          <w:rFonts w:eastAsia="Arial" w:cs="Arial"/>
          <w:sz w:val="20"/>
          <w:szCs w:val="20"/>
        </w:rPr>
      </w:pPr>
      <w:r>
        <w:rPr>
          <w:rFonts w:eastAsia="Arial" w:cs="Arial"/>
          <w:sz w:val="20"/>
          <w:szCs w:val="20"/>
        </w:rPr>
        <w:t xml:space="preserve">Take steps to implement new compliance policies and procedures (e.g., acquisition and installation of new software); and </w:t>
      </w:r>
    </w:p>
    <w:p>
      <w:pPr>
        <w:numPr>
          <w:ilvl w:val="0"/>
          <w:numId w:val="916"/>
        </w:numPr>
        <w:spacing w:after="200"/>
        <w:ind w:left="720" w:hanging="192"/>
        <w:jc w:val="left"/>
        <w:rPr>
          <w:rFonts w:eastAsia="Arial" w:cs="Arial"/>
          <w:sz w:val="20"/>
          <w:szCs w:val="20"/>
        </w:rPr>
      </w:pPr>
      <w:r>
        <w:rPr>
          <w:rFonts w:eastAsia="Arial" w:cs="Arial"/>
          <w:sz w:val="20"/>
          <w:szCs w:val="20"/>
        </w:rPr>
        <w:t>Report to senior management the status of the revisions to the compliance manual and implementation of recommendations.</w:t>
      </w:r>
    </w:p>
    <w:p>
      <w:bookmarkEnd w:id="1080"/>
      <w:bookmarkStart w:id="1081" w:name="Sec_Chp_061016102246187_061016102246750"/>
    </w:p>
    <w:p>
      <w:pPr>
        <w:pStyle w:val="Heading4"/>
      </w:pPr>
      <w:r>
        <w:t>14.3.8.2 Interim Reviews</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 periodically assemble an audit team consisting of appropriate officers and employees of KCD to inspect one or more areas of KCD. The audit generally will be unannounced to minimize opportunity for concealment of compliance violations. Unannounced inspections are especially appropriate where there are indications of misconduct or potential misconduct, numerous client complaints, or excessive trade corrections. When and how often a particular area of KCD's operations will be inspected will depend upon the nature and volume of business conducted through that area. Interim reviews (i.e., a review other than an annual review) will be conducted in response to significant compliance events, changes in business arrangements and regulatory developments.</w:t>
      </w:r>
    </w:p>
    <w:p>
      <w:pPr>
        <w:pStyle w:val="normal0"/>
        <w:spacing w:before="200" w:after="200"/>
        <w:rPr>
          <w:rFonts w:eastAsia="Arial" w:cs="Arial"/>
          <w:sz w:val="20"/>
          <w:szCs w:val="20"/>
        </w:rPr>
      </w:pPr>
      <w:r>
        <w:rPr>
          <w:rFonts w:eastAsia="Arial" w:cs="Arial"/>
          <w:sz w:val="20"/>
          <w:szCs w:val="20"/>
        </w:rPr>
        <w:t xml:space="preserve">Set forth below are typical functions that the audit team may perform in a given audit: </w:t>
      </w:r>
    </w:p>
    <w:p>
      <w:pPr>
        <w:numPr>
          <w:ilvl w:val="0"/>
          <w:numId w:val="917"/>
        </w:numPr>
        <w:spacing w:before="200"/>
        <w:ind w:left="720" w:hanging="192"/>
        <w:jc w:val="left"/>
        <w:rPr>
          <w:rFonts w:eastAsia="Arial" w:cs="Arial"/>
          <w:sz w:val="20"/>
          <w:szCs w:val="20"/>
        </w:rPr>
      </w:pPr>
      <w:r>
        <w:rPr>
          <w:rFonts w:eastAsia="Arial" w:cs="Arial"/>
          <w:sz w:val="20"/>
          <w:szCs w:val="20"/>
        </w:rPr>
        <w:t xml:space="preserve">Interview Adviser Representatives to ascertain their knowledge of the types of investment management services they offer; </w:t>
      </w:r>
    </w:p>
    <w:p>
      <w:pPr>
        <w:numPr>
          <w:ilvl w:val="0"/>
          <w:numId w:val="917"/>
        </w:numPr>
        <w:ind w:left="720" w:hanging="192"/>
        <w:jc w:val="left"/>
        <w:rPr>
          <w:rFonts w:eastAsia="Arial" w:cs="Arial"/>
          <w:sz w:val="20"/>
          <w:szCs w:val="20"/>
        </w:rPr>
      </w:pPr>
      <w:r>
        <w:rPr>
          <w:rFonts w:eastAsia="Arial" w:cs="Arial"/>
          <w:sz w:val="20"/>
          <w:szCs w:val="20"/>
        </w:rPr>
        <w:t xml:space="preserve">Review a random sample of client files; </w:t>
      </w:r>
    </w:p>
    <w:p>
      <w:pPr>
        <w:numPr>
          <w:ilvl w:val="0"/>
          <w:numId w:val="917"/>
        </w:numPr>
        <w:ind w:left="720" w:hanging="192"/>
        <w:jc w:val="left"/>
        <w:rPr>
          <w:rFonts w:eastAsia="Arial" w:cs="Arial"/>
          <w:sz w:val="20"/>
          <w:szCs w:val="20"/>
        </w:rPr>
      </w:pPr>
      <w:r>
        <w:rPr>
          <w:rFonts w:eastAsia="Arial" w:cs="Arial"/>
          <w:sz w:val="20"/>
          <w:szCs w:val="20"/>
        </w:rPr>
        <w:t xml:space="preserve">Review KCD correspondence and marketing materials; and </w:t>
      </w:r>
    </w:p>
    <w:p>
      <w:pPr>
        <w:numPr>
          <w:ilvl w:val="0"/>
          <w:numId w:val="917"/>
        </w:numPr>
        <w:spacing w:after="200"/>
        <w:ind w:left="720" w:hanging="192"/>
        <w:jc w:val="left"/>
        <w:rPr>
          <w:rFonts w:eastAsia="Arial" w:cs="Arial"/>
          <w:sz w:val="20"/>
          <w:szCs w:val="20"/>
        </w:rPr>
      </w:pPr>
      <w:r>
        <w:rPr>
          <w:rFonts w:eastAsia="Arial" w:cs="Arial"/>
          <w:sz w:val="20"/>
          <w:szCs w:val="20"/>
        </w:rPr>
        <w:t xml:space="preserve">Contact clients to assess their satisfaction with KCD and the Adviser Representatives that service their accounts. </w:t>
      </w:r>
    </w:p>
    <w:p>
      <w:pPr>
        <w:pStyle w:val="normal0"/>
        <w:spacing w:before="200" w:after="200"/>
        <w:rPr>
          <w:rFonts w:eastAsia="Arial" w:cs="Arial"/>
          <w:sz w:val="20"/>
          <w:szCs w:val="20"/>
        </w:rPr>
      </w:pPr>
      <w:r>
        <w:rPr>
          <w:rFonts w:eastAsia="Arial" w:cs="Arial"/>
          <w:sz w:val="20"/>
          <w:szCs w:val="20"/>
        </w:rPr>
        <w:t>At the completion of each audit, the Chief Compliance Officer shall prepare a report that reviews each instance of non-compliance and recommend measures to remedy and prevent non-compliance. This report shall be distributed to senior management of KCD and the supervisors in the departments that were audited.</w:t>
      </w:r>
    </w:p>
    <w:p>
      <w:bookmarkEnd w:id="1081"/>
      <w:bookmarkStart w:id="1082" w:name="Sec_Chp_061016102246187_061016102246781"/>
    </w:p>
    <w:p>
      <w:pPr>
        <w:pStyle w:val="Heading3"/>
      </w:pPr>
      <w:bookmarkStart w:id="1083" w:name="_Toc256000279"/>
      <w:r>
        <w:t>14.3.9 Resources</w:t>
      </w:r>
      <w:bookmarkEnd w:id="1083"/>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KCD's senior management will ensure that the Chief Compliance Officer and his or her staff (if any) have sufficient resources to operate and maintain an effective compliance program. The Chief Compliance Officer will request, and senior management will consider providing, all resources required for operating and maintaining the compliance program, including requests for computer software and hardware, new compliance employees and other initiatives intended to improve the compliance program. The Chief Compliance Officer shall document all such requests and senior management's response to those requests.</w:t>
      </w:r>
    </w:p>
    <w:p>
      <w:bookmarkEnd w:id="1082"/>
      <w:bookmarkStart w:id="1084" w:name="Sec_Chp_061016102246187_061016102246812"/>
    </w:p>
    <w:p>
      <w:pPr>
        <w:pStyle w:val="Heading3"/>
      </w:pPr>
      <w:bookmarkStart w:id="1085" w:name="_Toc256000280"/>
      <w:r>
        <w:t>14.3.10 Independent Review of Compliance Program</w:t>
      </w:r>
      <w:bookmarkEnd w:id="1085"/>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From time to time, KCD will consider engaging an accounting firm, law firm or consulting firm independent of KCD to perform a review and analysis of KCD's compliance program or certain aspects of the program. Under certain circumstances, KCD may request an independent auditor to attest to the conclusion by management of KCD about the effectiveness of the compliance program or the effectiveness of KCD's internal control structure over compliance with specified laws, rules and regulations.</w:t>
      </w:r>
    </w:p>
    <w:p>
      <w:pPr>
        <w:pStyle w:val="normal0"/>
        <w:spacing w:before="200" w:after="200"/>
        <w:rPr>
          <w:rFonts w:eastAsia="Arial" w:cs="Arial"/>
          <w:sz w:val="20"/>
          <w:szCs w:val="20"/>
        </w:rPr>
      </w:pPr>
      <w:r>
        <w:rPr>
          <w:rFonts w:eastAsia="Arial" w:cs="Arial"/>
          <w:sz w:val="20"/>
          <w:szCs w:val="20"/>
        </w:rPr>
        <w:t>After the engagement by an independent firm, the Chief Compliance Officer and senior management of KCD will review the findings of the firm and consider whether to act upon any specific recommendations made by the independent firm.</w:t>
      </w:r>
    </w:p>
    <w:p>
      <w:bookmarkEnd w:id="1084"/>
      <w:bookmarkStart w:id="1086" w:name="Sec_Chp_061016102246187_061016102246828"/>
    </w:p>
    <w:p>
      <w:pPr>
        <w:pStyle w:val="Heading3"/>
      </w:pPr>
      <w:bookmarkStart w:id="1087" w:name="_Toc256000281"/>
      <w:r>
        <w:t>14.3.11 Regulatory Inspections</w:t>
      </w:r>
      <w:bookmarkEnd w:id="1087"/>
    </w:p>
    <w:p/>
    <w:p>
      <w:pPr>
        <w:rPr>
          <w:rFonts w:eastAsia="Arial" w:cs="Arial"/>
          <w:sz w:val="16"/>
          <w:szCs w:val="16"/>
        </w:rPr>
      </w:pPr>
    </w:p>
    <w:tbl>
      <w:tblPr>
        <w:tblStyle w:val="strfreeform"/>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5E0"/>
      </w:tblPr>
      <w:tblGrid>
        <w:gridCol w:w="9920"/>
      </w:tblGrid>
      <w:tr>
        <w:tblPrEx>
          <w:tblW w:w="5000" w:type="pct"/>
          <w:tblLook w:val="05E0"/>
        </w:tblPrEx>
        <w:tc>
          <w:tcPr>
            <w:tcW w:w="5000" w:type="pct"/>
            <w:tcBorders>
              <w:top w:val="single" w:sz="6" w:space="0" w:color="000000"/>
              <w:left w:val="single" w:sz="6" w:space="0" w:color="000000"/>
              <w:bottom w:val="single" w:sz="6" w:space="0" w:color="000000"/>
              <w:right w:val="single" w:sz="6" w:space="0" w:color="000000"/>
            </w:tcBorders>
            <w:noWrap w:val="0"/>
            <w:tcMar>
              <w:top w:w="45" w:type="dxa"/>
              <w:left w:w="52" w:type="dxa"/>
              <w:bottom w:w="45" w:type="dxa"/>
              <w:right w:w="52"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Advisers such as KCD are examined by the Division of Examinations of the SEC. The Division of Examinations conducts exams out of Washington D.C. and each of the SEC's regional offices. The Division of Examinations determines whether investment advisers are conducting activities in accordance with the federal securities laws and related rules, adhering to disclosures made to clients and the general public, and implementing supervisory systems or policies and procedures that are reasonably designed to ensure compliance with applicable legal requirements.</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On the first day of the examination, KCD shall be prepared for representatives from the Division of Examinations to ask about or for:</w:t>
            </w:r>
          </w:p>
          <w:p>
            <w:pPr>
              <w:numPr>
                <w:ilvl w:val="0"/>
                <w:numId w:val="918"/>
              </w:numPr>
              <w:spacing w:before="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 general overview of KCD;</w:t>
            </w:r>
          </w:p>
          <w:p>
            <w:pPr>
              <w:numPr>
                <w:ilvl w:val="0"/>
                <w:numId w:val="9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the type of Firm clients;</w:t>
            </w:r>
          </w:p>
          <w:p>
            <w:pPr>
              <w:numPr>
                <w:ilvl w:val="0"/>
                <w:numId w:val="9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services provided by KCD;</w:t>
            </w:r>
          </w:p>
          <w:p>
            <w:pPr>
              <w:numPr>
                <w:ilvl w:val="0"/>
                <w:numId w:val="9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investment strategies employed, and products offered, by KCD;</w:t>
            </w:r>
          </w:p>
          <w:p>
            <w:pPr>
              <w:numPr>
                <w:ilvl w:val="0"/>
                <w:numId w:val="9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 overview of the marketing strategies and sales practices employed by KCD;</w:t>
            </w:r>
          </w:p>
          <w:p>
            <w:pPr>
              <w:numPr>
                <w:ilvl w:val="0"/>
                <w:numId w:val="918"/>
              </w:numPr>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 general description of KCD's compliance program; and</w:t>
            </w:r>
          </w:p>
          <w:p>
            <w:pPr>
              <w:numPr>
                <w:ilvl w:val="0"/>
                <w:numId w:val="918"/>
              </w:numPr>
              <w:spacing w:after="240"/>
              <w:ind w:left="720" w:hanging="210"/>
              <w:jc w:val="left"/>
              <w:rPr>
                <w:rFonts w:eastAsia="Arial" w:cs="Arial"/>
                <w:b w:val="0"/>
                <w:bCs w:val="0"/>
                <w:i w:val="0"/>
                <w:iCs w:val="0"/>
                <w:smallCaps w:val="0"/>
                <w:color w:val="000000"/>
                <w:sz w:val="24"/>
              </w:rPr>
            </w:pPr>
            <w:r>
              <w:rPr>
                <w:rFonts w:eastAsia="Arial" w:cs="Arial"/>
                <w:b w:val="0"/>
                <w:bCs w:val="0"/>
                <w:i w:val="0"/>
                <w:iCs w:val="0"/>
                <w:smallCaps w:val="0"/>
                <w:color w:val="000000"/>
                <w:sz w:val="20"/>
              </w:rPr>
              <w:t>an explanation of how KCD values clients' assets and how KCD charges its advisory fees.</w:t>
            </w:r>
          </w:p>
          <w:p>
            <w:pPr>
              <w:rPr>
                <w:rFonts w:eastAsia="Arial" w:cs="Arial"/>
                <w:b w:val="0"/>
                <w:bCs w:val="0"/>
                <w:i w:val="0"/>
                <w:iCs w:val="0"/>
                <w:smallCaps w:val="0"/>
                <w:color w:val="000000"/>
                <w:sz w:val="24"/>
              </w:rPr>
            </w:pPr>
          </w:p>
        </w:tc>
      </w:tr>
    </w:tbl>
    <w:p>
      <w:pPr>
        <w:pStyle w:val="normal0"/>
        <w:spacing w:before="200" w:after="200"/>
        <w:rPr>
          <w:rFonts w:eastAsia="Arial" w:cs="Arial"/>
          <w:sz w:val="20"/>
          <w:szCs w:val="20"/>
        </w:rPr>
      </w:pPr>
      <w:r>
        <w:rPr>
          <w:rFonts w:eastAsia="Arial" w:cs="Arial"/>
          <w:sz w:val="20"/>
          <w:szCs w:val="20"/>
        </w:rPr>
        <w:t>When the SEC, state securities commission or other regulatory agency contacts or meets an employee of KCD, the following procedures must be followed:</w:t>
      </w:r>
    </w:p>
    <w:p>
      <w:pPr>
        <w:numPr>
          <w:ilvl w:val="0"/>
          <w:numId w:val="919"/>
        </w:numPr>
        <w:spacing w:before="200"/>
        <w:ind w:left="720" w:hanging="267"/>
        <w:jc w:val="left"/>
        <w:rPr>
          <w:rFonts w:eastAsia="Arial" w:cs="Arial"/>
          <w:sz w:val="20"/>
          <w:szCs w:val="20"/>
        </w:rPr>
      </w:pPr>
      <w:r>
        <w:rPr>
          <w:rFonts w:eastAsia="Arial" w:cs="Arial"/>
          <w:sz w:val="20"/>
          <w:szCs w:val="20"/>
        </w:rPr>
        <w:t>The employee who is the recipient of such contact must, as soon as possible, inform the Chief Compliance Officer about the matter;</w:t>
      </w:r>
    </w:p>
    <w:p>
      <w:pPr>
        <w:numPr>
          <w:ilvl w:val="0"/>
          <w:numId w:val="919"/>
        </w:numPr>
        <w:ind w:left="720" w:hanging="267"/>
        <w:jc w:val="left"/>
        <w:rPr>
          <w:rFonts w:eastAsia="Arial" w:cs="Arial"/>
          <w:sz w:val="20"/>
          <w:szCs w:val="20"/>
        </w:rPr>
      </w:pPr>
      <w:r>
        <w:rPr>
          <w:rFonts w:eastAsia="Arial" w:cs="Arial"/>
          <w:sz w:val="20"/>
          <w:szCs w:val="20"/>
        </w:rPr>
        <w:t>The Chief Compliance Officer shall arrange for KCD to make available all documents requested by the examiner, provided such examiner has the legal right to examine such documents;</w:t>
      </w:r>
    </w:p>
    <w:p>
      <w:pPr>
        <w:numPr>
          <w:ilvl w:val="0"/>
          <w:numId w:val="919"/>
        </w:numPr>
        <w:ind w:left="720" w:hanging="267"/>
        <w:jc w:val="left"/>
        <w:rPr>
          <w:rFonts w:eastAsia="Arial" w:cs="Arial"/>
          <w:sz w:val="20"/>
          <w:szCs w:val="20"/>
        </w:rPr>
      </w:pPr>
      <w:r>
        <w:rPr>
          <w:rFonts w:eastAsia="Arial" w:cs="Arial"/>
          <w:sz w:val="20"/>
          <w:szCs w:val="20"/>
        </w:rPr>
        <w:t>KCD shall maintain the necessary software and/or apps to respond to information requests from the Division of Examinations including:</w:t>
      </w:r>
    </w:p>
    <w:p>
      <w:pPr>
        <w:numPr>
          <w:ilvl w:val="1"/>
          <w:numId w:val="919"/>
        </w:numPr>
        <w:ind w:left="1440" w:hanging="220"/>
        <w:jc w:val="left"/>
        <w:rPr>
          <w:rFonts w:eastAsia="Arial" w:cs="Arial"/>
          <w:sz w:val="20"/>
          <w:szCs w:val="20"/>
        </w:rPr>
      </w:pPr>
      <w:r>
        <w:rPr>
          <w:rFonts w:eastAsia="Arial" w:cs="Arial"/>
          <w:sz w:val="20"/>
          <w:szCs w:val="20"/>
        </w:rPr>
        <w:t>Kiteworks</w:t>
      </w:r>
    </w:p>
    <w:p>
      <w:pPr>
        <w:numPr>
          <w:ilvl w:val="1"/>
          <w:numId w:val="919"/>
        </w:numPr>
        <w:ind w:left="1440" w:hanging="220"/>
        <w:jc w:val="left"/>
        <w:rPr>
          <w:rFonts w:eastAsia="Arial" w:cs="Arial"/>
          <w:sz w:val="20"/>
          <w:szCs w:val="20"/>
        </w:rPr>
      </w:pPr>
      <w:r>
        <w:rPr>
          <w:rFonts w:eastAsia="Arial" w:cs="Arial"/>
          <w:sz w:val="20"/>
          <w:szCs w:val="20"/>
        </w:rPr>
        <w:t>Secure E-mail</w:t>
      </w:r>
    </w:p>
    <w:p>
      <w:pPr>
        <w:numPr>
          <w:ilvl w:val="1"/>
          <w:numId w:val="919"/>
        </w:numPr>
        <w:ind w:left="1440" w:hanging="220"/>
        <w:jc w:val="left"/>
        <w:rPr>
          <w:rFonts w:eastAsia="Arial" w:cs="Arial"/>
          <w:sz w:val="20"/>
          <w:szCs w:val="20"/>
        </w:rPr>
      </w:pPr>
      <w:r>
        <w:rPr>
          <w:rFonts w:eastAsia="Arial" w:cs="Arial"/>
          <w:sz w:val="20"/>
          <w:szCs w:val="20"/>
        </w:rPr>
        <w:t>Transport Layer Security</w:t>
      </w:r>
    </w:p>
    <w:p>
      <w:pPr>
        <w:numPr>
          <w:ilvl w:val="0"/>
          <w:numId w:val="919"/>
        </w:numPr>
        <w:ind w:left="720" w:hanging="267"/>
        <w:jc w:val="left"/>
        <w:rPr>
          <w:rFonts w:eastAsia="Arial" w:cs="Arial"/>
          <w:sz w:val="20"/>
          <w:szCs w:val="20"/>
        </w:rPr>
      </w:pPr>
      <w:r>
        <w:rPr>
          <w:rFonts w:eastAsia="Arial" w:cs="Arial"/>
          <w:sz w:val="20"/>
          <w:szCs w:val="20"/>
        </w:rPr>
        <w:t>The Chief Compliance Officer shall review prior to the arrival of the inspection staff:</w:t>
      </w:r>
    </w:p>
    <w:p>
      <w:pPr>
        <w:numPr>
          <w:ilvl w:val="1"/>
          <w:numId w:val="919"/>
        </w:numPr>
        <w:ind w:left="1440" w:hanging="220"/>
        <w:jc w:val="left"/>
        <w:rPr>
          <w:rFonts w:eastAsia="Arial" w:cs="Arial"/>
          <w:sz w:val="20"/>
          <w:szCs w:val="20"/>
        </w:rPr>
      </w:pPr>
      <w:r>
        <w:rPr>
          <w:rFonts w:eastAsia="Arial" w:cs="Arial"/>
          <w:sz w:val="20"/>
          <w:szCs w:val="20"/>
        </w:rPr>
        <w:t xml:space="preserve">Overview of Examinations by the Securities and Exchange Commission's Office of Compliance Inspections and Examinations (February 2012) (which is dated but remains useful) - </w:t>
      </w:r>
      <w:hyperlink r:id="rId30" w:tgtFrame="_blank" w:history="1">
        <w:r>
          <w:rPr>
            <w:rStyle w:val="Hyperlink"/>
            <w:rFonts w:eastAsia="Arial" w:cs="Arial"/>
            <w:color w:val="0000EE"/>
            <w:sz w:val="20"/>
            <w:szCs w:val="20"/>
            <w:u w:color="0000EE"/>
          </w:rPr>
          <w:t>http://www.sec.gov/about/offices/ocie/ocieoverview.pdf</w:t>
        </w:r>
      </w:hyperlink>
      <w:r>
        <w:rPr>
          <w:rFonts w:eastAsia="Arial" w:cs="Arial"/>
          <w:sz w:val="20"/>
          <w:szCs w:val="20"/>
        </w:rPr>
        <w:t>;</w:t>
      </w:r>
    </w:p>
    <w:p>
      <w:pPr>
        <w:numPr>
          <w:ilvl w:val="1"/>
          <w:numId w:val="919"/>
        </w:numPr>
        <w:ind w:left="1440" w:hanging="220"/>
        <w:jc w:val="left"/>
        <w:rPr>
          <w:rFonts w:eastAsia="Arial" w:cs="Arial"/>
          <w:sz w:val="20"/>
          <w:szCs w:val="20"/>
        </w:rPr>
      </w:pPr>
      <w:r>
        <w:rPr>
          <w:rFonts w:eastAsia="Arial" w:cs="Arial"/>
          <w:sz w:val="20"/>
          <w:szCs w:val="20"/>
        </w:rPr>
        <w:t xml:space="preserve">SEC Enforcement Manual - </w:t>
      </w:r>
      <w:hyperlink r:id="rId31" w:tgtFrame="_blank" w:history="1">
        <w:r>
          <w:rPr>
            <w:rStyle w:val="Hyperlink"/>
            <w:rFonts w:eastAsia="Arial" w:cs="Arial"/>
            <w:color w:val="0000EE"/>
            <w:sz w:val="20"/>
            <w:szCs w:val="20"/>
            <w:u w:color="0000EE"/>
          </w:rPr>
          <w:t>http://www.sec.gov/divisions/enforce/enforcementmanual.pdf</w:t>
        </w:r>
      </w:hyperlink>
      <w:r>
        <w:rPr>
          <w:rFonts w:eastAsia="Arial" w:cs="Arial"/>
          <w:sz w:val="20"/>
          <w:szCs w:val="20"/>
        </w:rPr>
        <w:t>; and</w:t>
      </w:r>
    </w:p>
    <w:p>
      <w:pPr>
        <w:numPr>
          <w:ilvl w:val="1"/>
          <w:numId w:val="919"/>
        </w:numPr>
        <w:ind w:left="1440" w:hanging="220"/>
        <w:jc w:val="left"/>
        <w:rPr>
          <w:rFonts w:eastAsia="Arial" w:cs="Arial"/>
          <w:sz w:val="20"/>
          <w:szCs w:val="20"/>
        </w:rPr>
      </w:pPr>
      <w:r>
        <w:rPr>
          <w:rFonts w:eastAsia="Arial" w:cs="Arial"/>
          <w:sz w:val="20"/>
          <w:szCs w:val="20"/>
        </w:rPr>
        <w:t xml:space="preserve">Listing of local SEC offices (contact information for senior examination staff) - </w:t>
      </w:r>
      <w:hyperlink r:id="rId32" w:tgtFrame="_blank" w:history="1">
        <w:r>
          <w:rPr>
            <w:rStyle w:val="Hyperlink"/>
            <w:rFonts w:eastAsia="Arial" w:cs="Arial"/>
            <w:color w:val="0000EE"/>
            <w:sz w:val="20"/>
            <w:szCs w:val="20"/>
            <w:u w:color="0000EE"/>
          </w:rPr>
          <w:t>https://www.sec.gov/about/divisions-offices</w:t>
        </w:r>
      </w:hyperlink>
      <w:r>
        <w:rPr>
          <w:rFonts w:eastAsia="Arial" w:cs="Arial"/>
          <w:sz w:val="20"/>
          <w:szCs w:val="20"/>
        </w:rPr>
        <w:t>.</w:t>
      </w:r>
    </w:p>
    <w:p>
      <w:pPr>
        <w:numPr>
          <w:ilvl w:val="0"/>
          <w:numId w:val="919"/>
        </w:numPr>
        <w:ind w:left="720" w:hanging="267"/>
        <w:jc w:val="left"/>
        <w:rPr>
          <w:rFonts w:eastAsia="Arial" w:cs="Arial"/>
          <w:sz w:val="20"/>
          <w:szCs w:val="20"/>
        </w:rPr>
      </w:pPr>
      <w:r>
        <w:rPr>
          <w:rFonts w:eastAsia="Arial" w:cs="Arial"/>
          <w:sz w:val="20"/>
          <w:szCs w:val="20"/>
        </w:rPr>
        <w:t>Upon the examiner's arrival, the Chief Compliance Officer should ask the official for: (i) proper identification, (ii) his or her authority to conduct the examination, and (iii) the purpose of the visit;</w:t>
      </w:r>
    </w:p>
    <w:p>
      <w:pPr>
        <w:numPr>
          <w:ilvl w:val="0"/>
          <w:numId w:val="919"/>
        </w:numPr>
        <w:ind w:left="720" w:hanging="267"/>
        <w:jc w:val="left"/>
        <w:rPr>
          <w:rFonts w:eastAsia="Arial" w:cs="Arial"/>
          <w:sz w:val="20"/>
          <w:szCs w:val="20"/>
        </w:rPr>
      </w:pPr>
      <w:r>
        <w:rPr>
          <w:rFonts w:eastAsia="Arial" w:cs="Arial"/>
          <w:sz w:val="20"/>
          <w:szCs w:val="20"/>
        </w:rPr>
        <w:t>The Chief Compliance Officer and any other KCD personnel chosen to assist the regulatory inspection team should be pleasant and cooperative;</w:t>
      </w:r>
    </w:p>
    <w:p>
      <w:pPr>
        <w:numPr>
          <w:ilvl w:val="0"/>
          <w:numId w:val="919"/>
        </w:numPr>
        <w:ind w:left="720" w:hanging="267"/>
        <w:jc w:val="left"/>
        <w:rPr>
          <w:rFonts w:eastAsia="Arial" w:cs="Arial"/>
          <w:sz w:val="20"/>
          <w:szCs w:val="20"/>
        </w:rPr>
      </w:pPr>
      <w:r>
        <w:rPr>
          <w:rFonts w:eastAsia="Arial" w:cs="Arial"/>
          <w:sz w:val="20"/>
          <w:szCs w:val="20"/>
        </w:rPr>
        <w:t>Information or copies of documents should be provided to the official only if the release of such information or documents has been cleared by the Chief Compliance Officer;</w:t>
      </w:r>
    </w:p>
    <w:p>
      <w:pPr>
        <w:numPr>
          <w:ilvl w:val="0"/>
          <w:numId w:val="919"/>
        </w:numPr>
        <w:ind w:left="720" w:hanging="267"/>
        <w:jc w:val="left"/>
        <w:rPr>
          <w:rFonts w:eastAsia="Arial" w:cs="Arial"/>
          <w:sz w:val="20"/>
          <w:szCs w:val="20"/>
        </w:rPr>
      </w:pPr>
      <w:r>
        <w:rPr>
          <w:rFonts w:eastAsia="Arial" w:cs="Arial"/>
          <w:sz w:val="20"/>
          <w:szCs w:val="20"/>
        </w:rPr>
        <w:t>The Chief Compliance Officer will ensure that only those documents specifically requested by the regulatory inspection team are released to the regulatory inspection team;</w:t>
      </w:r>
    </w:p>
    <w:p>
      <w:pPr>
        <w:numPr>
          <w:ilvl w:val="0"/>
          <w:numId w:val="919"/>
        </w:numPr>
        <w:ind w:left="720" w:hanging="267"/>
        <w:jc w:val="left"/>
        <w:rPr>
          <w:rFonts w:eastAsia="Arial" w:cs="Arial"/>
          <w:sz w:val="20"/>
          <w:szCs w:val="20"/>
        </w:rPr>
      </w:pPr>
      <w:r>
        <w:rPr>
          <w:rFonts w:eastAsia="Arial" w:cs="Arial"/>
          <w:sz w:val="20"/>
          <w:szCs w:val="20"/>
        </w:rPr>
        <w:t>A representative of KCD should accompany the regulatory inspection team at all times when the team is in KCD's office(s), except in a room or rooms designated by the Chief Compliance Officer as places where the team can perform their inspection;</w:t>
      </w:r>
    </w:p>
    <w:p>
      <w:pPr>
        <w:numPr>
          <w:ilvl w:val="0"/>
          <w:numId w:val="919"/>
        </w:numPr>
        <w:ind w:left="720" w:hanging="378"/>
        <w:jc w:val="left"/>
        <w:rPr>
          <w:rFonts w:eastAsia="Arial" w:cs="Arial"/>
          <w:sz w:val="20"/>
          <w:szCs w:val="20"/>
        </w:rPr>
      </w:pPr>
      <w:r>
        <w:rPr>
          <w:rFonts w:eastAsia="Arial" w:cs="Arial"/>
          <w:sz w:val="20"/>
          <w:szCs w:val="20"/>
        </w:rPr>
        <w:t>Without prior clearance from the Chief Compliance Officer, no KCD employee may have substantive conversations with any member of the regulatory inspection team;</w:t>
      </w:r>
    </w:p>
    <w:p>
      <w:pPr>
        <w:numPr>
          <w:ilvl w:val="0"/>
          <w:numId w:val="919"/>
        </w:numPr>
        <w:ind w:left="720" w:hanging="378"/>
        <w:jc w:val="left"/>
        <w:rPr>
          <w:rFonts w:eastAsia="Arial" w:cs="Arial"/>
          <w:sz w:val="20"/>
          <w:szCs w:val="20"/>
        </w:rPr>
      </w:pPr>
      <w:r>
        <w:rPr>
          <w:rFonts w:eastAsia="Arial" w:cs="Arial"/>
          <w:sz w:val="20"/>
          <w:szCs w:val="20"/>
        </w:rPr>
        <w:t>Upon completion of the examination, the Chief Compliance Officer will ask a member of the SEC's inspection team the date when the examination will be completed. (Under the Dodd-Frank Act, the SEC has 180 days from the date of its document request to complete its examination of a registered investment adviser);</w:t>
      </w:r>
    </w:p>
    <w:p>
      <w:pPr>
        <w:numPr>
          <w:ilvl w:val="0"/>
          <w:numId w:val="919"/>
        </w:numPr>
        <w:ind w:left="720" w:hanging="378"/>
        <w:jc w:val="left"/>
        <w:rPr>
          <w:rFonts w:eastAsia="Arial" w:cs="Arial"/>
          <w:sz w:val="20"/>
          <w:szCs w:val="20"/>
        </w:rPr>
      </w:pPr>
      <w:r>
        <w:rPr>
          <w:rFonts w:eastAsia="Arial" w:cs="Arial"/>
          <w:sz w:val="20"/>
          <w:szCs w:val="20"/>
        </w:rPr>
        <w:t>The recipient of any letter or other correspondence from the inspecting regulatory authority must promptly forward such correspondence to the Chief Compliance Officer;</w:t>
      </w:r>
    </w:p>
    <w:p>
      <w:pPr>
        <w:numPr>
          <w:ilvl w:val="0"/>
          <w:numId w:val="919"/>
        </w:numPr>
        <w:ind w:left="720" w:hanging="378"/>
        <w:jc w:val="left"/>
        <w:rPr>
          <w:rFonts w:eastAsia="Arial" w:cs="Arial"/>
          <w:sz w:val="20"/>
          <w:szCs w:val="20"/>
        </w:rPr>
      </w:pPr>
      <w:r>
        <w:rPr>
          <w:rFonts w:eastAsia="Arial" w:cs="Arial"/>
          <w:sz w:val="20"/>
          <w:szCs w:val="20"/>
        </w:rPr>
        <w:t>The Chief Compliance Officer in coordination with the inside or outside legal counsel of KCD will review the correspondence from the inspecting regulatory authority and respond, if so required, in the appropriate manner prior to any deadline imposed by the inspecting authority; and</w:t>
      </w:r>
    </w:p>
    <w:p>
      <w:pPr>
        <w:numPr>
          <w:ilvl w:val="0"/>
          <w:numId w:val="919"/>
        </w:numPr>
        <w:spacing w:after="200"/>
        <w:ind w:left="720" w:hanging="378"/>
        <w:jc w:val="left"/>
        <w:rPr>
          <w:rFonts w:eastAsia="Arial" w:cs="Arial"/>
          <w:sz w:val="20"/>
          <w:szCs w:val="20"/>
        </w:rPr>
      </w:pPr>
      <w:r>
        <w:rPr>
          <w:rFonts w:eastAsia="Arial" w:cs="Arial"/>
          <w:sz w:val="20"/>
          <w:szCs w:val="20"/>
        </w:rPr>
        <w:t>If the Division of Examinations identifies deficiencies or weaknesses, KCD will take steps to address and eliminate such deficiencies and weaknesses and memorialize the actions taken in a memorandum. If serious deficiencies are found, the Division of Examinations may refer the problems to the SEC's Division of Enforcement, or to a self-regulatory organization, state regulatory agency, or other regulator for possible action.</w:t>
      </w:r>
    </w:p>
    <w:p>
      <w:pPr>
        <w:pStyle w:val="normal0"/>
        <w:spacing w:before="200" w:after="200"/>
        <w:rPr>
          <w:rFonts w:eastAsia="Arial" w:cs="Arial"/>
          <w:sz w:val="20"/>
          <w:szCs w:val="20"/>
        </w:rPr>
      </w:pPr>
      <w:r>
        <w:rPr>
          <w:rFonts w:eastAsia="Arial" w:cs="Arial"/>
          <w:sz w:val="20"/>
          <w:szCs w:val="20"/>
        </w:rPr>
        <w:t>The SEC may examine KCD periodically in accordance with an internal schedule. However, the SEC may examine KCD more frequently and the Chief Compliance Officer should be mindful of the factors that the SEC likely considers whether to examine a particular advisory firm. In some instances, the Chief Compliance Officer may implement steps to minimize or eliminate many of these factors.</w:t>
      </w:r>
    </w:p>
    <w:p>
      <w:pPr>
        <w:pStyle w:val="normal0"/>
        <w:spacing w:before="200" w:after="200"/>
        <w:rPr>
          <w:rFonts w:eastAsia="Arial" w:cs="Arial"/>
          <w:sz w:val="20"/>
          <w:szCs w:val="20"/>
        </w:rPr>
      </w:pPr>
      <w:r>
        <w:rPr>
          <w:rFonts w:eastAsia="Arial" w:cs="Arial"/>
          <w:sz w:val="20"/>
          <w:szCs w:val="20"/>
        </w:rPr>
        <w:t>Factors considered by the SEC when deciding whether to examine an advisory firm include:</w:t>
      </w:r>
    </w:p>
    <w:p>
      <w:pPr>
        <w:numPr>
          <w:ilvl w:val="0"/>
          <w:numId w:val="920"/>
        </w:numPr>
        <w:spacing w:before="200"/>
        <w:ind w:left="720" w:hanging="267"/>
        <w:jc w:val="left"/>
        <w:rPr>
          <w:rFonts w:eastAsia="Arial" w:cs="Arial"/>
          <w:sz w:val="20"/>
          <w:szCs w:val="20"/>
        </w:rPr>
      </w:pPr>
      <w:r>
        <w:rPr>
          <w:rFonts w:eastAsia="Arial" w:cs="Arial"/>
          <w:sz w:val="20"/>
          <w:szCs w:val="20"/>
        </w:rPr>
        <w:t>prior examination observations and conduct, such as when the SEC staff has observed what it believes to be repetitive deficient practices during more than one review of a firm, significant fee- and expense-related issues, and significant compliance program concerns;</w:t>
      </w:r>
    </w:p>
    <w:p>
      <w:pPr>
        <w:numPr>
          <w:ilvl w:val="0"/>
          <w:numId w:val="920"/>
        </w:numPr>
        <w:ind w:left="720" w:hanging="267"/>
        <w:jc w:val="left"/>
        <w:rPr>
          <w:rFonts w:eastAsia="Arial" w:cs="Arial"/>
          <w:sz w:val="20"/>
          <w:szCs w:val="20"/>
        </w:rPr>
      </w:pPr>
      <w:r>
        <w:rPr>
          <w:rFonts w:eastAsia="Arial" w:cs="Arial"/>
          <w:sz w:val="20"/>
          <w:szCs w:val="20"/>
        </w:rPr>
        <w:t>supervisory concerns, such as disciplinary history of associated individuals or affiliates;</w:t>
      </w:r>
    </w:p>
    <w:p>
      <w:pPr>
        <w:numPr>
          <w:ilvl w:val="0"/>
          <w:numId w:val="920"/>
        </w:numPr>
        <w:ind w:left="720" w:hanging="267"/>
        <w:jc w:val="left"/>
        <w:rPr>
          <w:rFonts w:eastAsia="Arial" w:cs="Arial"/>
          <w:sz w:val="20"/>
          <w:szCs w:val="20"/>
        </w:rPr>
      </w:pPr>
      <w:r>
        <w:rPr>
          <w:rFonts w:eastAsia="Arial" w:cs="Arial"/>
          <w:sz w:val="20"/>
          <w:szCs w:val="20"/>
        </w:rPr>
        <w:t>tips, complaints, or referrals involving KCD;</w:t>
      </w:r>
    </w:p>
    <w:p>
      <w:pPr>
        <w:numPr>
          <w:ilvl w:val="0"/>
          <w:numId w:val="920"/>
        </w:numPr>
        <w:ind w:left="720" w:hanging="267"/>
        <w:jc w:val="left"/>
        <w:rPr>
          <w:rFonts w:eastAsia="Arial" w:cs="Arial"/>
          <w:sz w:val="20"/>
          <w:szCs w:val="20"/>
        </w:rPr>
      </w:pPr>
      <w:r>
        <w:rPr>
          <w:rFonts w:eastAsia="Arial" w:cs="Arial"/>
          <w:sz w:val="20"/>
          <w:szCs w:val="20"/>
        </w:rPr>
        <w:t>business activities of KCD or its personnel that may create conflicts of interest, such as outside business activities and the conflicts associated with advisers dually registered as, or affiliated with, brokers;</w:t>
      </w:r>
    </w:p>
    <w:p>
      <w:pPr>
        <w:numPr>
          <w:ilvl w:val="0"/>
          <w:numId w:val="920"/>
        </w:numPr>
        <w:ind w:left="720" w:hanging="267"/>
        <w:jc w:val="left"/>
        <w:rPr>
          <w:rFonts w:eastAsia="Arial" w:cs="Arial"/>
          <w:sz w:val="20"/>
          <w:szCs w:val="20"/>
        </w:rPr>
      </w:pPr>
      <w:r>
        <w:rPr>
          <w:rFonts w:eastAsia="Arial" w:cs="Arial"/>
          <w:sz w:val="20"/>
          <w:szCs w:val="20"/>
        </w:rPr>
        <w:t>the length of time since KCD's registration or last examination, such as advisers newly registered with the SEC;</w:t>
      </w:r>
    </w:p>
    <w:p>
      <w:pPr>
        <w:numPr>
          <w:ilvl w:val="0"/>
          <w:numId w:val="920"/>
        </w:numPr>
        <w:ind w:left="720" w:hanging="267"/>
        <w:jc w:val="left"/>
        <w:rPr>
          <w:rFonts w:eastAsia="Arial" w:cs="Arial"/>
          <w:sz w:val="20"/>
          <w:szCs w:val="20"/>
        </w:rPr>
      </w:pPr>
      <w:r>
        <w:rPr>
          <w:rFonts w:eastAsia="Arial" w:cs="Arial"/>
          <w:sz w:val="20"/>
          <w:szCs w:val="20"/>
        </w:rPr>
        <w:t>material changes in a Firm's leadership or other personnel;</w:t>
      </w:r>
    </w:p>
    <w:p>
      <w:pPr>
        <w:numPr>
          <w:ilvl w:val="0"/>
          <w:numId w:val="920"/>
        </w:numPr>
        <w:ind w:left="720" w:hanging="267"/>
        <w:jc w:val="left"/>
        <w:rPr>
          <w:rFonts w:eastAsia="Arial" w:cs="Arial"/>
          <w:sz w:val="20"/>
          <w:szCs w:val="20"/>
        </w:rPr>
      </w:pPr>
      <w:r>
        <w:rPr>
          <w:rFonts w:eastAsia="Arial" w:cs="Arial"/>
          <w:sz w:val="20"/>
          <w:szCs w:val="20"/>
        </w:rPr>
        <w:t>indications that KCD might be vulnerable to financial or market stresses;</w:t>
      </w:r>
    </w:p>
    <w:p>
      <w:pPr>
        <w:numPr>
          <w:ilvl w:val="0"/>
          <w:numId w:val="920"/>
        </w:numPr>
        <w:ind w:left="720" w:hanging="267"/>
        <w:jc w:val="left"/>
        <w:rPr>
          <w:rFonts w:eastAsia="Arial" w:cs="Arial"/>
          <w:sz w:val="20"/>
          <w:szCs w:val="20"/>
        </w:rPr>
      </w:pPr>
      <w:r>
        <w:rPr>
          <w:rFonts w:eastAsia="Arial" w:cs="Arial"/>
          <w:sz w:val="20"/>
          <w:szCs w:val="20"/>
        </w:rPr>
        <w:t>reporting by news and media that may involve or impact KCD;</w:t>
      </w:r>
    </w:p>
    <w:p>
      <w:pPr>
        <w:numPr>
          <w:ilvl w:val="0"/>
          <w:numId w:val="920"/>
        </w:numPr>
        <w:ind w:left="720" w:hanging="267"/>
        <w:jc w:val="left"/>
        <w:rPr>
          <w:rFonts w:eastAsia="Arial" w:cs="Arial"/>
          <w:sz w:val="20"/>
          <w:szCs w:val="20"/>
        </w:rPr>
      </w:pPr>
      <w:r>
        <w:rPr>
          <w:rFonts w:eastAsia="Arial" w:cs="Arial"/>
          <w:sz w:val="20"/>
          <w:szCs w:val="20"/>
        </w:rPr>
        <w:t>data provided by certain third-party data services;</w:t>
      </w:r>
    </w:p>
    <w:p>
      <w:pPr>
        <w:numPr>
          <w:ilvl w:val="0"/>
          <w:numId w:val="920"/>
        </w:numPr>
        <w:ind w:left="720" w:hanging="378"/>
        <w:jc w:val="left"/>
        <w:rPr>
          <w:rFonts w:eastAsia="Arial" w:cs="Arial"/>
          <w:sz w:val="20"/>
          <w:szCs w:val="20"/>
        </w:rPr>
      </w:pPr>
      <w:r>
        <w:rPr>
          <w:rFonts w:eastAsia="Arial" w:cs="Arial"/>
          <w:sz w:val="20"/>
          <w:szCs w:val="20"/>
        </w:rPr>
        <w:t>the disclosure history of KCD; and</w:t>
      </w:r>
    </w:p>
    <w:p>
      <w:pPr>
        <w:numPr>
          <w:ilvl w:val="0"/>
          <w:numId w:val="920"/>
        </w:numPr>
        <w:spacing w:after="200"/>
        <w:ind w:left="720" w:hanging="378"/>
        <w:jc w:val="left"/>
        <w:rPr>
          <w:rFonts w:eastAsia="Arial" w:cs="Arial"/>
          <w:sz w:val="20"/>
          <w:szCs w:val="20"/>
        </w:rPr>
      </w:pPr>
      <w:r>
        <w:rPr>
          <w:rFonts w:eastAsia="Arial" w:cs="Arial"/>
          <w:sz w:val="20"/>
          <w:szCs w:val="20"/>
        </w:rPr>
        <w:t>whether KCD has access to client and investor assets and/or presents certain gatekeeper or service provider compliance risks.</w:t>
      </w:r>
    </w:p>
    <w:p>
      <w:bookmarkEnd w:id="1086"/>
      <w:bookmarkStart w:id="1088" w:name="Sec_Chp_061016102246187_061016102246843"/>
    </w:p>
    <w:p>
      <w:pPr>
        <w:pStyle w:val="Heading3"/>
      </w:pPr>
      <w:bookmarkStart w:id="1089" w:name="_Toc256000282"/>
      <w:r>
        <w:t>14.3.12 Compliance Manual Violations</w:t>
      </w:r>
      <w:bookmarkEnd w:id="1089"/>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 xml:space="preserve">When a violation of the Compliance Manual or a law or regulation is detected, KCD will follow the procedures set forth below: </w:t>
      </w:r>
    </w:p>
    <w:p>
      <w:pPr>
        <w:numPr>
          <w:ilvl w:val="0"/>
          <w:numId w:val="921"/>
        </w:numPr>
        <w:spacing w:before="200"/>
        <w:ind w:left="720" w:hanging="267"/>
        <w:jc w:val="left"/>
        <w:rPr>
          <w:rFonts w:eastAsia="Arial" w:cs="Arial"/>
          <w:sz w:val="20"/>
          <w:szCs w:val="20"/>
        </w:rPr>
      </w:pPr>
      <w:r>
        <w:rPr>
          <w:rFonts w:eastAsia="Arial" w:cs="Arial"/>
          <w:sz w:val="20"/>
          <w:szCs w:val="20"/>
        </w:rPr>
        <w:t xml:space="preserve">If an employee who discovers a violation or suspects that a violation has occurred, such employee shall report the violation immediately to the Chief Compliance Officer; </w:t>
      </w:r>
    </w:p>
    <w:p>
      <w:pPr>
        <w:numPr>
          <w:ilvl w:val="0"/>
          <w:numId w:val="921"/>
        </w:numPr>
        <w:ind w:left="720" w:hanging="267"/>
        <w:jc w:val="left"/>
        <w:rPr>
          <w:rFonts w:eastAsia="Arial" w:cs="Arial"/>
          <w:sz w:val="20"/>
          <w:szCs w:val="20"/>
        </w:rPr>
      </w:pPr>
      <w:r>
        <w:rPr>
          <w:rFonts w:eastAsia="Arial" w:cs="Arial"/>
          <w:sz w:val="20"/>
          <w:szCs w:val="20"/>
        </w:rPr>
        <w:t xml:space="preserve">The Chief Compliance Officer will determine whether the matter is technical or otherwise is not likely to result in a regulatory enforcement action or have an adverse financial impact on KCD; </w:t>
      </w:r>
    </w:p>
    <w:p>
      <w:pPr>
        <w:numPr>
          <w:ilvl w:val="0"/>
          <w:numId w:val="921"/>
        </w:numPr>
        <w:ind w:left="720" w:hanging="267"/>
        <w:jc w:val="left"/>
        <w:rPr>
          <w:rFonts w:eastAsia="Arial" w:cs="Arial"/>
          <w:sz w:val="20"/>
          <w:szCs w:val="20"/>
        </w:rPr>
      </w:pPr>
      <w:r>
        <w:rPr>
          <w:rFonts w:eastAsia="Arial" w:cs="Arial"/>
          <w:sz w:val="20"/>
          <w:szCs w:val="20"/>
        </w:rPr>
        <w:t xml:space="preserve">If the matter is technical or does not pose a threat of regulatory action or adverse financial consequences, the Chief Compliance Officer will investigate the matter to see if the alleged violation occurred. The Chief Compliance Officer shall take the appropriate remedial action and report on the matter at KCD's next Compliance Committee meeting; and </w:t>
      </w:r>
    </w:p>
    <w:p>
      <w:pPr>
        <w:numPr>
          <w:ilvl w:val="0"/>
          <w:numId w:val="921"/>
        </w:numPr>
        <w:spacing w:after="200"/>
        <w:ind w:left="720" w:hanging="267"/>
        <w:jc w:val="left"/>
        <w:rPr>
          <w:rFonts w:eastAsia="Arial" w:cs="Arial"/>
          <w:sz w:val="20"/>
          <w:szCs w:val="20"/>
        </w:rPr>
      </w:pPr>
      <w:r>
        <w:rPr>
          <w:rFonts w:eastAsia="Arial" w:cs="Arial"/>
          <w:sz w:val="20"/>
          <w:szCs w:val="20"/>
        </w:rPr>
        <w:t xml:space="preserve">If the matter is serious, the Chief Compliance Officer will immediately contact senior management of KCD and a collective decision will be reached on how to proceed with investigating and resolving the matter. </w:t>
      </w:r>
    </w:p>
    <w:p>
      <w:pPr>
        <w:pStyle w:val="normal0"/>
        <w:spacing w:before="200" w:after="200"/>
        <w:rPr>
          <w:rFonts w:eastAsia="Arial" w:cs="Arial"/>
          <w:sz w:val="20"/>
          <w:szCs w:val="20"/>
        </w:rPr>
      </w:pPr>
      <w:r>
        <w:rPr>
          <w:rFonts w:eastAsia="Arial" w:cs="Arial"/>
          <w:sz w:val="20"/>
          <w:szCs w:val="20"/>
        </w:rPr>
        <w:t>Possible responsive actions by KCD to an employee who commits a compliance manual violation include, but are not limited to, the following:</w:t>
      </w:r>
    </w:p>
    <w:p>
      <w:pPr>
        <w:numPr>
          <w:ilvl w:val="0"/>
          <w:numId w:val="922"/>
        </w:numPr>
        <w:spacing w:before="200"/>
        <w:ind w:left="720" w:hanging="192"/>
        <w:jc w:val="left"/>
        <w:rPr>
          <w:rFonts w:eastAsia="Arial" w:cs="Arial"/>
          <w:sz w:val="20"/>
          <w:szCs w:val="20"/>
        </w:rPr>
      </w:pPr>
      <w:r>
        <w:rPr>
          <w:rFonts w:eastAsia="Arial" w:cs="Arial"/>
          <w:sz w:val="20"/>
          <w:szCs w:val="20"/>
        </w:rPr>
        <w:t xml:space="preserve">Terminate the employment of the employee; </w:t>
      </w:r>
    </w:p>
    <w:p>
      <w:pPr>
        <w:numPr>
          <w:ilvl w:val="0"/>
          <w:numId w:val="922"/>
        </w:numPr>
        <w:ind w:left="720" w:hanging="192"/>
        <w:jc w:val="left"/>
        <w:rPr>
          <w:rFonts w:eastAsia="Arial" w:cs="Arial"/>
          <w:sz w:val="20"/>
          <w:szCs w:val="20"/>
        </w:rPr>
      </w:pPr>
      <w:r>
        <w:rPr>
          <w:rFonts w:eastAsia="Arial" w:cs="Arial"/>
          <w:sz w:val="20"/>
          <w:szCs w:val="20"/>
        </w:rPr>
        <w:t>Impose heightened supervisory procedures over the employee;</w:t>
      </w:r>
    </w:p>
    <w:p>
      <w:pPr>
        <w:numPr>
          <w:ilvl w:val="0"/>
          <w:numId w:val="922"/>
        </w:numPr>
        <w:ind w:left="720" w:hanging="192"/>
        <w:jc w:val="left"/>
        <w:rPr>
          <w:rFonts w:eastAsia="Arial" w:cs="Arial"/>
          <w:sz w:val="20"/>
          <w:szCs w:val="20"/>
        </w:rPr>
      </w:pPr>
      <w:r>
        <w:rPr>
          <w:rFonts w:eastAsia="Arial" w:cs="Arial"/>
          <w:sz w:val="20"/>
          <w:szCs w:val="20"/>
        </w:rPr>
        <w:t xml:space="preserve">Thoroughly review client account activity; </w:t>
      </w:r>
    </w:p>
    <w:p>
      <w:pPr>
        <w:numPr>
          <w:ilvl w:val="0"/>
          <w:numId w:val="922"/>
        </w:numPr>
        <w:ind w:left="720" w:hanging="192"/>
        <w:jc w:val="left"/>
        <w:rPr>
          <w:rFonts w:eastAsia="Arial" w:cs="Arial"/>
          <w:sz w:val="20"/>
          <w:szCs w:val="20"/>
        </w:rPr>
      </w:pPr>
      <w:r>
        <w:rPr>
          <w:rFonts w:eastAsia="Arial" w:cs="Arial"/>
          <w:sz w:val="20"/>
          <w:szCs w:val="20"/>
        </w:rPr>
        <w:t xml:space="preserve">Require the supervisor to sign-off daily activity of the employee; </w:t>
      </w:r>
    </w:p>
    <w:p>
      <w:pPr>
        <w:numPr>
          <w:ilvl w:val="0"/>
          <w:numId w:val="922"/>
        </w:numPr>
        <w:ind w:left="720" w:hanging="192"/>
        <w:jc w:val="left"/>
        <w:rPr>
          <w:rFonts w:eastAsia="Arial" w:cs="Arial"/>
          <w:sz w:val="20"/>
          <w:szCs w:val="20"/>
        </w:rPr>
      </w:pPr>
      <w:r>
        <w:rPr>
          <w:rFonts w:eastAsia="Arial" w:cs="Arial"/>
          <w:sz w:val="20"/>
          <w:szCs w:val="20"/>
        </w:rPr>
        <w:t xml:space="preserve">Restrict the employee's activities; </w:t>
      </w:r>
    </w:p>
    <w:p>
      <w:pPr>
        <w:numPr>
          <w:ilvl w:val="0"/>
          <w:numId w:val="922"/>
        </w:numPr>
        <w:ind w:left="720" w:hanging="192"/>
        <w:jc w:val="left"/>
        <w:rPr>
          <w:rFonts w:eastAsia="Arial" w:cs="Arial"/>
          <w:sz w:val="20"/>
          <w:szCs w:val="20"/>
        </w:rPr>
      </w:pPr>
      <w:r>
        <w:rPr>
          <w:rFonts w:eastAsia="Arial" w:cs="Arial"/>
          <w:sz w:val="20"/>
          <w:szCs w:val="20"/>
        </w:rPr>
        <w:t>Provide the employee with additional training;</w:t>
      </w:r>
    </w:p>
    <w:p>
      <w:pPr>
        <w:numPr>
          <w:ilvl w:val="0"/>
          <w:numId w:val="922"/>
        </w:numPr>
        <w:ind w:left="720" w:hanging="192"/>
        <w:jc w:val="left"/>
        <w:rPr>
          <w:rFonts w:eastAsia="Arial" w:cs="Arial"/>
          <w:sz w:val="20"/>
          <w:szCs w:val="20"/>
        </w:rPr>
      </w:pPr>
      <w:r>
        <w:rPr>
          <w:rFonts w:eastAsia="Arial" w:cs="Arial"/>
          <w:sz w:val="20"/>
          <w:szCs w:val="20"/>
        </w:rPr>
        <w:t xml:space="preserve">Assign a mentor to the employee; </w:t>
      </w:r>
    </w:p>
    <w:p>
      <w:pPr>
        <w:numPr>
          <w:ilvl w:val="0"/>
          <w:numId w:val="922"/>
        </w:numPr>
        <w:ind w:left="720" w:hanging="192"/>
        <w:jc w:val="left"/>
        <w:rPr>
          <w:rFonts w:eastAsia="Arial" w:cs="Arial"/>
          <w:sz w:val="20"/>
          <w:szCs w:val="20"/>
        </w:rPr>
      </w:pPr>
      <w:r>
        <w:rPr>
          <w:rFonts w:eastAsia="Arial" w:cs="Arial"/>
          <w:sz w:val="20"/>
          <w:szCs w:val="20"/>
        </w:rPr>
        <w:t xml:space="preserve">Restrict use of certain types of communications that the employee may make to clients; and </w:t>
      </w:r>
    </w:p>
    <w:p>
      <w:pPr>
        <w:numPr>
          <w:ilvl w:val="0"/>
          <w:numId w:val="922"/>
        </w:numPr>
        <w:spacing w:after="200"/>
        <w:ind w:left="720" w:hanging="192"/>
        <w:jc w:val="left"/>
        <w:rPr>
          <w:rFonts w:eastAsia="Arial" w:cs="Arial"/>
          <w:sz w:val="20"/>
          <w:szCs w:val="20"/>
        </w:rPr>
      </w:pPr>
      <w:r>
        <w:rPr>
          <w:rFonts w:eastAsia="Arial" w:cs="Arial"/>
          <w:sz w:val="20"/>
          <w:szCs w:val="20"/>
        </w:rPr>
        <w:t>Fine the employee.</w:t>
      </w:r>
    </w:p>
    <w:p>
      <w:bookmarkEnd w:id="1088"/>
      <w:bookmarkStart w:id="1090" w:name="Sec_Chp_061016102246187_061016102246859"/>
    </w:p>
    <w:p>
      <w:pPr>
        <w:pStyle w:val="Heading3"/>
      </w:pPr>
      <w:bookmarkStart w:id="1091" w:name="_Toc256000283"/>
      <w:r>
        <w:t>14.3.13 Risk Assessment</w:t>
      </w:r>
      <w:bookmarkEnd w:id="1091"/>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At least annually, KCD shall assess the compliance risks presented by its operations. In addition, KCD will initiate a risk assessment at any time the CCO becomes aware of any changes or compliance matters that may raise concerns related to the adequacy or effectiveness of an existing procedure.</w:t>
      </w:r>
    </w:p>
    <w:p>
      <w:pPr>
        <w:pStyle w:val="normal0"/>
        <w:spacing w:before="200" w:after="200"/>
        <w:rPr>
          <w:rFonts w:eastAsia="Arial" w:cs="Arial"/>
          <w:sz w:val="20"/>
          <w:szCs w:val="20"/>
        </w:rPr>
      </w:pPr>
      <w:r>
        <w:rPr>
          <w:rFonts w:eastAsia="Arial" w:cs="Arial"/>
          <w:sz w:val="20"/>
          <w:szCs w:val="20"/>
        </w:rPr>
        <w:t>First, it will inventory all of its significant activities, including the following areas of its business:</w:t>
      </w:r>
    </w:p>
    <w:p>
      <w:pPr>
        <w:numPr>
          <w:ilvl w:val="0"/>
          <w:numId w:val="923"/>
        </w:numPr>
        <w:spacing w:before="200"/>
        <w:ind w:left="720" w:hanging="192"/>
        <w:jc w:val="left"/>
        <w:rPr>
          <w:rFonts w:eastAsia="Arial" w:cs="Arial"/>
          <w:sz w:val="20"/>
          <w:szCs w:val="20"/>
        </w:rPr>
      </w:pPr>
      <w:r>
        <w:rPr>
          <w:rFonts w:eastAsia="Arial" w:cs="Arial"/>
          <w:sz w:val="20"/>
          <w:szCs w:val="20"/>
        </w:rPr>
        <w:t>Investment Management</w:t>
      </w:r>
    </w:p>
    <w:p>
      <w:pPr>
        <w:numPr>
          <w:ilvl w:val="0"/>
          <w:numId w:val="923"/>
        </w:numPr>
        <w:ind w:left="720" w:hanging="192"/>
        <w:jc w:val="left"/>
        <w:rPr>
          <w:rFonts w:eastAsia="Arial" w:cs="Arial"/>
          <w:sz w:val="20"/>
          <w:szCs w:val="20"/>
        </w:rPr>
      </w:pPr>
      <w:r>
        <w:rPr>
          <w:rFonts w:eastAsia="Arial" w:cs="Arial"/>
          <w:sz w:val="20"/>
          <w:szCs w:val="20"/>
        </w:rPr>
        <w:t>Trading (including best execution, cross trading and trade allocation)</w:t>
      </w:r>
    </w:p>
    <w:p>
      <w:pPr>
        <w:numPr>
          <w:ilvl w:val="0"/>
          <w:numId w:val="923"/>
        </w:numPr>
        <w:ind w:left="720" w:hanging="192"/>
        <w:jc w:val="left"/>
        <w:rPr>
          <w:rFonts w:eastAsia="Arial" w:cs="Arial"/>
          <w:sz w:val="20"/>
          <w:szCs w:val="20"/>
        </w:rPr>
      </w:pPr>
      <w:r>
        <w:rPr>
          <w:rFonts w:eastAsia="Arial" w:cs="Arial"/>
          <w:sz w:val="20"/>
          <w:szCs w:val="20"/>
        </w:rPr>
        <w:t>Research</w:t>
      </w:r>
    </w:p>
    <w:p>
      <w:pPr>
        <w:numPr>
          <w:ilvl w:val="0"/>
          <w:numId w:val="923"/>
        </w:numPr>
        <w:ind w:left="720" w:hanging="192"/>
        <w:jc w:val="left"/>
        <w:rPr>
          <w:rFonts w:eastAsia="Arial" w:cs="Arial"/>
          <w:sz w:val="20"/>
          <w:szCs w:val="20"/>
        </w:rPr>
      </w:pPr>
      <w:r>
        <w:rPr>
          <w:rFonts w:eastAsia="Arial" w:cs="Arial"/>
          <w:sz w:val="20"/>
          <w:szCs w:val="20"/>
        </w:rPr>
        <w:t>Back Office or Account Administration (including operations and systems)</w:t>
      </w:r>
    </w:p>
    <w:p>
      <w:pPr>
        <w:numPr>
          <w:ilvl w:val="0"/>
          <w:numId w:val="923"/>
        </w:numPr>
        <w:ind w:left="720" w:hanging="192"/>
        <w:jc w:val="left"/>
        <w:rPr>
          <w:rFonts w:eastAsia="Arial" w:cs="Arial"/>
          <w:sz w:val="20"/>
          <w:szCs w:val="20"/>
        </w:rPr>
      </w:pPr>
      <w:r>
        <w:rPr>
          <w:rFonts w:eastAsia="Arial" w:cs="Arial"/>
          <w:sz w:val="20"/>
          <w:szCs w:val="20"/>
        </w:rPr>
        <w:t>Marketing (including performance composite calculation)</w:t>
      </w:r>
    </w:p>
    <w:p>
      <w:pPr>
        <w:numPr>
          <w:ilvl w:val="0"/>
          <w:numId w:val="923"/>
        </w:numPr>
        <w:ind w:left="720" w:hanging="192"/>
        <w:jc w:val="left"/>
        <w:rPr>
          <w:rFonts w:eastAsia="Arial" w:cs="Arial"/>
          <w:sz w:val="20"/>
          <w:szCs w:val="20"/>
        </w:rPr>
      </w:pPr>
      <w:r>
        <w:rPr>
          <w:rFonts w:eastAsia="Arial" w:cs="Arial"/>
          <w:sz w:val="20"/>
          <w:szCs w:val="20"/>
        </w:rPr>
        <w:t>Insider Trading</w:t>
      </w:r>
    </w:p>
    <w:p>
      <w:pPr>
        <w:numPr>
          <w:ilvl w:val="0"/>
          <w:numId w:val="923"/>
        </w:numPr>
        <w:ind w:left="720" w:hanging="192"/>
        <w:jc w:val="left"/>
        <w:rPr>
          <w:rFonts w:eastAsia="Arial" w:cs="Arial"/>
          <w:sz w:val="20"/>
          <w:szCs w:val="20"/>
        </w:rPr>
      </w:pPr>
      <w:r>
        <w:rPr>
          <w:rFonts w:eastAsia="Arial" w:cs="Arial"/>
          <w:sz w:val="20"/>
          <w:szCs w:val="20"/>
        </w:rPr>
        <w:t>Privacy of Client Information (including verification of their identity, complaints, communications, and meeting objectives)</w:t>
      </w:r>
    </w:p>
    <w:p>
      <w:pPr>
        <w:numPr>
          <w:ilvl w:val="0"/>
          <w:numId w:val="923"/>
        </w:numPr>
        <w:ind w:left="720" w:hanging="192"/>
        <w:jc w:val="left"/>
        <w:rPr>
          <w:rFonts w:eastAsia="Arial" w:cs="Arial"/>
          <w:sz w:val="20"/>
          <w:szCs w:val="20"/>
        </w:rPr>
      </w:pPr>
      <w:r>
        <w:rPr>
          <w:rFonts w:eastAsia="Arial" w:cs="Arial"/>
          <w:sz w:val="20"/>
          <w:szCs w:val="20"/>
        </w:rPr>
        <w:t>Custody</w:t>
      </w:r>
    </w:p>
    <w:p>
      <w:pPr>
        <w:numPr>
          <w:ilvl w:val="0"/>
          <w:numId w:val="923"/>
        </w:numPr>
        <w:ind w:left="720" w:hanging="192"/>
        <w:jc w:val="left"/>
        <w:rPr>
          <w:rFonts w:eastAsia="Arial" w:cs="Arial"/>
          <w:sz w:val="20"/>
          <w:szCs w:val="20"/>
        </w:rPr>
      </w:pPr>
      <w:r>
        <w:rPr>
          <w:rFonts w:eastAsia="Arial" w:cs="Arial"/>
          <w:sz w:val="20"/>
          <w:szCs w:val="20"/>
        </w:rPr>
        <w:t>Fees (including accuracy of fee calculations)</w:t>
      </w:r>
    </w:p>
    <w:p>
      <w:pPr>
        <w:numPr>
          <w:ilvl w:val="0"/>
          <w:numId w:val="923"/>
        </w:numPr>
        <w:ind w:left="720" w:hanging="192"/>
        <w:jc w:val="left"/>
        <w:rPr>
          <w:rFonts w:eastAsia="Arial" w:cs="Arial"/>
          <w:sz w:val="20"/>
          <w:szCs w:val="20"/>
        </w:rPr>
      </w:pPr>
      <w:r>
        <w:rPr>
          <w:rFonts w:eastAsia="Arial" w:cs="Arial"/>
          <w:sz w:val="20"/>
          <w:szCs w:val="20"/>
        </w:rPr>
        <w:t>Disclosure (including accuracy of Form ADV)</w:t>
      </w:r>
    </w:p>
    <w:p>
      <w:pPr>
        <w:numPr>
          <w:ilvl w:val="0"/>
          <w:numId w:val="923"/>
        </w:numPr>
        <w:ind w:left="720" w:hanging="192"/>
        <w:jc w:val="left"/>
        <w:rPr>
          <w:rFonts w:eastAsia="Arial" w:cs="Arial"/>
          <w:sz w:val="20"/>
          <w:szCs w:val="20"/>
        </w:rPr>
      </w:pPr>
      <w:r>
        <w:rPr>
          <w:rFonts w:eastAsia="Arial" w:cs="Arial"/>
          <w:sz w:val="20"/>
          <w:szCs w:val="20"/>
        </w:rPr>
        <w:t xml:space="preserve">Information and Computer Systems (including maintenance of privacy of client information) </w:t>
      </w:r>
    </w:p>
    <w:p>
      <w:pPr>
        <w:numPr>
          <w:ilvl w:val="0"/>
          <w:numId w:val="923"/>
        </w:numPr>
        <w:ind w:left="720" w:hanging="192"/>
        <w:jc w:val="left"/>
        <w:rPr>
          <w:rFonts w:eastAsia="Arial" w:cs="Arial"/>
          <w:sz w:val="20"/>
          <w:szCs w:val="20"/>
        </w:rPr>
      </w:pPr>
      <w:r>
        <w:rPr>
          <w:rFonts w:eastAsia="Arial" w:cs="Arial"/>
          <w:sz w:val="20"/>
          <w:szCs w:val="20"/>
        </w:rPr>
        <w:t>Relationship with Third Party Vendors (e.g., broker-dealers) and Financial Product Providers (e.g., mutual funds and their distributors)</w:t>
      </w:r>
    </w:p>
    <w:p>
      <w:pPr>
        <w:numPr>
          <w:ilvl w:val="0"/>
          <w:numId w:val="923"/>
        </w:numPr>
        <w:ind w:left="720" w:hanging="192"/>
        <w:jc w:val="left"/>
        <w:rPr>
          <w:rFonts w:eastAsia="Arial" w:cs="Arial"/>
          <w:sz w:val="20"/>
          <w:szCs w:val="20"/>
        </w:rPr>
      </w:pPr>
      <w:r>
        <w:rPr>
          <w:rFonts w:eastAsia="Arial" w:cs="Arial"/>
          <w:sz w:val="20"/>
          <w:szCs w:val="20"/>
        </w:rPr>
        <w:t>Firm personnel (including background checks)</w:t>
      </w:r>
    </w:p>
    <w:p>
      <w:pPr>
        <w:numPr>
          <w:ilvl w:val="0"/>
          <w:numId w:val="923"/>
        </w:numPr>
        <w:ind w:left="720" w:hanging="192"/>
        <w:jc w:val="left"/>
        <w:rPr>
          <w:rFonts w:eastAsia="Arial" w:cs="Arial"/>
          <w:sz w:val="20"/>
          <w:szCs w:val="20"/>
        </w:rPr>
      </w:pPr>
      <w:r>
        <w:rPr>
          <w:rFonts w:eastAsia="Arial" w:cs="Arial"/>
          <w:sz w:val="20"/>
          <w:szCs w:val="20"/>
        </w:rPr>
        <w:t>Third-Party (finder) payments</w:t>
      </w:r>
    </w:p>
    <w:p>
      <w:pPr>
        <w:numPr>
          <w:ilvl w:val="0"/>
          <w:numId w:val="923"/>
        </w:numPr>
        <w:ind w:left="720" w:hanging="192"/>
        <w:jc w:val="left"/>
        <w:rPr>
          <w:rFonts w:eastAsia="Arial" w:cs="Arial"/>
          <w:sz w:val="20"/>
          <w:szCs w:val="20"/>
        </w:rPr>
      </w:pPr>
      <w:r>
        <w:rPr>
          <w:rFonts w:eastAsia="Arial" w:cs="Arial"/>
          <w:sz w:val="20"/>
          <w:szCs w:val="20"/>
        </w:rPr>
        <w:t>Fraud</w:t>
      </w:r>
    </w:p>
    <w:p>
      <w:pPr>
        <w:numPr>
          <w:ilvl w:val="0"/>
          <w:numId w:val="923"/>
        </w:numPr>
        <w:ind w:left="720" w:hanging="192"/>
        <w:jc w:val="left"/>
        <w:rPr>
          <w:rFonts w:eastAsia="Arial" w:cs="Arial"/>
          <w:sz w:val="20"/>
          <w:szCs w:val="20"/>
        </w:rPr>
      </w:pPr>
      <w:r>
        <w:rPr>
          <w:rFonts w:eastAsia="Arial" w:cs="Arial"/>
          <w:sz w:val="20"/>
          <w:szCs w:val="20"/>
        </w:rPr>
        <w:t>Reputation</w:t>
      </w:r>
    </w:p>
    <w:p>
      <w:pPr>
        <w:numPr>
          <w:ilvl w:val="0"/>
          <w:numId w:val="923"/>
        </w:numPr>
        <w:ind w:left="720" w:hanging="192"/>
        <w:jc w:val="left"/>
        <w:rPr>
          <w:rFonts w:eastAsia="Arial" w:cs="Arial"/>
          <w:sz w:val="20"/>
          <w:szCs w:val="20"/>
        </w:rPr>
      </w:pPr>
      <w:r>
        <w:rPr>
          <w:rFonts w:eastAsia="Arial" w:cs="Arial"/>
          <w:sz w:val="20"/>
          <w:szCs w:val="20"/>
        </w:rPr>
        <w:t>Conflicts of Interest</w:t>
      </w:r>
    </w:p>
    <w:p>
      <w:pPr>
        <w:numPr>
          <w:ilvl w:val="0"/>
          <w:numId w:val="923"/>
        </w:numPr>
        <w:ind w:left="720" w:hanging="192"/>
        <w:jc w:val="left"/>
        <w:rPr>
          <w:rFonts w:eastAsia="Arial" w:cs="Arial"/>
          <w:sz w:val="20"/>
          <w:szCs w:val="20"/>
        </w:rPr>
      </w:pPr>
      <w:r>
        <w:rPr>
          <w:rFonts w:eastAsia="Arial" w:cs="Arial"/>
          <w:sz w:val="20"/>
          <w:szCs w:val="20"/>
        </w:rPr>
        <w:t>Market Volatility</w:t>
      </w:r>
    </w:p>
    <w:p>
      <w:pPr>
        <w:numPr>
          <w:ilvl w:val="0"/>
          <w:numId w:val="923"/>
        </w:numPr>
        <w:ind w:left="720" w:hanging="192"/>
        <w:jc w:val="left"/>
        <w:rPr>
          <w:rFonts w:eastAsia="Arial" w:cs="Arial"/>
          <w:sz w:val="20"/>
          <w:szCs w:val="20"/>
        </w:rPr>
      </w:pPr>
      <w:r>
        <w:rPr>
          <w:rFonts w:eastAsia="Arial" w:cs="Arial"/>
          <w:sz w:val="20"/>
          <w:szCs w:val="20"/>
        </w:rPr>
        <w:t>Loss of Key Personnel</w:t>
      </w:r>
    </w:p>
    <w:p>
      <w:pPr>
        <w:numPr>
          <w:ilvl w:val="0"/>
          <w:numId w:val="923"/>
        </w:numPr>
        <w:ind w:left="720" w:hanging="192"/>
        <w:jc w:val="left"/>
        <w:rPr>
          <w:rFonts w:eastAsia="Arial" w:cs="Arial"/>
          <w:sz w:val="20"/>
          <w:szCs w:val="20"/>
        </w:rPr>
      </w:pPr>
      <w:r>
        <w:rPr>
          <w:rFonts w:eastAsia="Arial" w:cs="Arial"/>
          <w:sz w:val="20"/>
          <w:szCs w:val="20"/>
        </w:rPr>
        <w:t>Incorrect Valuation of Portfolio Holdings</w:t>
      </w:r>
    </w:p>
    <w:p>
      <w:pPr>
        <w:numPr>
          <w:ilvl w:val="0"/>
          <w:numId w:val="923"/>
        </w:numPr>
        <w:ind w:left="720" w:hanging="192"/>
        <w:jc w:val="left"/>
        <w:rPr>
          <w:rFonts w:eastAsia="Arial" w:cs="Arial"/>
          <w:sz w:val="20"/>
          <w:szCs w:val="20"/>
        </w:rPr>
      </w:pPr>
      <w:r>
        <w:rPr>
          <w:rFonts w:eastAsia="Arial" w:cs="Arial"/>
          <w:sz w:val="20"/>
          <w:szCs w:val="20"/>
        </w:rPr>
        <w:t>Improper Disclosure</w:t>
      </w:r>
    </w:p>
    <w:p>
      <w:pPr>
        <w:numPr>
          <w:ilvl w:val="0"/>
          <w:numId w:val="923"/>
        </w:numPr>
        <w:ind w:left="720" w:hanging="192"/>
        <w:jc w:val="left"/>
        <w:rPr>
          <w:rFonts w:eastAsia="Arial" w:cs="Arial"/>
          <w:sz w:val="20"/>
          <w:szCs w:val="20"/>
        </w:rPr>
      </w:pPr>
      <w:r>
        <w:rPr>
          <w:rFonts w:eastAsia="Arial" w:cs="Arial"/>
          <w:sz w:val="20"/>
          <w:szCs w:val="20"/>
        </w:rPr>
        <w:t>Vendor Errors</w:t>
      </w:r>
    </w:p>
    <w:p>
      <w:pPr>
        <w:numPr>
          <w:ilvl w:val="0"/>
          <w:numId w:val="923"/>
        </w:numPr>
        <w:spacing w:after="200"/>
        <w:ind w:left="720" w:hanging="192"/>
        <w:jc w:val="left"/>
        <w:rPr>
          <w:rFonts w:eastAsia="Arial" w:cs="Arial"/>
          <w:sz w:val="20"/>
          <w:szCs w:val="20"/>
        </w:rPr>
      </w:pPr>
      <w:r>
        <w:rPr>
          <w:rFonts w:eastAsia="Arial" w:cs="Arial"/>
          <w:sz w:val="20"/>
          <w:szCs w:val="20"/>
        </w:rPr>
        <w:t>Deviation from Client Objectives, including Investment Restrictions</w:t>
      </w:r>
    </w:p>
    <w:p>
      <w:pPr>
        <w:pStyle w:val="normal0"/>
        <w:spacing w:before="200" w:after="200"/>
        <w:rPr>
          <w:rFonts w:eastAsia="Arial" w:cs="Arial"/>
          <w:sz w:val="20"/>
          <w:szCs w:val="20"/>
        </w:rPr>
      </w:pPr>
      <w:r>
        <w:rPr>
          <w:rFonts w:eastAsia="Arial" w:cs="Arial"/>
          <w:sz w:val="20"/>
          <w:szCs w:val="20"/>
        </w:rPr>
        <w:t>Second, KCD will flag areas of potential risk with respect to the activities identified.</w:t>
      </w:r>
    </w:p>
    <w:p>
      <w:pPr>
        <w:pStyle w:val="normal0"/>
        <w:spacing w:before="200" w:after="200"/>
        <w:rPr>
          <w:rFonts w:eastAsia="Arial" w:cs="Arial"/>
          <w:sz w:val="20"/>
          <w:szCs w:val="20"/>
        </w:rPr>
      </w:pPr>
      <w:r>
        <w:rPr>
          <w:rFonts w:eastAsia="Arial" w:cs="Arial"/>
          <w:sz w:val="20"/>
          <w:szCs w:val="20"/>
        </w:rPr>
        <w:t xml:space="preserve">Third, KCD will rate each area of risk. When rating a particular risk, KCD will consider the following factors: </w:t>
      </w:r>
    </w:p>
    <w:p>
      <w:pPr>
        <w:numPr>
          <w:ilvl w:val="0"/>
          <w:numId w:val="924"/>
        </w:numPr>
        <w:spacing w:before="200"/>
        <w:ind w:left="720" w:hanging="192"/>
        <w:jc w:val="left"/>
        <w:rPr>
          <w:rFonts w:eastAsia="Arial" w:cs="Arial"/>
          <w:sz w:val="20"/>
          <w:szCs w:val="20"/>
        </w:rPr>
      </w:pPr>
      <w:r>
        <w:rPr>
          <w:rFonts w:eastAsia="Arial" w:cs="Arial"/>
          <w:sz w:val="20"/>
          <w:szCs w:val="20"/>
        </w:rPr>
        <w:t>How susceptible the activity is to conflicts of interest;</w:t>
      </w:r>
    </w:p>
    <w:p>
      <w:pPr>
        <w:numPr>
          <w:ilvl w:val="0"/>
          <w:numId w:val="924"/>
        </w:numPr>
        <w:ind w:left="720" w:hanging="192"/>
        <w:jc w:val="left"/>
        <w:rPr>
          <w:rFonts w:eastAsia="Arial" w:cs="Arial"/>
          <w:sz w:val="20"/>
          <w:szCs w:val="20"/>
        </w:rPr>
      </w:pPr>
      <w:r>
        <w:rPr>
          <w:rFonts w:eastAsia="Arial" w:cs="Arial"/>
          <w:sz w:val="20"/>
          <w:szCs w:val="20"/>
        </w:rPr>
        <w:t>Any changes in KCD's business;</w:t>
      </w:r>
    </w:p>
    <w:p>
      <w:pPr>
        <w:numPr>
          <w:ilvl w:val="0"/>
          <w:numId w:val="924"/>
        </w:numPr>
        <w:ind w:left="720" w:hanging="192"/>
        <w:jc w:val="left"/>
        <w:rPr>
          <w:rFonts w:eastAsia="Arial" w:cs="Arial"/>
          <w:sz w:val="20"/>
          <w:szCs w:val="20"/>
        </w:rPr>
      </w:pPr>
      <w:r>
        <w:rPr>
          <w:rFonts w:eastAsia="Arial" w:cs="Arial"/>
          <w:sz w:val="20"/>
          <w:szCs w:val="20"/>
        </w:rPr>
        <w:t>Any new or revised SEC or other regulations applicable to the risk being assessed;</w:t>
      </w:r>
    </w:p>
    <w:p>
      <w:pPr>
        <w:numPr>
          <w:ilvl w:val="0"/>
          <w:numId w:val="924"/>
        </w:numPr>
        <w:ind w:left="720" w:hanging="192"/>
        <w:jc w:val="left"/>
        <w:rPr>
          <w:rFonts w:eastAsia="Arial" w:cs="Arial"/>
          <w:sz w:val="20"/>
          <w:szCs w:val="20"/>
        </w:rPr>
      </w:pPr>
      <w:r>
        <w:rPr>
          <w:rFonts w:eastAsia="Arial" w:cs="Arial"/>
          <w:sz w:val="20"/>
          <w:szCs w:val="20"/>
        </w:rPr>
        <w:t>Testing performed related to the risk regarding the present procedures designed to mitigate the risk;</w:t>
      </w:r>
    </w:p>
    <w:p>
      <w:pPr>
        <w:numPr>
          <w:ilvl w:val="0"/>
          <w:numId w:val="924"/>
        </w:numPr>
        <w:ind w:left="720" w:hanging="192"/>
        <w:jc w:val="left"/>
        <w:rPr>
          <w:rFonts w:eastAsia="Arial" w:cs="Arial"/>
          <w:sz w:val="20"/>
          <w:szCs w:val="20"/>
        </w:rPr>
      </w:pPr>
      <w:r>
        <w:rPr>
          <w:rFonts w:eastAsia="Arial" w:cs="Arial"/>
          <w:sz w:val="20"/>
          <w:szCs w:val="20"/>
        </w:rPr>
        <w:t>Any controls in place to mitigate the risk, and, if so, the effectiveness of the controls;</w:t>
      </w:r>
    </w:p>
    <w:p>
      <w:pPr>
        <w:numPr>
          <w:ilvl w:val="0"/>
          <w:numId w:val="924"/>
        </w:numPr>
        <w:ind w:left="720" w:hanging="192"/>
        <w:jc w:val="left"/>
        <w:rPr>
          <w:rFonts w:eastAsia="Arial" w:cs="Arial"/>
          <w:sz w:val="20"/>
          <w:szCs w:val="20"/>
        </w:rPr>
      </w:pPr>
      <w:r>
        <w:rPr>
          <w:rFonts w:eastAsia="Arial" w:cs="Arial"/>
          <w:sz w:val="20"/>
          <w:szCs w:val="20"/>
        </w:rPr>
        <w:t>Whether the CCO, the SEC or other inspecting regulatory body has found deficiencies in that particular area; and</w:t>
      </w:r>
    </w:p>
    <w:p>
      <w:pPr>
        <w:numPr>
          <w:ilvl w:val="0"/>
          <w:numId w:val="924"/>
        </w:numPr>
        <w:spacing w:after="200"/>
        <w:ind w:left="720" w:hanging="192"/>
        <w:jc w:val="left"/>
        <w:rPr>
          <w:rFonts w:eastAsia="Arial" w:cs="Arial"/>
          <w:sz w:val="20"/>
          <w:szCs w:val="20"/>
        </w:rPr>
      </w:pPr>
      <w:r>
        <w:rPr>
          <w:rFonts w:eastAsia="Arial" w:cs="Arial"/>
          <w:sz w:val="20"/>
          <w:szCs w:val="20"/>
        </w:rPr>
        <w:t>Whether the activity is a new area of business, including a new product line.</w:t>
      </w:r>
    </w:p>
    <w:p>
      <w:pPr>
        <w:pStyle w:val="normal0"/>
        <w:spacing w:before="200" w:after="200"/>
        <w:rPr>
          <w:rFonts w:eastAsia="Arial" w:cs="Arial"/>
          <w:sz w:val="20"/>
          <w:szCs w:val="20"/>
        </w:rPr>
      </w:pPr>
      <w:r>
        <w:rPr>
          <w:rFonts w:eastAsia="Arial" w:cs="Arial"/>
          <w:sz w:val="20"/>
          <w:szCs w:val="20"/>
        </w:rPr>
        <w:t>Fourth, KCD will log each particular risk assessment including the date and the name of the reviewer.</w:t>
      </w:r>
    </w:p>
    <w:p>
      <w:pPr>
        <w:pStyle w:val="normal0"/>
        <w:spacing w:before="200" w:after="200"/>
        <w:rPr>
          <w:rFonts w:eastAsia="Arial" w:cs="Arial"/>
          <w:sz w:val="20"/>
          <w:szCs w:val="20"/>
        </w:rPr>
      </w:pPr>
      <w:r>
        <w:rPr>
          <w:rFonts w:eastAsia="Arial" w:cs="Arial"/>
          <w:sz w:val="20"/>
          <w:szCs w:val="20"/>
        </w:rPr>
        <w:t>Fifth, KCD after performing the above analysis will recommend any new procedures or modifications to existing procedures or training to address the activity presenting the risk or heightened risk.</w:t>
      </w:r>
    </w:p>
    <w:p>
      <w:bookmarkEnd w:id="1090"/>
      <w:bookmarkStart w:id="1092" w:name="Sec_Chp_061016102246187_061016102246880"/>
    </w:p>
    <w:p>
      <w:pPr>
        <w:pStyle w:val="Heading3"/>
      </w:pPr>
      <w:bookmarkStart w:id="1093" w:name="_Toc256000284"/>
      <w:r>
        <w:t>14.3.14 CCO-CEO Communications</w:t>
      </w:r>
      <w:bookmarkEnd w:id="1093"/>
      <w:r>
        <w:t xml:space="preserve"> </w:t>
      </w:r>
    </w:p>
    <w:p/>
    <w:p>
      <w:pPr>
        <w:rPr>
          <w:rFonts w:eastAsia="Arial" w:cs="Arial"/>
          <w:sz w:val="16"/>
          <w:szCs w:val="16"/>
        </w:rPr>
      </w:pPr>
    </w:p>
    <w:p>
      <w:pPr>
        <w:pStyle w:val="normal0"/>
        <w:spacing w:after="200"/>
        <w:rPr>
          <w:rFonts w:eastAsia="Arial" w:cs="Arial"/>
          <w:sz w:val="20"/>
          <w:szCs w:val="20"/>
        </w:rPr>
      </w:pPr>
      <w:r>
        <w:rPr>
          <w:rFonts w:eastAsia="Arial" w:cs="Arial"/>
          <w:sz w:val="20"/>
          <w:szCs w:val="20"/>
        </w:rPr>
        <w:t>The Chief Compliance Officer shall:</w:t>
      </w:r>
    </w:p>
    <w:p>
      <w:pPr>
        <w:numPr>
          <w:ilvl w:val="0"/>
          <w:numId w:val="925"/>
        </w:numPr>
        <w:spacing w:before="200"/>
        <w:ind w:left="720" w:hanging="192"/>
        <w:jc w:val="left"/>
        <w:rPr>
          <w:rFonts w:eastAsia="Arial" w:cs="Arial"/>
          <w:sz w:val="20"/>
          <w:szCs w:val="20"/>
        </w:rPr>
      </w:pPr>
      <w:r>
        <w:rPr>
          <w:rFonts w:eastAsia="Arial" w:cs="Arial"/>
          <w:sz w:val="20"/>
          <w:szCs w:val="20"/>
        </w:rPr>
        <w:t xml:space="preserve">Send KCD's annual compliance report to the chief executive officer (CEO) of KCD; </w:t>
      </w:r>
    </w:p>
    <w:p>
      <w:pPr>
        <w:numPr>
          <w:ilvl w:val="0"/>
          <w:numId w:val="925"/>
        </w:numPr>
        <w:ind w:left="720" w:hanging="192"/>
        <w:jc w:val="left"/>
        <w:rPr>
          <w:rFonts w:eastAsia="Arial" w:cs="Arial"/>
          <w:sz w:val="20"/>
          <w:szCs w:val="20"/>
        </w:rPr>
      </w:pPr>
      <w:r>
        <w:rPr>
          <w:rFonts w:eastAsia="Arial" w:cs="Arial"/>
          <w:sz w:val="20"/>
          <w:szCs w:val="20"/>
        </w:rPr>
        <w:t>Meet with the CEO to discuss the annual compliance report and discuss with the CEO, at a minimum, the following:</w:t>
      </w:r>
    </w:p>
    <w:p>
      <w:pPr>
        <w:numPr>
          <w:ilvl w:val="1"/>
          <w:numId w:val="925"/>
        </w:numPr>
        <w:ind w:left="1440" w:hanging="220"/>
        <w:jc w:val="left"/>
        <w:rPr>
          <w:rFonts w:eastAsia="Arial" w:cs="Arial"/>
          <w:sz w:val="20"/>
          <w:szCs w:val="20"/>
        </w:rPr>
      </w:pPr>
      <w:r>
        <w:rPr>
          <w:rFonts w:eastAsia="Arial" w:cs="Arial"/>
          <w:sz w:val="20"/>
          <w:szCs w:val="20"/>
        </w:rPr>
        <w:t>Status of compliance policies and procedures;</w:t>
      </w:r>
    </w:p>
    <w:p>
      <w:pPr>
        <w:numPr>
          <w:ilvl w:val="1"/>
          <w:numId w:val="925"/>
        </w:numPr>
        <w:ind w:left="1440" w:hanging="220"/>
        <w:jc w:val="left"/>
        <w:rPr>
          <w:rFonts w:eastAsia="Arial" w:cs="Arial"/>
          <w:sz w:val="20"/>
          <w:szCs w:val="20"/>
        </w:rPr>
      </w:pPr>
      <w:r>
        <w:rPr>
          <w:rFonts w:eastAsia="Arial" w:cs="Arial"/>
          <w:sz w:val="20"/>
          <w:szCs w:val="20"/>
        </w:rPr>
        <w:t xml:space="preserve">Modifications to policies and procedures; </w:t>
      </w:r>
    </w:p>
    <w:p>
      <w:pPr>
        <w:numPr>
          <w:ilvl w:val="1"/>
          <w:numId w:val="925"/>
        </w:numPr>
        <w:ind w:left="1440" w:hanging="220"/>
        <w:jc w:val="left"/>
        <w:rPr>
          <w:rFonts w:eastAsia="Arial" w:cs="Arial"/>
          <w:sz w:val="20"/>
          <w:szCs w:val="20"/>
        </w:rPr>
      </w:pPr>
      <w:r>
        <w:rPr>
          <w:rFonts w:eastAsia="Arial" w:cs="Arial"/>
          <w:sz w:val="20"/>
          <w:szCs w:val="20"/>
        </w:rPr>
        <w:t xml:space="preserve">Testing of effectiveness of policies and procedures; </w:t>
      </w:r>
    </w:p>
    <w:p>
      <w:pPr>
        <w:numPr>
          <w:ilvl w:val="1"/>
          <w:numId w:val="925"/>
        </w:numPr>
        <w:ind w:left="1440" w:hanging="220"/>
        <w:jc w:val="left"/>
        <w:rPr>
          <w:rFonts w:eastAsia="Arial" w:cs="Arial"/>
          <w:sz w:val="20"/>
          <w:szCs w:val="20"/>
        </w:rPr>
      </w:pPr>
      <w:r>
        <w:rPr>
          <w:rFonts w:eastAsia="Arial" w:cs="Arial"/>
          <w:sz w:val="20"/>
          <w:szCs w:val="20"/>
        </w:rPr>
        <w:t xml:space="preserve">Concerns the Chief Compliance Officer has about compliance supervisory system; and </w:t>
      </w:r>
    </w:p>
    <w:p>
      <w:pPr>
        <w:numPr>
          <w:ilvl w:val="1"/>
          <w:numId w:val="925"/>
        </w:numPr>
        <w:spacing w:after="200"/>
        <w:ind w:left="1440" w:hanging="220"/>
        <w:jc w:val="left"/>
        <w:rPr>
          <w:rFonts w:eastAsia="Arial" w:cs="Arial"/>
          <w:sz w:val="20"/>
          <w:szCs w:val="20"/>
        </w:rPr>
      </w:pPr>
      <w:r>
        <w:rPr>
          <w:rFonts w:eastAsia="Arial" w:cs="Arial"/>
          <w:sz w:val="20"/>
          <w:szCs w:val="20"/>
        </w:rPr>
        <w:t>Specific recommendations to improve KCD's compliance program.</w:t>
      </w:r>
    </w:p>
    <w:p>
      <w:bookmarkEnd w:id="1092"/>
      <w:bookmarkStart w:id="1094" w:name="Sec_Chp_061016102246187_061016102246883"/>
    </w:p>
    <w:p>
      <w:pPr>
        <w:pStyle w:val="Heading3"/>
      </w:pPr>
      <w:bookmarkStart w:id="1095" w:name="_Toc256000285"/>
      <w:r>
        <w:t>14.3.15 Amendments to Compliance Procedures</w:t>
      </w:r>
      <w:bookmarkEnd w:id="1095"/>
    </w:p>
    <w:p/>
    <w:p>
      <w:pPr>
        <w:rPr>
          <w:rFonts w:eastAsia="Arial" w:cs="Arial"/>
          <w:sz w:val="16"/>
          <w:szCs w:val="16"/>
        </w:rPr>
      </w:pPr>
    </w:p>
    <w:p>
      <w:pPr>
        <w:pStyle w:val="normal0"/>
        <w:spacing w:after="200"/>
        <w:rPr>
          <w:rFonts w:eastAsia="Arial" w:cs="Arial"/>
          <w:sz w:val="20"/>
          <w:szCs w:val="20"/>
        </w:rPr>
      </w:pPr>
      <w:r>
        <w:rPr>
          <w:rFonts w:eastAsia="Arial" w:cs="Arial"/>
          <w:sz w:val="20"/>
          <w:szCs w:val="20"/>
        </w:rPr>
        <w:t>Based upon the annual compliance review, the Chief Compliance Officer shall formulate and prepare specific changes to the compliance procedures of KCD. The Chief Compliance Officer shall:</w:t>
      </w:r>
    </w:p>
    <w:p>
      <w:pPr>
        <w:numPr>
          <w:ilvl w:val="0"/>
          <w:numId w:val="926"/>
        </w:numPr>
        <w:spacing w:before="200"/>
        <w:ind w:left="720" w:hanging="192"/>
        <w:jc w:val="left"/>
        <w:rPr>
          <w:rFonts w:eastAsia="Arial" w:cs="Arial"/>
          <w:sz w:val="20"/>
          <w:szCs w:val="20"/>
        </w:rPr>
      </w:pPr>
      <w:r>
        <w:rPr>
          <w:rFonts w:eastAsia="Arial" w:cs="Arial"/>
          <w:sz w:val="20"/>
          <w:szCs w:val="20"/>
        </w:rPr>
        <w:t>Periodically review this Compliance Manual for necessary updates and inaccuracies including for outdated information, such as references to entities no longer in existence and personnel that have changed roles and responsibilities;</w:t>
      </w:r>
    </w:p>
    <w:p>
      <w:pPr>
        <w:numPr>
          <w:ilvl w:val="0"/>
          <w:numId w:val="926"/>
        </w:numPr>
        <w:ind w:left="720" w:hanging="192"/>
        <w:jc w:val="left"/>
        <w:rPr>
          <w:rFonts w:eastAsia="Arial" w:cs="Arial"/>
          <w:sz w:val="20"/>
          <w:szCs w:val="20"/>
        </w:rPr>
      </w:pPr>
      <w:r>
        <w:rPr>
          <w:rFonts w:eastAsia="Arial" w:cs="Arial"/>
          <w:sz w:val="20"/>
          <w:szCs w:val="20"/>
        </w:rPr>
        <w:t xml:space="preserve">Issue updates to relevant officers and employees that describe the changes and includes the revised sections; </w:t>
      </w:r>
    </w:p>
    <w:p>
      <w:pPr>
        <w:numPr>
          <w:ilvl w:val="0"/>
          <w:numId w:val="926"/>
        </w:numPr>
        <w:ind w:left="720" w:hanging="192"/>
        <w:jc w:val="left"/>
        <w:rPr>
          <w:rFonts w:eastAsia="Arial" w:cs="Arial"/>
          <w:sz w:val="20"/>
          <w:szCs w:val="20"/>
        </w:rPr>
      </w:pPr>
      <w:r>
        <w:rPr>
          <w:rFonts w:eastAsia="Arial" w:cs="Arial"/>
          <w:sz w:val="20"/>
          <w:szCs w:val="20"/>
        </w:rPr>
        <w:t xml:space="preserve">Disseminate updates; </w:t>
      </w:r>
    </w:p>
    <w:p>
      <w:pPr>
        <w:numPr>
          <w:ilvl w:val="0"/>
          <w:numId w:val="926"/>
        </w:numPr>
        <w:ind w:left="720" w:hanging="192"/>
        <w:jc w:val="left"/>
        <w:rPr>
          <w:rFonts w:eastAsia="Arial" w:cs="Arial"/>
          <w:sz w:val="20"/>
          <w:szCs w:val="20"/>
        </w:rPr>
      </w:pPr>
      <w:r>
        <w:rPr>
          <w:rFonts w:eastAsia="Arial" w:cs="Arial"/>
          <w:sz w:val="20"/>
          <w:szCs w:val="20"/>
        </w:rPr>
        <w:t xml:space="preserve">Maintain logs of compliance updates and disseminated updates; and </w:t>
      </w:r>
    </w:p>
    <w:p>
      <w:pPr>
        <w:numPr>
          <w:ilvl w:val="0"/>
          <w:numId w:val="926"/>
        </w:numPr>
        <w:spacing w:after="200"/>
        <w:ind w:left="720" w:hanging="192"/>
        <w:jc w:val="left"/>
        <w:rPr>
          <w:rFonts w:eastAsia="Arial" w:cs="Arial"/>
          <w:sz w:val="20"/>
          <w:szCs w:val="20"/>
        </w:rPr>
      </w:pPr>
      <w:r>
        <w:rPr>
          <w:rFonts w:eastAsia="Arial" w:cs="Arial"/>
          <w:sz w:val="20"/>
          <w:szCs w:val="20"/>
        </w:rPr>
        <w:t>Maintain prior compliance manuals.</w:t>
      </w:r>
    </w:p>
    <w:p>
      <w:bookmarkEnd w:id="1094"/>
      <w:bookmarkStart w:id="1096" w:name="Sec_Chp_061016102246187_0610161022468831"/>
    </w:p>
    <w:p>
      <w:pPr>
        <w:pStyle w:val="Heading3"/>
      </w:pPr>
      <w:bookmarkStart w:id="1097" w:name="_Toc256000286"/>
      <w:r>
        <w:t>14.3.16 Forensic Testing</w:t>
      </w:r>
      <w:bookmarkEnd w:id="1097"/>
    </w:p>
    <w:p/>
    <w:p>
      <w:pPr>
        <w:rPr>
          <w:rFonts w:eastAsia="Arial" w:cs="Arial"/>
          <w:sz w:val="16"/>
          <w:szCs w:val="16"/>
        </w:rPr>
      </w:pPr>
    </w:p>
    <w:p>
      <w:pPr>
        <w:pStyle w:val="normal0"/>
        <w:spacing w:after="200"/>
        <w:rPr>
          <w:rFonts w:eastAsia="Arial" w:cs="Arial"/>
          <w:sz w:val="20"/>
          <w:szCs w:val="20"/>
        </w:rPr>
      </w:pPr>
      <w:r>
        <w:rPr>
          <w:rFonts w:eastAsia="Arial" w:cs="Arial"/>
          <w:sz w:val="20"/>
          <w:szCs w:val="20"/>
        </w:rPr>
        <w:t>Forensic tests are transactional or quality control tests that are designed to determine whether the activities of KCD are consistent with these policies and procedures.</w:t>
      </w:r>
    </w:p>
    <w:p>
      <w:pPr>
        <w:pStyle w:val="normal0"/>
        <w:spacing w:before="200" w:after="200"/>
        <w:rPr>
          <w:rFonts w:eastAsia="Arial" w:cs="Arial"/>
          <w:sz w:val="20"/>
          <w:szCs w:val="20"/>
        </w:rPr>
      </w:pPr>
      <w:r>
        <w:rPr>
          <w:rFonts w:eastAsia="Arial" w:cs="Arial"/>
          <w:sz w:val="20"/>
          <w:szCs w:val="20"/>
        </w:rPr>
        <w:t>At least annually, KCD shall perform the following forensic tests:</w:t>
      </w:r>
    </w:p>
    <w:p>
      <w:pPr>
        <w:pStyle w:val="normal0"/>
        <w:spacing w:before="200" w:after="200"/>
        <w:rPr>
          <w:rFonts w:eastAsia="Arial" w:cs="Arial"/>
          <w:sz w:val="20"/>
          <w:szCs w:val="20"/>
        </w:rPr>
      </w:pPr>
      <w:r>
        <w:rPr>
          <w:rFonts w:eastAsia="Arial" w:cs="Arial"/>
          <w:b/>
          <w:bCs/>
          <w:sz w:val="20"/>
          <w:szCs w:val="20"/>
        </w:rPr>
        <w:t>Existing Investors</w:t>
      </w:r>
    </w:p>
    <w:p>
      <w:pPr>
        <w:pStyle w:val="normal0"/>
        <w:spacing w:before="200" w:after="200"/>
        <w:rPr>
          <w:rFonts w:eastAsia="Arial" w:cs="Arial"/>
          <w:sz w:val="20"/>
          <w:szCs w:val="20"/>
        </w:rPr>
      </w:pPr>
      <w:r>
        <w:rPr>
          <w:rFonts w:eastAsia="Arial" w:cs="Arial"/>
          <w:sz w:val="20"/>
          <w:szCs w:val="20"/>
        </w:rPr>
        <w:t>Periodically, pull a number of client files to verify that each file includes an executed advisory contract, any investment policy test, investment restrictions, account statements, broker-dealer and/or custodian forms, correspondence and all other necessary documents.</w:t>
      </w:r>
    </w:p>
    <w:p>
      <w:pPr>
        <w:pStyle w:val="normal0"/>
        <w:spacing w:before="200" w:after="200"/>
        <w:rPr>
          <w:rFonts w:eastAsia="Arial" w:cs="Arial"/>
          <w:sz w:val="20"/>
          <w:szCs w:val="20"/>
        </w:rPr>
      </w:pPr>
      <w:r>
        <w:rPr>
          <w:rFonts w:eastAsia="Arial" w:cs="Arial"/>
          <w:b/>
          <w:bCs/>
          <w:sz w:val="20"/>
          <w:szCs w:val="20"/>
        </w:rPr>
        <w:t>Investment Management</w:t>
      </w:r>
    </w:p>
    <w:p>
      <w:pPr>
        <w:pStyle w:val="normal0"/>
        <w:spacing w:before="200" w:after="200"/>
        <w:rPr>
          <w:rFonts w:eastAsia="Arial" w:cs="Arial"/>
          <w:sz w:val="20"/>
          <w:szCs w:val="20"/>
        </w:rPr>
      </w:pPr>
      <w:r>
        <w:rPr>
          <w:rFonts w:eastAsia="Arial" w:cs="Arial"/>
          <w:i/>
          <w:iCs/>
          <w:sz w:val="20"/>
          <w:szCs w:val="20"/>
        </w:rPr>
        <w:t>Performance Disparities Among Client Accounts.</w:t>
      </w:r>
    </w:p>
    <w:p>
      <w:pPr>
        <w:pStyle w:val="normal0"/>
        <w:spacing w:before="200" w:after="200"/>
        <w:rPr>
          <w:rFonts w:eastAsia="Arial" w:cs="Arial"/>
          <w:sz w:val="20"/>
          <w:szCs w:val="20"/>
        </w:rPr>
      </w:pPr>
      <w:r>
        <w:rPr>
          <w:rFonts w:eastAsia="Arial" w:cs="Arial"/>
          <w:sz w:val="20"/>
          <w:szCs w:val="20"/>
        </w:rPr>
        <w:t>Compare the performance among client accounts managed under similar investment objectives and styles for undisclosed favoritism toward certain clients. When making such comparisons:</w:t>
      </w:r>
    </w:p>
    <w:p>
      <w:pPr>
        <w:numPr>
          <w:ilvl w:val="0"/>
          <w:numId w:val="927"/>
        </w:numPr>
        <w:spacing w:before="200"/>
        <w:ind w:left="720" w:hanging="192"/>
        <w:jc w:val="left"/>
        <w:rPr>
          <w:rFonts w:eastAsia="Arial" w:cs="Arial"/>
          <w:sz w:val="20"/>
          <w:szCs w:val="20"/>
        </w:rPr>
      </w:pPr>
      <w:r>
        <w:rPr>
          <w:rFonts w:eastAsia="Arial" w:cs="Arial"/>
          <w:sz w:val="20"/>
          <w:szCs w:val="20"/>
        </w:rPr>
        <w:t>Compute the mean of the accounts in terms of performance;</w:t>
      </w:r>
    </w:p>
    <w:p>
      <w:pPr>
        <w:numPr>
          <w:ilvl w:val="0"/>
          <w:numId w:val="927"/>
        </w:numPr>
        <w:ind w:left="720" w:hanging="192"/>
        <w:jc w:val="left"/>
        <w:rPr>
          <w:rFonts w:eastAsia="Arial" w:cs="Arial"/>
          <w:sz w:val="20"/>
          <w:szCs w:val="20"/>
        </w:rPr>
      </w:pPr>
      <w:r>
        <w:rPr>
          <w:rFonts w:eastAsia="Arial" w:cs="Arial"/>
          <w:sz w:val="20"/>
          <w:szCs w:val="20"/>
        </w:rPr>
        <w:t xml:space="preserve">Identify accounts with performance of two or more standard deviations, plus and minus, away from the mean performance of accounts managed under a particular investment style; and </w:t>
      </w:r>
    </w:p>
    <w:p>
      <w:pPr>
        <w:numPr>
          <w:ilvl w:val="0"/>
          <w:numId w:val="927"/>
        </w:numPr>
        <w:spacing w:after="200"/>
        <w:ind w:left="720" w:hanging="192"/>
        <w:jc w:val="left"/>
        <w:rPr>
          <w:rFonts w:eastAsia="Arial" w:cs="Arial"/>
          <w:sz w:val="20"/>
          <w:szCs w:val="20"/>
        </w:rPr>
      </w:pPr>
      <w:r>
        <w:rPr>
          <w:rFonts w:eastAsia="Arial" w:cs="Arial"/>
          <w:sz w:val="20"/>
          <w:szCs w:val="20"/>
        </w:rPr>
        <w:t>Determine the reasons for why material dispersions (if any) exist.</w:t>
      </w:r>
    </w:p>
    <w:p>
      <w:pPr>
        <w:pStyle w:val="normal0"/>
        <w:spacing w:before="200" w:after="200"/>
        <w:rPr>
          <w:rFonts w:eastAsia="Arial" w:cs="Arial"/>
          <w:sz w:val="20"/>
          <w:szCs w:val="20"/>
        </w:rPr>
      </w:pPr>
      <w:r>
        <w:rPr>
          <w:rFonts w:eastAsia="Arial" w:cs="Arial"/>
          <w:i/>
          <w:iCs/>
          <w:sz w:val="20"/>
          <w:szCs w:val="20"/>
        </w:rPr>
        <w:t>Pricing of Securities.</w:t>
      </w:r>
    </w:p>
    <w:p>
      <w:pPr>
        <w:numPr>
          <w:ilvl w:val="0"/>
          <w:numId w:val="928"/>
        </w:numPr>
        <w:spacing w:before="200"/>
        <w:ind w:left="720" w:hanging="192"/>
        <w:jc w:val="left"/>
        <w:rPr>
          <w:rFonts w:eastAsia="Arial" w:cs="Arial"/>
          <w:sz w:val="20"/>
          <w:szCs w:val="20"/>
        </w:rPr>
      </w:pPr>
      <w:r>
        <w:rPr>
          <w:rFonts w:eastAsia="Arial" w:cs="Arial"/>
          <w:sz w:val="20"/>
          <w:szCs w:val="20"/>
        </w:rPr>
        <w:t>Review the pricing of securities prior to the sale date. Compare selling prices to the price used the previous day or to prices used over the previous several days.</w:t>
      </w:r>
    </w:p>
    <w:p>
      <w:pPr>
        <w:numPr>
          <w:ilvl w:val="0"/>
          <w:numId w:val="928"/>
        </w:numPr>
        <w:spacing w:after="200"/>
        <w:ind w:left="720" w:hanging="192"/>
        <w:jc w:val="left"/>
        <w:rPr>
          <w:rFonts w:eastAsia="Arial" w:cs="Arial"/>
          <w:sz w:val="20"/>
          <w:szCs w:val="20"/>
        </w:rPr>
      </w:pPr>
      <w:r>
        <w:rPr>
          <w:rFonts w:eastAsia="Arial" w:cs="Arial"/>
          <w:sz w:val="20"/>
          <w:szCs w:val="20"/>
        </w:rPr>
        <w:t>Review portfolio for static prices (i.e., positions that have had the same value for a significant period).</w:t>
      </w:r>
    </w:p>
    <w:p>
      <w:pPr>
        <w:pStyle w:val="normal0"/>
        <w:spacing w:before="200" w:after="200"/>
        <w:rPr>
          <w:rFonts w:eastAsia="Arial" w:cs="Arial"/>
          <w:sz w:val="20"/>
          <w:szCs w:val="20"/>
        </w:rPr>
      </w:pPr>
      <w:r>
        <w:rPr>
          <w:rFonts w:eastAsia="Arial" w:cs="Arial"/>
          <w:i/>
          <w:iCs/>
          <w:sz w:val="20"/>
          <w:szCs w:val="20"/>
        </w:rPr>
        <w:t>Differences between Selling Prices and Fair Values.</w:t>
      </w:r>
    </w:p>
    <w:p>
      <w:pPr>
        <w:numPr>
          <w:ilvl w:val="0"/>
          <w:numId w:val="929"/>
        </w:numPr>
        <w:spacing w:before="200"/>
        <w:ind w:left="720" w:hanging="192"/>
        <w:jc w:val="left"/>
        <w:rPr>
          <w:rFonts w:eastAsia="Arial" w:cs="Arial"/>
          <w:sz w:val="20"/>
          <w:szCs w:val="20"/>
        </w:rPr>
      </w:pPr>
      <w:r>
        <w:rPr>
          <w:rFonts w:eastAsia="Arial" w:cs="Arial"/>
          <w:sz w:val="20"/>
          <w:szCs w:val="20"/>
        </w:rPr>
        <w:t>Compare fair values with selling prices to evaluate the accuracy of fair value pricing procedures.</w:t>
      </w:r>
    </w:p>
    <w:p>
      <w:pPr>
        <w:numPr>
          <w:ilvl w:val="0"/>
          <w:numId w:val="929"/>
        </w:numPr>
        <w:ind w:left="720" w:hanging="192"/>
        <w:jc w:val="left"/>
        <w:rPr>
          <w:rFonts w:eastAsia="Arial" w:cs="Arial"/>
          <w:sz w:val="20"/>
          <w:szCs w:val="20"/>
        </w:rPr>
      </w:pPr>
      <w:r>
        <w:rPr>
          <w:rFonts w:eastAsia="Arial" w:cs="Arial"/>
          <w:sz w:val="20"/>
          <w:szCs w:val="20"/>
        </w:rPr>
        <w:t>Compare prices realized upon the sale of securities with the valuation applied to those securities at their most recent valuation dates. Aggregate the results of these individual tests across long periods and use market factors to test the efficacy of the fair value pricing process. Evaluate results to determine if fair value pricing processes produce systematic overvaluations.</w:t>
      </w:r>
    </w:p>
    <w:p>
      <w:pPr>
        <w:numPr>
          <w:ilvl w:val="0"/>
          <w:numId w:val="929"/>
        </w:numPr>
        <w:spacing w:after="200"/>
        <w:ind w:left="720" w:hanging="192"/>
        <w:jc w:val="left"/>
        <w:rPr>
          <w:rFonts w:eastAsia="Arial" w:cs="Arial"/>
          <w:sz w:val="20"/>
          <w:szCs w:val="20"/>
        </w:rPr>
      </w:pPr>
      <w:r>
        <w:rPr>
          <w:rFonts w:eastAsia="Arial" w:cs="Arial"/>
          <w:sz w:val="20"/>
          <w:szCs w:val="20"/>
        </w:rPr>
        <w:t>Note those instances where prices used to value positions in clients' accounts do not accurately reflect current market conditions and the prices that could have been realized upon a then current sale of positions.</w:t>
      </w:r>
    </w:p>
    <w:p>
      <w:pPr>
        <w:pStyle w:val="normal0"/>
        <w:spacing w:before="200" w:after="200"/>
        <w:rPr>
          <w:rFonts w:eastAsia="Arial" w:cs="Arial"/>
          <w:sz w:val="20"/>
          <w:szCs w:val="20"/>
        </w:rPr>
      </w:pPr>
      <w:r>
        <w:rPr>
          <w:rFonts w:eastAsia="Arial" w:cs="Arial"/>
          <w:i/>
          <w:iCs/>
          <w:sz w:val="20"/>
          <w:szCs w:val="20"/>
        </w:rPr>
        <w:t>Large Change in Client Account Value and Errors.</w:t>
      </w:r>
    </w:p>
    <w:p>
      <w:pPr>
        <w:numPr>
          <w:ilvl w:val="0"/>
          <w:numId w:val="930"/>
        </w:numPr>
        <w:spacing w:before="200"/>
        <w:ind w:left="720" w:hanging="192"/>
        <w:jc w:val="left"/>
        <w:rPr>
          <w:rFonts w:eastAsia="Arial" w:cs="Arial"/>
          <w:sz w:val="20"/>
          <w:szCs w:val="20"/>
        </w:rPr>
      </w:pPr>
      <w:r>
        <w:rPr>
          <w:rFonts w:eastAsia="Arial" w:cs="Arial"/>
          <w:sz w:val="20"/>
          <w:szCs w:val="20"/>
        </w:rPr>
        <w:t>Review any large percentage change in the value of a client's account to vet the accuracy of the process used to calculate the net asset value of the client.</w:t>
      </w:r>
    </w:p>
    <w:p>
      <w:pPr>
        <w:numPr>
          <w:ilvl w:val="0"/>
          <w:numId w:val="930"/>
        </w:numPr>
        <w:spacing w:after="200"/>
        <w:ind w:left="720" w:hanging="192"/>
        <w:jc w:val="left"/>
        <w:rPr>
          <w:rFonts w:eastAsia="Arial" w:cs="Arial"/>
          <w:sz w:val="20"/>
          <w:szCs w:val="20"/>
        </w:rPr>
      </w:pPr>
      <w:r>
        <w:rPr>
          <w:rFonts w:eastAsia="Arial" w:cs="Arial"/>
          <w:sz w:val="20"/>
          <w:szCs w:val="20"/>
        </w:rPr>
        <w:t>Evaluate errors to vet the accuracy of the net asset value of a client's account and the client account valuation process. Review remedial actions taken, including those that involved making the shareholder whole.</w:t>
      </w:r>
    </w:p>
    <w:p>
      <w:pPr>
        <w:pStyle w:val="normal0"/>
        <w:spacing w:before="200" w:after="200"/>
        <w:rPr>
          <w:rFonts w:eastAsia="Arial" w:cs="Arial"/>
          <w:sz w:val="20"/>
          <w:szCs w:val="20"/>
        </w:rPr>
      </w:pPr>
      <w:r>
        <w:rPr>
          <w:rFonts w:eastAsia="Arial" w:cs="Arial"/>
          <w:i/>
          <w:iCs/>
          <w:sz w:val="20"/>
          <w:szCs w:val="20"/>
        </w:rPr>
        <w:t>IPOs</w:t>
      </w:r>
    </w:p>
    <w:p>
      <w:pPr>
        <w:numPr>
          <w:ilvl w:val="0"/>
          <w:numId w:val="931"/>
        </w:numPr>
        <w:spacing w:before="200"/>
        <w:ind w:left="720" w:hanging="192"/>
        <w:jc w:val="left"/>
        <w:rPr>
          <w:rFonts w:eastAsia="Arial" w:cs="Arial"/>
          <w:sz w:val="20"/>
          <w:szCs w:val="20"/>
        </w:rPr>
      </w:pPr>
      <w:r>
        <w:rPr>
          <w:rFonts w:eastAsia="Arial" w:cs="Arial"/>
          <w:sz w:val="20"/>
          <w:szCs w:val="20"/>
        </w:rPr>
        <w:t>Review all arrangements in which KCD or any affiliate of KCD has been involved with or related to the initial distributions or offerings and whether any client purchased securities in such offerings.</w:t>
      </w:r>
    </w:p>
    <w:p>
      <w:pPr>
        <w:numPr>
          <w:ilvl w:val="0"/>
          <w:numId w:val="931"/>
        </w:numPr>
        <w:spacing w:after="200"/>
        <w:ind w:left="720" w:hanging="192"/>
        <w:jc w:val="left"/>
        <w:rPr>
          <w:rFonts w:eastAsia="Arial" w:cs="Arial"/>
          <w:sz w:val="20"/>
          <w:szCs w:val="20"/>
        </w:rPr>
      </w:pPr>
      <w:r>
        <w:rPr>
          <w:rFonts w:eastAsia="Arial" w:cs="Arial"/>
          <w:sz w:val="20"/>
          <w:szCs w:val="20"/>
        </w:rPr>
        <w:t>Review all initial public offerings in which clients, proprietary accounts or access persons participated to ascertain the fairness of each such person's participation.</w:t>
      </w:r>
    </w:p>
    <w:p>
      <w:pPr>
        <w:pStyle w:val="normal0"/>
        <w:spacing w:before="200" w:after="200"/>
        <w:rPr>
          <w:rFonts w:eastAsia="Arial" w:cs="Arial"/>
          <w:sz w:val="20"/>
          <w:szCs w:val="20"/>
        </w:rPr>
      </w:pPr>
      <w:r>
        <w:rPr>
          <w:rFonts w:eastAsia="Arial" w:cs="Arial"/>
          <w:i/>
          <w:iCs/>
          <w:sz w:val="20"/>
          <w:szCs w:val="20"/>
        </w:rPr>
        <w:t>Client Mandates</w:t>
      </w:r>
    </w:p>
    <w:p>
      <w:pPr>
        <w:pStyle w:val="normal0"/>
        <w:spacing w:before="200" w:after="200"/>
        <w:rPr>
          <w:rFonts w:eastAsia="Arial" w:cs="Arial"/>
          <w:sz w:val="20"/>
          <w:szCs w:val="20"/>
        </w:rPr>
      </w:pPr>
      <w:r>
        <w:rPr>
          <w:rFonts w:eastAsia="Arial" w:cs="Arial"/>
          <w:sz w:val="20"/>
          <w:szCs w:val="20"/>
        </w:rPr>
        <w:t>Review random portfolio decisions made for clients to ensure they were consistent with clients' mandates including investment objectives, restrictions and risk tolerance, regulatory requirements and disclosures.</w:t>
      </w:r>
    </w:p>
    <w:p>
      <w:pPr>
        <w:pStyle w:val="normal0"/>
        <w:spacing w:before="200" w:after="200"/>
        <w:rPr>
          <w:rFonts w:eastAsia="Arial" w:cs="Arial"/>
          <w:sz w:val="20"/>
          <w:szCs w:val="20"/>
        </w:rPr>
      </w:pPr>
      <w:r>
        <w:rPr>
          <w:rFonts w:eastAsia="Arial" w:cs="Arial"/>
          <w:b/>
          <w:bCs/>
          <w:sz w:val="20"/>
          <w:szCs w:val="20"/>
        </w:rPr>
        <w:t>Brokerage</w:t>
      </w:r>
    </w:p>
    <w:p>
      <w:pPr>
        <w:pStyle w:val="normal0"/>
        <w:spacing w:before="200" w:after="200"/>
        <w:rPr>
          <w:rFonts w:eastAsia="Arial" w:cs="Arial"/>
          <w:sz w:val="20"/>
          <w:szCs w:val="20"/>
        </w:rPr>
      </w:pPr>
      <w:r>
        <w:rPr>
          <w:rFonts w:eastAsia="Arial" w:cs="Arial"/>
          <w:i/>
          <w:iCs/>
          <w:sz w:val="20"/>
          <w:szCs w:val="20"/>
        </w:rPr>
        <w:t>Average Commission Rates.</w:t>
      </w:r>
    </w:p>
    <w:p>
      <w:pPr>
        <w:numPr>
          <w:ilvl w:val="0"/>
          <w:numId w:val="932"/>
        </w:numPr>
        <w:spacing w:before="200"/>
        <w:ind w:left="720" w:hanging="192"/>
        <w:jc w:val="left"/>
        <w:rPr>
          <w:rFonts w:eastAsia="Arial" w:cs="Arial"/>
          <w:sz w:val="20"/>
          <w:szCs w:val="20"/>
        </w:rPr>
      </w:pPr>
      <w:r>
        <w:rPr>
          <w:rFonts w:eastAsia="Arial" w:cs="Arial"/>
          <w:sz w:val="20"/>
          <w:szCs w:val="20"/>
        </w:rPr>
        <w:t>Compute the average commission rates paid to broker-dealers used during a period to identify brokers with which KCD may have undisclosed conflicts of interest.</w:t>
      </w:r>
    </w:p>
    <w:p>
      <w:pPr>
        <w:numPr>
          <w:ilvl w:val="0"/>
          <w:numId w:val="932"/>
        </w:numPr>
        <w:spacing w:after="200"/>
        <w:ind w:left="720" w:hanging="192"/>
        <w:jc w:val="left"/>
        <w:rPr>
          <w:rFonts w:eastAsia="Arial" w:cs="Arial"/>
          <w:sz w:val="20"/>
          <w:szCs w:val="20"/>
        </w:rPr>
      </w:pPr>
      <w:r>
        <w:rPr>
          <w:rFonts w:eastAsia="Arial" w:cs="Arial"/>
          <w:sz w:val="20"/>
          <w:szCs w:val="20"/>
        </w:rPr>
        <w:t>Calculate the average commission rates paid by various advisory clients and compare the individual client averages to the average commission rate paid by all clients. Identify significant disparities among clients and identify clients who have been referred or have directed brokerage arrangements, which may result in these clients paying different commission rates than other clients of the adviser or getting less effective executions.</w:t>
      </w:r>
    </w:p>
    <w:p>
      <w:pPr>
        <w:pStyle w:val="normal0"/>
        <w:spacing w:before="200" w:after="200"/>
        <w:rPr>
          <w:rFonts w:eastAsia="Arial" w:cs="Arial"/>
          <w:sz w:val="20"/>
          <w:szCs w:val="20"/>
        </w:rPr>
      </w:pPr>
      <w:r>
        <w:rPr>
          <w:rFonts w:eastAsia="Arial" w:cs="Arial"/>
          <w:i/>
          <w:iCs/>
          <w:sz w:val="20"/>
          <w:szCs w:val="20"/>
        </w:rPr>
        <w:t>Total Commission Paid to Broker-Dealers.</w:t>
      </w:r>
    </w:p>
    <w:p>
      <w:pPr>
        <w:numPr>
          <w:ilvl w:val="0"/>
          <w:numId w:val="933"/>
        </w:numPr>
        <w:spacing w:before="200" w:after="200"/>
        <w:ind w:left="720" w:hanging="192"/>
        <w:jc w:val="left"/>
        <w:rPr>
          <w:rFonts w:eastAsia="Arial" w:cs="Arial"/>
          <w:sz w:val="20"/>
          <w:szCs w:val="20"/>
        </w:rPr>
      </w:pPr>
      <w:r>
        <w:rPr>
          <w:rFonts w:eastAsia="Arial" w:cs="Arial"/>
          <w:sz w:val="20"/>
          <w:szCs w:val="20"/>
        </w:rPr>
        <w:t>Calculate the total commissions paid to each broker-dealer used during a period to identify brokers with whom KCD has a significant relationship. This forensic test may show the relative importance of each broker-dealer with whom KCD maintains an arrangement and may reveal undisclosed conflicts of interest.</w:t>
      </w:r>
    </w:p>
    <w:p>
      <w:pPr>
        <w:pStyle w:val="normal0"/>
        <w:spacing w:before="200" w:after="200"/>
        <w:rPr>
          <w:rFonts w:eastAsia="Arial" w:cs="Arial"/>
          <w:sz w:val="20"/>
          <w:szCs w:val="20"/>
        </w:rPr>
      </w:pPr>
      <w:r>
        <w:rPr>
          <w:rFonts w:eastAsia="Arial" w:cs="Arial"/>
          <w:i/>
          <w:iCs/>
          <w:sz w:val="20"/>
          <w:szCs w:val="20"/>
        </w:rPr>
        <w:t>Broker-Dealers</w:t>
      </w:r>
    </w:p>
    <w:p>
      <w:pPr>
        <w:numPr>
          <w:ilvl w:val="0"/>
          <w:numId w:val="934"/>
        </w:numPr>
        <w:spacing w:before="200" w:after="200"/>
        <w:ind w:left="720" w:hanging="192"/>
        <w:jc w:val="left"/>
        <w:rPr>
          <w:rFonts w:eastAsia="Arial" w:cs="Arial"/>
          <w:sz w:val="20"/>
          <w:szCs w:val="20"/>
        </w:rPr>
      </w:pPr>
      <w:r>
        <w:rPr>
          <w:rFonts w:eastAsia="Arial" w:cs="Arial"/>
          <w:sz w:val="20"/>
          <w:szCs w:val="20"/>
        </w:rPr>
        <w:t>Review the list of broker-dealers with whom KCD currently uses to ensure that it is up-to-date and accurate and that all broker-dealers on such list have been approved for use by KCD.</w:t>
      </w:r>
    </w:p>
    <w:p>
      <w:pPr>
        <w:pStyle w:val="normal0"/>
        <w:spacing w:before="200" w:after="200"/>
        <w:rPr>
          <w:rFonts w:eastAsia="Arial" w:cs="Arial"/>
          <w:sz w:val="20"/>
          <w:szCs w:val="20"/>
        </w:rPr>
      </w:pPr>
      <w:r>
        <w:rPr>
          <w:rFonts w:eastAsia="Arial" w:cs="Arial"/>
          <w:b/>
          <w:bCs/>
          <w:sz w:val="20"/>
          <w:szCs w:val="20"/>
        </w:rPr>
        <w:t>Trading</w:t>
      </w:r>
    </w:p>
    <w:p>
      <w:pPr>
        <w:pStyle w:val="normal0"/>
        <w:spacing w:before="200" w:after="200"/>
        <w:rPr>
          <w:rFonts w:eastAsia="Arial" w:cs="Arial"/>
          <w:sz w:val="20"/>
          <w:szCs w:val="20"/>
        </w:rPr>
      </w:pPr>
      <w:r>
        <w:rPr>
          <w:rFonts w:eastAsia="Arial" w:cs="Arial"/>
          <w:i/>
          <w:iCs/>
          <w:sz w:val="20"/>
          <w:szCs w:val="20"/>
        </w:rPr>
        <w:t>Trade Allocation.</w:t>
      </w:r>
    </w:p>
    <w:p>
      <w:pPr>
        <w:numPr>
          <w:ilvl w:val="0"/>
          <w:numId w:val="935"/>
        </w:numPr>
        <w:spacing w:before="200"/>
        <w:ind w:left="720" w:hanging="192"/>
        <w:jc w:val="left"/>
        <w:rPr>
          <w:rFonts w:eastAsia="Arial" w:cs="Arial"/>
          <w:sz w:val="20"/>
          <w:szCs w:val="20"/>
        </w:rPr>
      </w:pPr>
      <w:r>
        <w:rPr>
          <w:rFonts w:eastAsia="Arial" w:cs="Arial"/>
          <w:sz w:val="20"/>
          <w:szCs w:val="20"/>
        </w:rPr>
        <w:t>Compare performance among client accounts managed under similar investment styles over a one or two year period. Identify accounts whose performance is significantly higher than the average of all accounts in a style. Review trading in such accounts to determine if a reason for the unusual performance is due to the unfair or fraudulent allocation of trades. For example, KCD will check to see if a trade intended for one client was diverted to the account of another client by changing the allocation or settlement instructions given to the executing broker.</w:t>
      </w:r>
    </w:p>
    <w:p>
      <w:pPr>
        <w:numPr>
          <w:ilvl w:val="0"/>
          <w:numId w:val="935"/>
        </w:numPr>
        <w:ind w:left="720" w:hanging="192"/>
        <w:jc w:val="left"/>
        <w:rPr>
          <w:rFonts w:eastAsia="Arial" w:cs="Arial"/>
          <w:sz w:val="20"/>
          <w:szCs w:val="20"/>
        </w:rPr>
      </w:pPr>
      <w:r>
        <w:rPr>
          <w:rFonts w:eastAsia="Arial" w:cs="Arial"/>
          <w:sz w:val="20"/>
          <w:szCs w:val="20"/>
        </w:rPr>
        <w:t>Compare the performance of all accounts that were eligible to participate in an IPO over various periods such as one or two years. Accounts whose performance is significantly higher than the average for this group of client accounts will be analyzed to determine if a reason for the unusual performance is how KCD allocated IPOs.</w:t>
      </w:r>
    </w:p>
    <w:p>
      <w:pPr>
        <w:numPr>
          <w:ilvl w:val="0"/>
          <w:numId w:val="935"/>
        </w:numPr>
        <w:spacing w:after="200"/>
        <w:ind w:left="720" w:hanging="192"/>
        <w:jc w:val="left"/>
        <w:rPr>
          <w:rFonts w:eastAsia="Arial" w:cs="Arial"/>
          <w:sz w:val="20"/>
          <w:szCs w:val="20"/>
        </w:rPr>
      </w:pPr>
      <w:r>
        <w:rPr>
          <w:rFonts w:eastAsia="Arial" w:cs="Arial"/>
          <w:sz w:val="20"/>
          <w:szCs w:val="20"/>
        </w:rPr>
        <w:t>Calculate the number of profitable trades in each client's account over the prior 12 months and the average number of such trades for all clients. Identify those clients' accounts that have much higher returns than the average returns and determine the reasons for such results.</w:t>
      </w:r>
    </w:p>
    <w:p>
      <w:pPr>
        <w:pStyle w:val="normal0"/>
        <w:spacing w:before="200" w:after="200"/>
        <w:rPr>
          <w:rFonts w:eastAsia="Arial" w:cs="Arial"/>
          <w:sz w:val="20"/>
          <w:szCs w:val="20"/>
        </w:rPr>
      </w:pPr>
      <w:r>
        <w:rPr>
          <w:rFonts w:eastAsia="Arial" w:cs="Arial"/>
          <w:i/>
          <w:iCs/>
          <w:sz w:val="20"/>
          <w:szCs w:val="20"/>
        </w:rPr>
        <w:t>Trade Errors.</w:t>
      </w:r>
    </w:p>
    <w:p>
      <w:pPr>
        <w:numPr>
          <w:ilvl w:val="0"/>
          <w:numId w:val="936"/>
        </w:numPr>
        <w:spacing w:before="200"/>
        <w:ind w:left="720" w:hanging="192"/>
        <w:jc w:val="left"/>
        <w:rPr>
          <w:rFonts w:eastAsia="Arial" w:cs="Arial"/>
          <w:sz w:val="20"/>
          <w:szCs w:val="20"/>
        </w:rPr>
      </w:pPr>
      <w:r>
        <w:rPr>
          <w:rFonts w:eastAsia="Arial" w:cs="Arial"/>
          <w:sz w:val="20"/>
          <w:szCs w:val="20"/>
        </w:rPr>
        <w:t>Select accounts in which trade errors have occurred for a sample period and review the entries to make sure such errors have been corrected promptly.</w:t>
      </w:r>
    </w:p>
    <w:p>
      <w:pPr>
        <w:numPr>
          <w:ilvl w:val="0"/>
          <w:numId w:val="936"/>
        </w:numPr>
        <w:spacing w:after="200"/>
        <w:ind w:left="720" w:hanging="192"/>
        <w:jc w:val="left"/>
        <w:rPr>
          <w:rFonts w:eastAsia="Arial" w:cs="Arial"/>
          <w:sz w:val="20"/>
          <w:szCs w:val="20"/>
        </w:rPr>
      </w:pPr>
      <w:r>
        <w:rPr>
          <w:rFonts w:eastAsia="Arial" w:cs="Arial"/>
          <w:sz w:val="20"/>
          <w:szCs w:val="20"/>
        </w:rPr>
        <w:t>Identify any concentrations of errors by a single broker-dealer. Follow-up on any efforts to get the broker to reduce its error rate and to ensure that there are no undisclosed conflicts of interest.</w:t>
      </w:r>
    </w:p>
    <w:p>
      <w:pPr>
        <w:pStyle w:val="normal0"/>
        <w:spacing w:before="200" w:after="200"/>
        <w:rPr>
          <w:rFonts w:eastAsia="Arial" w:cs="Arial"/>
          <w:sz w:val="20"/>
          <w:szCs w:val="20"/>
        </w:rPr>
      </w:pPr>
      <w:r>
        <w:rPr>
          <w:rFonts w:eastAsia="Arial" w:cs="Arial"/>
          <w:b/>
          <w:bCs/>
          <w:sz w:val="20"/>
          <w:szCs w:val="20"/>
        </w:rPr>
        <w:t>Marketing</w:t>
      </w:r>
    </w:p>
    <w:p>
      <w:pPr>
        <w:pStyle w:val="normal0"/>
        <w:spacing w:before="200" w:after="200"/>
        <w:rPr>
          <w:rFonts w:eastAsia="Arial" w:cs="Arial"/>
          <w:sz w:val="20"/>
          <w:szCs w:val="20"/>
        </w:rPr>
      </w:pPr>
      <w:r>
        <w:rPr>
          <w:rFonts w:eastAsia="Arial" w:cs="Arial"/>
          <w:i/>
          <w:iCs/>
          <w:sz w:val="20"/>
          <w:szCs w:val="20"/>
        </w:rPr>
        <w:t>Window Dressing and Portfolio Pumping.</w:t>
      </w:r>
    </w:p>
    <w:p>
      <w:pPr>
        <w:numPr>
          <w:ilvl w:val="0"/>
          <w:numId w:val="937"/>
        </w:numPr>
        <w:spacing w:before="200" w:after="200"/>
        <w:ind w:left="720" w:hanging="192"/>
        <w:jc w:val="left"/>
        <w:rPr>
          <w:rFonts w:eastAsia="Arial" w:cs="Arial"/>
          <w:sz w:val="20"/>
          <w:szCs w:val="20"/>
        </w:rPr>
      </w:pPr>
      <w:r>
        <w:rPr>
          <w:rFonts w:eastAsia="Arial" w:cs="Arial"/>
          <w:sz w:val="20"/>
          <w:szCs w:val="20"/>
        </w:rPr>
        <w:t>Compare portfolio turnover at the end of several reporting periods in comparison to portfolio turnover during longer periods to identify patters of activity that could demonstrate the intent to pump the portfolio (i.e., manipulate trading to boost performance at the end of a period) or to window dress (i.e., improve the appearance of the portfolio or its performance before it is reported to clients). Compute portfolio turnover rates for the five of ten days before and after quarter ends for a two or three-year period and compare these short-period turnover rates, both individually and on average, to the portfolio turnover for the account for one year periods.</w:t>
      </w:r>
    </w:p>
    <w:p>
      <w:pPr>
        <w:pStyle w:val="normal0"/>
        <w:spacing w:before="200" w:after="200"/>
        <w:rPr>
          <w:rFonts w:eastAsia="Arial" w:cs="Arial"/>
          <w:sz w:val="20"/>
          <w:szCs w:val="20"/>
        </w:rPr>
      </w:pPr>
      <w:r>
        <w:rPr>
          <w:rFonts w:eastAsia="Arial" w:cs="Arial"/>
          <w:i/>
          <w:iCs/>
          <w:sz w:val="20"/>
          <w:szCs w:val="20"/>
        </w:rPr>
        <w:t>Performance Presentations.</w:t>
      </w:r>
    </w:p>
    <w:p>
      <w:pPr>
        <w:numPr>
          <w:ilvl w:val="0"/>
          <w:numId w:val="938"/>
        </w:numPr>
        <w:spacing w:before="200"/>
        <w:ind w:left="720" w:hanging="192"/>
        <w:jc w:val="left"/>
        <w:rPr>
          <w:rFonts w:eastAsia="Arial" w:cs="Arial"/>
          <w:sz w:val="20"/>
          <w:szCs w:val="20"/>
        </w:rPr>
      </w:pPr>
      <w:r>
        <w:rPr>
          <w:rFonts w:eastAsia="Arial" w:cs="Arial"/>
          <w:sz w:val="20"/>
          <w:szCs w:val="20"/>
        </w:rPr>
        <w:t xml:space="preserve">Periodically review client account holdings for an account's appropriateness to a composite, including sector and security concentrations. </w:t>
      </w:r>
    </w:p>
    <w:p>
      <w:pPr>
        <w:numPr>
          <w:ilvl w:val="0"/>
          <w:numId w:val="938"/>
        </w:numPr>
        <w:ind w:left="720" w:hanging="192"/>
        <w:jc w:val="left"/>
        <w:rPr>
          <w:rFonts w:eastAsia="Arial" w:cs="Arial"/>
          <w:sz w:val="20"/>
          <w:szCs w:val="20"/>
        </w:rPr>
      </w:pPr>
      <w:r>
        <w:rPr>
          <w:rFonts w:eastAsia="Arial" w:cs="Arial"/>
          <w:sz w:val="20"/>
          <w:szCs w:val="20"/>
        </w:rPr>
        <w:t>Compare client account asset levels to composite asset minimums.</w:t>
      </w:r>
    </w:p>
    <w:p>
      <w:pPr>
        <w:numPr>
          <w:ilvl w:val="0"/>
          <w:numId w:val="938"/>
        </w:numPr>
        <w:ind w:left="720" w:hanging="192"/>
        <w:jc w:val="left"/>
        <w:rPr>
          <w:rFonts w:eastAsia="Arial" w:cs="Arial"/>
          <w:sz w:val="20"/>
          <w:szCs w:val="20"/>
        </w:rPr>
      </w:pPr>
      <w:r>
        <w:rPr>
          <w:rFonts w:eastAsia="Arial" w:cs="Arial"/>
          <w:sz w:val="20"/>
          <w:szCs w:val="20"/>
        </w:rPr>
        <w:t>Review accounts that are excluded from composites to ensure that reasons for the exclusion are adequate and documented.</w:t>
      </w:r>
    </w:p>
    <w:p>
      <w:pPr>
        <w:numPr>
          <w:ilvl w:val="0"/>
          <w:numId w:val="938"/>
        </w:numPr>
        <w:ind w:left="720" w:hanging="192"/>
        <w:jc w:val="left"/>
        <w:rPr>
          <w:rFonts w:eastAsia="Arial" w:cs="Arial"/>
          <w:sz w:val="20"/>
          <w:szCs w:val="20"/>
        </w:rPr>
      </w:pPr>
      <w:r>
        <w:rPr>
          <w:rFonts w:eastAsia="Arial" w:cs="Arial"/>
          <w:sz w:val="20"/>
          <w:szCs w:val="20"/>
        </w:rPr>
        <w:t>Periodically review composite disclosures to ensure the information reported is accurate.</w:t>
      </w:r>
    </w:p>
    <w:p>
      <w:pPr>
        <w:numPr>
          <w:ilvl w:val="0"/>
          <w:numId w:val="938"/>
        </w:numPr>
        <w:ind w:left="720" w:hanging="192"/>
        <w:jc w:val="left"/>
        <w:rPr>
          <w:rFonts w:eastAsia="Arial" w:cs="Arial"/>
          <w:sz w:val="20"/>
          <w:szCs w:val="20"/>
        </w:rPr>
      </w:pPr>
      <w:r>
        <w:rPr>
          <w:rFonts w:eastAsia="Arial" w:cs="Arial"/>
          <w:sz w:val="20"/>
          <w:szCs w:val="20"/>
        </w:rPr>
        <w:t>Periodically test recordkeeping practices to ensure that all documents necessary to substantiate advertised performance are being appropriately created and retained.</w:t>
      </w:r>
    </w:p>
    <w:p>
      <w:pPr>
        <w:numPr>
          <w:ilvl w:val="0"/>
          <w:numId w:val="938"/>
        </w:numPr>
        <w:spacing w:after="200"/>
        <w:ind w:left="720" w:hanging="192"/>
        <w:jc w:val="left"/>
        <w:rPr>
          <w:rFonts w:eastAsia="Arial" w:cs="Arial"/>
          <w:sz w:val="20"/>
          <w:szCs w:val="20"/>
        </w:rPr>
      </w:pPr>
      <w:r>
        <w:rPr>
          <w:rFonts w:eastAsia="Arial" w:cs="Arial"/>
          <w:sz w:val="20"/>
          <w:szCs w:val="20"/>
        </w:rPr>
        <w:t xml:space="preserve">Review claims of compliance with GIPS for accuracy. </w:t>
      </w:r>
    </w:p>
    <w:p>
      <w:pPr>
        <w:pStyle w:val="normal0"/>
        <w:spacing w:before="200" w:after="200"/>
        <w:rPr>
          <w:rFonts w:eastAsia="Arial" w:cs="Arial"/>
          <w:sz w:val="20"/>
          <w:szCs w:val="20"/>
        </w:rPr>
      </w:pPr>
      <w:r>
        <w:rPr>
          <w:rFonts w:eastAsia="Arial" w:cs="Arial"/>
          <w:i/>
          <w:iCs/>
          <w:sz w:val="20"/>
          <w:szCs w:val="20"/>
        </w:rPr>
        <w:t>RFPs.</w:t>
      </w:r>
    </w:p>
    <w:p>
      <w:pPr>
        <w:numPr>
          <w:ilvl w:val="0"/>
          <w:numId w:val="939"/>
        </w:numPr>
        <w:spacing w:before="200" w:after="200"/>
        <w:ind w:left="720" w:hanging="192"/>
        <w:jc w:val="left"/>
        <w:rPr>
          <w:rFonts w:eastAsia="Arial" w:cs="Arial"/>
          <w:sz w:val="20"/>
          <w:szCs w:val="20"/>
        </w:rPr>
      </w:pPr>
      <w:r>
        <w:rPr>
          <w:rFonts w:eastAsia="Arial" w:cs="Arial"/>
          <w:sz w:val="20"/>
          <w:szCs w:val="20"/>
        </w:rPr>
        <w:t xml:space="preserve">Periodically review RFPs to ensure the information reported is truthful and not misleading. </w:t>
      </w:r>
    </w:p>
    <w:p>
      <w:pPr>
        <w:pStyle w:val="normal0"/>
        <w:spacing w:before="200" w:after="200"/>
        <w:rPr>
          <w:rFonts w:eastAsia="Arial" w:cs="Arial"/>
          <w:sz w:val="20"/>
          <w:szCs w:val="20"/>
        </w:rPr>
      </w:pPr>
      <w:r>
        <w:rPr>
          <w:rFonts w:eastAsia="Arial" w:cs="Arial"/>
          <w:b/>
          <w:bCs/>
          <w:sz w:val="20"/>
          <w:szCs w:val="20"/>
        </w:rPr>
        <w:t>Employees</w:t>
      </w:r>
    </w:p>
    <w:p>
      <w:pPr>
        <w:pStyle w:val="normal0"/>
        <w:spacing w:before="200" w:after="200"/>
        <w:rPr>
          <w:rFonts w:eastAsia="Arial" w:cs="Arial"/>
          <w:sz w:val="20"/>
          <w:szCs w:val="20"/>
        </w:rPr>
      </w:pPr>
      <w:r>
        <w:rPr>
          <w:rFonts w:eastAsia="Arial" w:cs="Arial"/>
          <w:i/>
          <w:iCs/>
          <w:sz w:val="20"/>
          <w:szCs w:val="20"/>
        </w:rPr>
        <w:t>Access Person Trades.</w:t>
      </w:r>
    </w:p>
    <w:p>
      <w:pPr>
        <w:numPr>
          <w:ilvl w:val="0"/>
          <w:numId w:val="940"/>
        </w:numPr>
        <w:spacing w:before="200"/>
        <w:ind w:left="720" w:hanging="192"/>
        <w:jc w:val="left"/>
        <w:rPr>
          <w:rFonts w:eastAsia="Arial" w:cs="Arial"/>
          <w:sz w:val="20"/>
          <w:szCs w:val="20"/>
        </w:rPr>
      </w:pPr>
      <w:r>
        <w:rPr>
          <w:rFonts w:eastAsia="Arial" w:cs="Arial"/>
          <w:sz w:val="20"/>
          <w:szCs w:val="20"/>
        </w:rPr>
        <w:t>Verify that the list of access persons is up-to-date.</w:t>
      </w:r>
    </w:p>
    <w:p>
      <w:pPr>
        <w:numPr>
          <w:ilvl w:val="0"/>
          <w:numId w:val="940"/>
        </w:numPr>
        <w:ind w:left="720" w:hanging="192"/>
        <w:jc w:val="left"/>
        <w:rPr>
          <w:rFonts w:eastAsia="Arial" w:cs="Arial"/>
          <w:sz w:val="20"/>
          <w:szCs w:val="20"/>
        </w:rPr>
      </w:pPr>
      <w:r>
        <w:rPr>
          <w:rFonts w:eastAsia="Arial" w:cs="Arial"/>
          <w:sz w:val="20"/>
          <w:szCs w:val="20"/>
        </w:rPr>
        <w:t>Sample various employees to ensure that all personal trades during a tested period were reported.</w:t>
      </w:r>
    </w:p>
    <w:p>
      <w:pPr>
        <w:numPr>
          <w:ilvl w:val="0"/>
          <w:numId w:val="940"/>
        </w:numPr>
        <w:ind w:left="720" w:hanging="192"/>
        <w:jc w:val="left"/>
        <w:rPr>
          <w:rFonts w:eastAsia="Arial" w:cs="Arial"/>
          <w:sz w:val="20"/>
          <w:szCs w:val="20"/>
        </w:rPr>
      </w:pPr>
      <w:r>
        <w:rPr>
          <w:rFonts w:eastAsia="Arial" w:cs="Arial"/>
          <w:sz w:val="20"/>
          <w:szCs w:val="20"/>
        </w:rPr>
        <w:t>Consider including proprietary and other related trades in KCD's electronic trading system, allowing for electronic tracking of access persons' trades.</w:t>
      </w:r>
    </w:p>
    <w:p>
      <w:pPr>
        <w:numPr>
          <w:ilvl w:val="0"/>
          <w:numId w:val="940"/>
        </w:numPr>
        <w:ind w:left="720" w:hanging="192"/>
        <w:jc w:val="left"/>
        <w:rPr>
          <w:rFonts w:eastAsia="Arial" w:cs="Arial"/>
          <w:sz w:val="20"/>
          <w:szCs w:val="20"/>
        </w:rPr>
      </w:pPr>
      <w:r>
        <w:rPr>
          <w:rFonts w:eastAsia="Arial" w:cs="Arial"/>
          <w:sz w:val="20"/>
          <w:szCs w:val="20"/>
        </w:rPr>
        <w:t>Systematically compare personal trading to any restricted lists.</w:t>
      </w:r>
    </w:p>
    <w:p>
      <w:pPr>
        <w:numPr>
          <w:ilvl w:val="0"/>
          <w:numId w:val="940"/>
        </w:numPr>
        <w:ind w:left="720" w:hanging="192"/>
        <w:jc w:val="left"/>
        <w:rPr>
          <w:rFonts w:eastAsia="Arial" w:cs="Arial"/>
          <w:sz w:val="20"/>
          <w:szCs w:val="20"/>
        </w:rPr>
      </w:pPr>
      <w:r>
        <w:rPr>
          <w:rFonts w:eastAsia="Arial" w:cs="Arial"/>
          <w:sz w:val="20"/>
          <w:szCs w:val="20"/>
        </w:rPr>
        <w:t>Periodically analyze access persons' trading for patterns that may indicate abuse, such as consistently trading ahead of client accounts.</w:t>
      </w:r>
    </w:p>
    <w:p>
      <w:pPr>
        <w:numPr>
          <w:ilvl w:val="0"/>
          <w:numId w:val="940"/>
        </w:numPr>
        <w:spacing w:after="200"/>
        <w:ind w:left="720" w:hanging="192"/>
        <w:jc w:val="left"/>
        <w:rPr>
          <w:rFonts w:eastAsia="Arial" w:cs="Arial"/>
          <w:sz w:val="20"/>
          <w:szCs w:val="20"/>
        </w:rPr>
      </w:pPr>
      <w:r>
        <w:rPr>
          <w:rFonts w:eastAsia="Arial" w:cs="Arial"/>
          <w:sz w:val="20"/>
          <w:szCs w:val="20"/>
        </w:rPr>
        <w:t>Review client files of affiliated person for any unreported brokerage account.</w:t>
      </w:r>
    </w:p>
    <w:p>
      <w:pPr>
        <w:pStyle w:val="normal0"/>
        <w:spacing w:before="200" w:after="200"/>
        <w:rPr>
          <w:rFonts w:eastAsia="Arial" w:cs="Arial"/>
          <w:sz w:val="20"/>
          <w:szCs w:val="20"/>
        </w:rPr>
      </w:pPr>
      <w:r>
        <w:rPr>
          <w:rFonts w:eastAsia="Arial" w:cs="Arial"/>
          <w:i/>
          <w:iCs/>
          <w:sz w:val="20"/>
          <w:szCs w:val="20"/>
        </w:rPr>
        <w:t>Performance Disparities Among Clients and Accounts of Insiders.</w:t>
      </w:r>
    </w:p>
    <w:p>
      <w:pPr>
        <w:numPr>
          <w:ilvl w:val="0"/>
          <w:numId w:val="941"/>
        </w:numPr>
        <w:spacing w:before="200"/>
        <w:ind w:left="720" w:hanging="192"/>
        <w:jc w:val="left"/>
        <w:rPr>
          <w:rFonts w:eastAsia="Arial" w:cs="Arial"/>
          <w:sz w:val="20"/>
          <w:szCs w:val="20"/>
        </w:rPr>
      </w:pPr>
      <w:r>
        <w:rPr>
          <w:rFonts w:eastAsia="Arial" w:cs="Arial"/>
          <w:sz w:val="20"/>
          <w:szCs w:val="20"/>
        </w:rPr>
        <w:t xml:space="preserve">Calculate one and three year average annual total returns for every proprietary account of KCD and every account of an access person. Compare the returns of these accounts to those earned by clients and further analyze any wide discrepancies. </w:t>
      </w:r>
    </w:p>
    <w:p>
      <w:pPr>
        <w:numPr>
          <w:ilvl w:val="0"/>
          <w:numId w:val="941"/>
        </w:numPr>
        <w:spacing w:after="200"/>
        <w:ind w:left="720" w:hanging="192"/>
        <w:jc w:val="left"/>
        <w:rPr>
          <w:rFonts w:eastAsia="Arial" w:cs="Arial"/>
          <w:sz w:val="20"/>
          <w:szCs w:val="20"/>
        </w:rPr>
      </w:pPr>
      <w:r>
        <w:rPr>
          <w:rFonts w:eastAsia="Arial" w:cs="Arial"/>
          <w:sz w:val="20"/>
          <w:szCs w:val="20"/>
        </w:rPr>
        <w:t>Compare performance among client and proprietary accounts managed under similar investment styles over a one or two year period. Identify accounts whose performance is significantly higher than the average of all accounts in a style. Review trading in such accounts to determine if a reason for the unusual performance is due to the unfair or fraudulent allocation of trades. For example, check to see if a trade intended for one client was diverted to a proprietary account or the account of an insider by changing the allocation or settlement instructions given to the executing brokers.</w:t>
      </w:r>
    </w:p>
    <w:p>
      <w:pPr>
        <w:pStyle w:val="normal0"/>
        <w:spacing w:before="200" w:after="200"/>
        <w:rPr>
          <w:rFonts w:eastAsia="Arial" w:cs="Arial"/>
          <w:sz w:val="20"/>
          <w:szCs w:val="20"/>
        </w:rPr>
      </w:pPr>
      <w:r>
        <w:rPr>
          <w:rFonts w:eastAsia="Arial" w:cs="Arial"/>
          <w:i/>
          <w:iCs/>
          <w:sz w:val="20"/>
          <w:szCs w:val="20"/>
        </w:rPr>
        <w:t>Percentage of Profitable Trades in Accounts.</w:t>
      </w:r>
    </w:p>
    <w:p>
      <w:pPr>
        <w:numPr>
          <w:ilvl w:val="0"/>
          <w:numId w:val="942"/>
        </w:numPr>
        <w:spacing w:before="200" w:after="200"/>
        <w:ind w:left="720" w:hanging="192"/>
        <w:jc w:val="left"/>
        <w:rPr>
          <w:rFonts w:eastAsia="Arial" w:cs="Arial"/>
          <w:sz w:val="20"/>
          <w:szCs w:val="20"/>
        </w:rPr>
      </w:pPr>
      <w:r>
        <w:rPr>
          <w:rFonts w:eastAsia="Arial" w:cs="Arial"/>
          <w:sz w:val="20"/>
          <w:szCs w:val="20"/>
        </w:rPr>
        <w:t>Calculate the number of profitable trades in each proprietary and access person's account over the previous 12 months and the average number of such trades for these accounts. Compare the number of profitable trades in these propriety/access person accounts to those in clients' accounts and if there are significant discrepancies, determine the reason.</w:t>
      </w:r>
    </w:p>
    <w:p>
      <w:pPr>
        <w:pStyle w:val="normal0"/>
        <w:spacing w:before="200" w:after="200"/>
        <w:rPr>
          <w:rFonts w:eastAsia="Arial" w:cs="Arial"/>
          <w:sz w:val="20"/>
          <w:szCs w:val="20"/>
        </w:rPr>
      </w:pPr>
      <w:r>
        <w:rPr>
          <w:rFonts w:eastAsia="Arial" w:cs="Arial"/>
          <w:b/>
          <w:bCs/>
          <w:sz w:val="20"/>
          <w:szCs w:val="20"/>
        </w:rPr>
        <w:t>Custody</w:t>
      </w:r>
    </w:p>
    <w:p>
      <w:pPr>
        <w:pStyle w:val="normal0"/>
        <w:spacing w:before="200" w:after="200"/>
        <w:rPr>
          <w:rFonts w:eastAsia="Arial" w:cs="Arial"/>
          <w:sz w:val="20"/>
          <w:szCs w:val="20"/>
        </w:rPr>
      </w:pPr>
      <w:r>
        <w:rPr>
          <w:rFonts w:eastAsia="Arial" w:cs="Arial"/>
          <w:i/>
          <w:iCs/>
          <w:sz w:val="20"/>
          <w:szCs w:val="20"/>
        </w:rPr>
        <w:t>Third-Party Custodian Statements and Reconciliations.</w:t>
      </w:r>
    </w:p>
    <w:p>
      <w:pPr>
        <w:numPr>
          <w:ilvl w:val="0"/>
          <w:numId w:val="943"/>
        </w:numPr>
        <w:spacing w:before="200"/>
        <w:ind w:left="720" w:hanging="192"/>
        <w:jc w:val="left"/>
        <w:rPr>
          <w:rFonts w:eastAsia="Arial" w:cs="Arial"/>
          <w:sz w:val="20"/>
          <w:szCs w:val="20"/>
        </w:rPr>
      </w:pPr>
      <w:r>
        <w:rPr>
          <w:rFonts w:eastAsia="Arial" w:cs="Arial"/>
          <w:sz w:val="20"/>
          <w:szCs w:val="20"/>
        </w:rPr>
        <w:t xml:space="preserve">Review periodic reconciliation of client account statements for patterns among the reconciling items used over a period of time (e.g., six months) to balance the positions shown by custodians to those shown on the books of KCD. </w:t>
      </w:r>
    </w:p>
    <w:p>
      <w:pPr>
        <w:numPr>
          <w:ilvl w:val="0"/>
          <w:numId w:val="943"/>
        </w:numPr>
        <w:ind w:left="720" w:hanging="192"/>
        <w:jc w:val="left"/>
        <w:rPr>
          <w:rFonts w:eastAsia="Arial" w:cs="Arial"/>
          <w:sz w:val="20"/>
          <w:szCs w:val="20"/>
        </w:rPr>
      </w:pPr>
      <w:r>
        <w:rPr>
          <w:rFonts w:eastAsia="Arial" w:cs="Arial"/>
          <w:sz w:val="20"/>
          <w:szCs w:val="20"/>
        </w:rPr>
        <w:t>Identify any reconciling items that consistently appear from one reconciliation to the next. These items may indicate a misuse or misappropriation of client assets. Alternatively, they may indicate poor recordkeeping that could result in misuse or misappropriation of client assets.</w:t>
      </w:r>
    </w:p>
    <w:p>
      <w:pPr>
        <w:numPr>
          <w:ilvl w:val="0"/>
          <w:numId w:val="943"/>
        </w:numPr>
        <w:ind w:left="720" w:hanging="192"/>
        <w:jc w:val="left"/>
        <w:rPr>
          <w:rFonts w:eastAsia="Arial" w:cs="Arial"/>
          <w:sz w:val="20"/>
          <w:szCs w:val="20"/>
        </w:rPr>
      </w:pPr>
      <w:r>
        <w:rPr>
          <w:rFonts w:eastAsia="Arial" w:cs="Arial"/>
          <w:sz w:val="20"/>
          <w:szCs w:val="20"/>
        </w:rPr>
        <w:t>Confirm that advisory accounts, including those of commingled accounts, are held in a secure manner and moved in ways that protect them from theft.</w:t>
      </w:r>
    </w:p>
    <w:p>
      <w:pPr>
        <w:numPr>
          <w:ilvl w:val="0"/>
          <w:numId w:val="943"/>
        </w:numPr>
        <w:spacing w:after="200"/>
        <w:ind w:left="720" w:hanging="192"/>
        <w:jc w:val="left"/>
        <w:rPr>
          <w:rFonts w:eastAsia="Arial" w:cs="Arial"/>
          <w:sz w:val="20"/>
          <w:szCs w:val="20"/>
        </w:rPr>
      </w:pPr>
      <w:r>
        <w:rPr>
          <w:rFonts w:eastAsia="Arial" w:cs="Arial"/>
          <w:sz w:val="20"/>
          <w:szCs w:val="20"/>
        </w:rPr>
        <w:t>Confirm that information provided to clients regarding transactions in and balances of their accounts accurately reflects the actual transactions in and balances of those accounts and reflects fairly all decisions affecting these accounts.</w:t>
      </w:r>
    </w:p>
    <w:p>
      <w:pPr>
        <w:pStyle w:val="normal0"/>
        <w:spacing w:before="200" w:after="200"/>
        <w:rPr>
          <w:rFonts w:eastAsia="Arial" w:cs="Arial"/>
          <w:sz w:val="20"/>
          <w:szCs w:val="20"/>
        </w:rPr>
      </w:pPr>
      <w:r>
        <w:rPr>
          <w:rFonts w:eastAsia="Arial" w:cs="Arial"/>
          <w:b/>
          <w:bCs/>
          <w:sz w:val="20"/>
          <w:szCs w:val="20"/>
        </w:rPr>
        <w:t>Compliance</w:t>
      </w:r>
    </w:p>
    <w:p>
      <w:pPr>
        <w:pStyle w:val="normal0"/>
        <w:spacing w:before="200" w:after="200"/>
        <w:rPr>
          <w:rFonts w:eastAsia="Arial" w:cs="Arial"/>
          <w:sz w:val="20"/>
          <w:szCs w:val="20"/>
        </w:rPr>
      </w:pPr>
      <w:r>
        <w:rPr>
          <w:rFonts w:eastAsia="Arial" w:cs="Arial"/>
          <w:sz w:val="20"/>
          <w:szCs w:val="20"/>
        </w:rPr>
        <w:t>Ensure that KCD is generating and maintaining necessary compliance testing documents and information including:</w:t>
      </w:r>
    </w:p>
    <w:p>
      <w:pPr>
        <w:numPr>
          <w:ilvl w:val="0"/>
          <w:numId w:val="944"/>
        </w:numPr>
        <w:spacing w:before="200"/>
        <w:ind w:left="720" w:hanging="192"/>
        <w:jc w:val="left"/>
        <w:rPr>
          <w:rFonts w:eastAsia="Arial" w:cs="Arial"/>
          <w:sz w:val="20"/>
          <w:szCs w:val="20"/>
        </w:rPr>
      </w:pPr>
      <w:r>
        <w:rPr>
          <w:rFonts w:eastAsia="Arial" w:cs="Arial"/>
          <w:sz w:val="20"/>
          <w:szCs w:val="20"/>
        </w:rPr>
        <w:t>Compliance reviews;</w:t>
      </w:r>
    </w:p>
    <w:p>
      <w:pPr>
        <w:numPr>
          <w:ilvl w:val="0"/>
          <w:numId w:val="944"/>
        </w:numPr>
        <w:ind w:left="720" w:hanging="192"/>
        <w:jc w:val="left"/>
        <w:rPr>
          <w:rFonts w:eastAsia="Arial" w:cs="Arial"/>
          <w:sz w:val="20"/>
          <w:szCs w:val="20"/>
        </w:rPr>
      </w:pPr>
      <w:r>
        <w:rPr>
          <w:rFonts w:eastAsia="Arial" w:cs="Arial"/>
          <w:sz w:val="20"/>
          <w:szCs w:val="20"/>
        </w:rPr>
        <w:t>Quality control analyses;</w:t>
      </w:r>
    </w:p>
    <w:p>
      <w:pPr>
        <w:numPr>
          <w:ilvl w:val="0"/>
          <w:numId w:val="944"/>
        </w:numPr>
        <w:ind w:left="720" w:hanging="192"/>
        <w:jc w:val="left"/>
        <w:rPr>
          <w:rFonts w:eastAsia="Arial" w:cs="Arial"/>
          <w:sz w:val="20"/>
          <w:szCs w:val="20"/>
        </w:rPr>
      </w:pPr>
      <w:r>
        <w:rPr>
          <w:rFonts w:eastAsia="Arial" w:cs="Arial"/>
          <w:sz w:val="20"/>
          <w:szCs w:val="20"/>
        </w:rPr>
        <w:t>Surveillance information;</w:t>
      </w:r>
    </w:p>
    <w:p>
      <w:pPr>
        <w:numPr>
          <w:ilvl w:val="0"/>
          <w:numId w:val="944"/>
        </w:numPr>
        <w:ind w:left="720" w:hanging="192"/>
        <w:jc w:val="left"/>
        <w:rPr>
          <w:rFonts w:eastAsia="Arial" w:cs="Arial"/>
          <w:sz w:val="20"/>
          <w:szCs w:val="20"/>
        </w:rPr>
      </w:pPr>
      <w:r>
        <w:rPr>
          <w:rFonts w:eastAsia="Arial" w:cs="Arial"/>
          <w:sz w:val="20"/>
          <w:szCs w:val="20"/>
        </w:rPr>
        <w:t>Forensic and transactional tests performed;</w:t>
      </w:r>
    </w:p>
    <w:p>
      <w:pPr>
        <w:numPr>
          <w:ilvl w:val="0"/>
          <w:numId w:val="944"/>
        </w:numPr>
        <w:ind w:left="720" w:hanging="192"/>
        <w:jc w:val="left"/>
        <w:rPr>
          <w:rFonts w:eastAsia="Arial" w:cs="Arial"/>
          <w:sz w:val="20"/>
          <w:szCs w:val="20"/>
        </w:rPr>
      </w:pPr>
      <w:r>
        <w:rPr>
          <w:rFonts w:eastAsia="Arial" w:cs="Arial"/>
          <w:sz w:val="20"/>
          <w:szCs w:val="20"/>
        </w:rPr>
        <w:t>Significant compliance findings; and</w:t>
      </w:r>
    </w:p>
    <w:p>
      <w:pPr>
        <w:numPr>
          <w:ilvl w:val="0"/>
          <w:numId w:val="944"/>
        </w:numPr>
        <w:spacing w:after="200"/>
        <w:ind w:left="720" w:hanging="192"/>
        <w:jc w:val="left"/>
        <w:rPr>
          <w:rFonts w:eastAsia="Arial" w:cs="Arial"/>
          <w:sz w:val="20"/>
          <w:szCs w:val="20"/>
        </w:rPr>
      </w:pPr>
      <w:r>
        <w:rPr>
          <w:rFonts w:eastAsia="Arial" w:cs="Arial"/>
          <w:sz w:val="20"/>
          <w:szCs w:val="20"/>
        </w:rPr>
        <w:t>Information about corrective or remedial actions taken regarding these findings.</w:t>
      </w:r>
    </w:p>
    <w:p>
      <w:bookmarkEnd w:id="1096"/>
      <w:bookmarkStart w:id="1098" w:name="Sec_Chp_061016102246187_06101610214318"/>
    </w:p>
    <w:p>
      <w:pPr>
        <w:pStyle w:val="Heading3"/>
      </w:pPr>
      <w:bookmarkStart w:id="1099" w:name="_Toc256000287"/>
      <w:r>
        <w:t>14.3.17 SEC Exemptive Orders and No-Action Letters</w:t>
      </w:r>
      <w:bookmarkEnd w:id="1099"/>
    </w:p>
    <w:p/>
    <w:p>
      <w:pPr>
        <w:rPr>
          <w:rFonts w:eastAsia="Arial" w:cs="Arial"/>
          <w:sz w:val="16"/>
          <w:szCs w:val="16"/>
        </w:rPr>
      </w:pPr>
    </w:p>
    <w:tbl>
      <w:tblPr>
        <w:tblStyle w:val="strfreeform"/>
        <w:tblW w:w="5000" w:type="pct"/>
        <w:tblCellSpacing w:w="0" w:type="dxa"/>
        <w:tblBorders>
          <w:top w:val="outset" w:sz="6" w:space="0" w:color="808080"/>
          <w:left w:val="outset" w:sz="6" w:space="0" w:color="808080"/>
          <w:bottom w:val="outset" w:sz="6" w:space="0" w:color="808080"/>
          <w:right w:val="outset" w:sz="6" w:space="0" w:color="808080"/>
        </w:tblBorders>
        <w:tblCellMar>
          <w:top w:w="45" w:type="dxa"/>
          <w:left w:w="45" w:type="dxa"/>
          <w:bottom w:w="45" w:type="dxa"/>
          <w:right w:w="45" w:type="dxa"/>
        </w:tblCellMar>
        <w:tblLook w:val="05E0"/>
      </w:tblPr>
      <w:tblGrid>
        <w:gridCol w:w="9920"/>
      </w:tblGrid>
      <w:tr>
        <w:tblPrEx>
          <w:tblW w:w="5000" w:type="pct"/>
          <w:tblLook w:val="05E0"/>
        </w:tblPrEx>
        <w:tc>
          <w:tcPr>
            <w:tcBorders>
              <w:top w:val="outset" w:sz="6" w:space="0" w:color="808080"/>
              <w:left w:val="outset" w:sz="6" w:space="0" w:color="808080"/>
              <w:bottom w:val="outset" w:sz="6" w:space="0" w:color="808080"/>
              <w:right w:val="outset" w:sz="6" w:space="0" w:color="808080"/>
            </w:tcBorders>
            <w:noWrap w:val="0"/>
            <w:tcMar>
              <w:top w:w="45" w:type="dxa"/>
              <w:left w:w="45" w:type="dxa"/>
              <w:bottom w:w="45" w:type="dxa"/>
              <w:right w:w="45" w:type="dxa"/>
            </w:tcMar>
            <w:vAlign w:val="center"/>
            <w:hideMark/>
          </w:tcPr>
          <w:p>
            <w:pPr>
              <w:rPr>
                <w:rFonts w:eastAsia="Arial" w:cs="Arial"/>
                <w:b w:val="0"/>
                <w:bCs w:val="0"/>
                <w:i w:val="0"/>
                <w:iCs w:val="0"/>
                <w:smallCaps w:val="0"/>
                <w:color w:val="000000"/>
                <w:sz w:val="24"/>
              </w:rPr>
            </w:pPr>
            <w:r>
              <w:rPr>
                <w:rFonts w:eastAsia="Arial" w:cs="Arial"/>
                <w:b w:val="0"/>
                <w:bCs w:val="0"/>
                <w:i w:val="0"/>
                <w:iCs w:val="0"/>
                <w:smallCaps w:val="0"/>
                <w:color w:val="000000"/>
                <w:sz w:val="20"/>
              </w:rPr>
              <w:br/>
            </w:r>
            <w:r>
              <w:rPr>
                <w:rFonts w:eastAsia="Arial" w:cs="Arial"/>
                <w:b w:val="0"/>
                <w:bCs w:val="0"/>
                <w:i w:val="0"/>
                <w:iCs w:val="0"/>
                <w:smallCaps w:val="0"/>
                <w:color w:val="000000"/>
                <w:sz w:val="20"/>
              </w:rPr>
              <w:t>An SEC exemptive order starts with a process whereby an adviser submits an application to the SEC to obtain relief from a provision of the Investment Advisers Act of 1940 or other securities law or rules thereunder to allow an act otherwise prohibited. The SEC has broad powers to grant exemptive orders. The process begins with the adviser filing an application with the SEC. If approved, the proposed order is noticed in the Federal Register. After the requisite notice period, typically 25 days, the order is granted. Orders almost always have conditions that must be met.</w:t>
            </w:r>
            <w:r>
              <w:rPr>
                <w:rFonts w:eastAsia="Arial" w:cs="Arial"/>
                <w:b w:val="0"/>
                <w:bCs w:val="0"/>
                <w:i w:val="0"/>
                <w:iCs w:val="0"/>
                <w:smallCaps w:val="0"/>
                <w:color w:val="000000"/>
                <w:sz w:val="20"/>
              </w:rPr>
              <w:br/>
            </w:r>
            <w:r>
              <w:rPr>
                <w:rFonts w:eastAsia="Arial" w:cs="Arial"/>
                <w:b w:val="0"/>
                <w:bCs w:val="0"/>
                <w:i w:val="0"/>
                <w:iCs w:val="0"/>
                <w:smallCaps w:val="0"/>
                <w:color w:val="000000"/>
                <w:sz w:val="20"/>
              </w:rPr>
              <w:br/>
            </w:r>
            <w:r>
              <w:rPr>
                <w:rFonts w:eastAsia="Arial" w:cs="Arial"/>
                <w:b w:val="0"/>
                <w:bCs w:val="0"/>
                <w:i w:val="0"/>
                <w:iCs w:val="0"/>
                <w:smallCaps w:val="0"/>
                <w:color w:val="000000"/>
                <w:sz w:val="20"/>
              </w:rPr>
              <w:t>An SEC no-action letter starts with a process whereby an adviser submits a letter to the SEC with a set of facts and requests that the SEC either take no enforcement action if the adviser takes the actions set forth in the letter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a no-action letter) or requests SEC guidance on the legal issues presented by the facts in the letter (</w:t>
            </w:r>
            <w:r>
              <w:rPr>
                <w:rFonts w:eastAsia="Arial" w:cs="Arial"/>
                <w:b w:val="0"/>
                <w:bCs w:val="0"/>
                <w:i/>
                <w:iCs/>
                <w:smallCaps w:val="0"/>
                <w:color w:val="000000"/>
                <w:sz w:val="20"/>
              </w:rPr>
              <w:t>i.e.,</w:t>
            </w:r>
            <w:r>
              <w:rPr>
                <w:rFonts w:eastAsia="Arial" w:cs="Arial"/>
                <w:b w:val="0"/>
                <w:bCs w:val="0"/>
                <w:i w:val="0"/>
                <w:iCs w:val="0"/>
                <w:smallCaps w:val="0"/>
                <w:color w:val="000000"/>
                <w:sz w:val="20"/>
              </w:rPr>
              <w:t xml:space="preserve"> an interpretive letter). </w:t>
            </w:r>
          </w:p>
        </w:tc>
      </w:tr>
    </w:tbl>
    <w:p>
      <w:pPr>
        <w:rPr>
          <w:rFonts w:eastAsia="Arial" w:cs="Arial"/>
          <w:sz w:val="20"/>
          <w:szCs w:val="20"/>
        </w:rPr>
      </w:pPr>
    </w:p>
    <w:p>
      <w:pPr>
        <w:spacing w:before="200" w:after="200"/>
        <w:rPr>
          <w:rFonts w:eastAsia="Arial" w:cs="Arial"/>
          <w:sz w:val="20"/>
          <w:szCs w:val="20"/>
        </w:rPr>
      </w:pPr>
      <w:r>
        <w:rPr>
          <w:rFonts w:eastAsia="Arial" w:cs="Arial"/>
          <w:b/>
          <w:bCs/>
          <w:sz w:val="20"/>
          <w:szCs w:val="20"/>
        </w:rPr>
        <w:t>Exemptive Orders</w:t>
      </w:r>
    </w:p>
    <w:p>
      <w:pPr>
        <w:spacing w:before="200" w:after="200"/>
        <w:rPr>
          <w:rFonts w:eastAsia="Arial" w:cs="Arial"/>
          <w:sz w:val="20"/>
          <w:szCs w:val="20"/>
        </w:rPr>
      </w:pPr>
      <w:r>
        <w:rPr>
          <w:rFonts w:eastAsia="Arial" w:cs="Arial"/>
          <w:sz w:val="20"/>
          <w:szCs w:val="20"/>
        </w:rPr>
        <w:t>Section 206A of the Advisers Act permits the SEC to issue orders to investment advisers that exempt them from provisions and rules under that Act. KCD shall submit each application for an exemptive order in a manner that complies with Rules 0-4 and 0-5 under the Advisers Act. Prior to submitting an exemptive application to the SEC, KCD will confer with outside legal counsel who shall be directed to review the application and the proposed process for filing the application.</w:t>
      </w:r>
    </w:p>
    <w:p>
      <w:pPr>
        <w:spacing w:before="200" w:after="200"/>
        <w:rPr>
          <w:rFonts w:eastAsia="Arial" w:cs="Arial"/>
          <w:sz w:val="20"/>
          <w:szCs w:val="20"/>
        </w:rPr>
      </w:pPr>
      <w:r>
        <w:rPr>
          <w:rFonts w:eastAsia="Arial" w:cs="Arial"/>
          <w:sz w:val="20"/>
          <w:szCs w:val="20"/>
        </w:rPr>
        <w:t>KCD shall submit an application for an exemptive order to the SEC by submitting a paper copy of the application to:</w:t>
      </w:r>
    </w:p>
    <w:p>
      <w:pPr>
        <w:spacing w:before="200" w:after="200"/>
        <w:rPr>
          <w:rFonts w:eastAsia="Arial" w:cs="Arial"/>
          <w:sz w:val="20"/>
          <w:szCs w:val="20"/>
        </w:rPr>
      </w:pPr>
      <w:r>
        <w:rPr>
          <w:rFonts w:eastAsia="Arial" w:cs="Arial"/>
          <w:sz w:val="20"/>
          <w:szCs w:val="20"/>
        </w:rPr>
        <w:t xml:space="preserve">Division of Investment Management </w:t>
      </w:r>
      <w:r>
        <w:rPr>
          <w:rFonts w:eastAsia="Arial" w:cs="Arial"/>
          <w:sz w:val="20"/>
          <w:szCs w:val="20"/>
        </w:rPr>
        <w:br/>
      </w:r>
      <w:r>
        <w:rPr>
          <w:rFonts w:eastAsia="Arial" w:cs="Arial"/>
          <w:sz w:val="20"/>
          <w:szCs w:val="20"/>
        </w:rPr>
        <w:t xml:space="preserve">Securities and Exchange Commission </w:t>
      </w:r>
      <w:r>
        <w:rPr>
          <w:rFonts w:eastAsia="Arial" w:cs="Arial"/>
          <w:sz w:val="20"/>
          <w:szCs w:val="20"/>
        </w:rPr>
        <w:br/>
      </w:r>
      <w:r>
        <w:rPr>
          <w:rFonts w:eastAsia="Arial" w:cs="Arial"/>
          <w:sz w:val="20"/>
          <w:szCs w:val="20"/>
        </w:rPr>
        <w:t xml:space="preserve">100 F Street, NE </w:t>
      </w:r>
      <w:r>
        <w:rPr>
          <w:rFonts w:eastAsia="Arial" w:cs="Arial"/>
          <w:sz w:val="20"/>
          <w:szCs w:val="20"/>
        </w:rPr>
        <w:br/>
      </w:r>
      <w:r>
        <w:rPr>
          <w:rFonts w:eastAsia="Arial" w:cs="Arial"/>
          <w:sz w:val="20"/>
          <w:szCs w:val="20"/>
        </w:rPr>
        <w:t>Washington, DC 20549</w:t>
      </w:r>
    </w:p>
    <w:p>
      <w:pPr>
        <w:spacing w:before="200" w:after="200"/>
        <w:rPr>
          <w:rFonts w:eastAsia="Arial" w:cs="Arial"/>
          <w:sz w:val="20"/>
          <w:szCs w:val="20"/>
        </w:rPr>
      </w:pPr>
      <w:r>
        <w:rPr>
          <w:rFonts w:eastAsia="Arial" w:cs="Arial"/>
          <w:b/>
          <w:bCs/>
          <w:sz w:val="20"/>
          <w:szCs w:val="20"/>
        </w:rPr>
        <w:t>No-Action/Interpretive Letters</w:t>
      </w:r>
    </w:p>
    <w:p>
      <w:pPr>
        <w:spacing w:before="200" w:after="200"/>
        <w:rPr>
          <w:rFonts w:eastAsia="Arial" w:cs="Arial"/>
          <w:sz w:val="20"/>
          <w:szCs w:val="20"/>
        </w:rPr>
      </w:pPr>
      <w:r>
        <w:rPr>
          <w:rFonts w:eastAsia="Arial" w:cs="Arial"/>
          <w:sz w:val="20"/>
          <w:szCs w:val="20"/>
        </w:rPr>
        <w:t>KCD shall follow the procedures set forth below when submitting requests for no-action or interpretive letters. Prior to submitting a no-action letter to the SEC, KCD will confer with outside legal counsel who shall be directed to review the no-action letter and the proposed process for filing the no-action letter. The submission shall meet the following:</w:t>
      </w:r>
    </w:p>
    <w:p>
      <w:pPr>
        <w:numPr>
          <w:ilvl w:val="0"/>
          <w:numId w:val="945"/>
        </w:numPr>
        <w:spacing w:before="200"/>
        <w:ind w:left="720" w:hanging="192"/>
        <w:jc w:val="left"/>
        <w:rPr>
          <w:rFonts w:eastAsia="Arial" w:cs="Arial"/>
          <w:sz w:val="20"/>
          <w:szCs w:val="20"/>
        </w:rPr>
      </w:pPr>
      <w:r>
        <w:rPr>
          <w:rFonts w:eastAsia="Arial" w:cs="Arial"/>
          <w:sz w:val="20"/>
          <w:szCs w:val="20"/>
        </w:rPr>
        <w:t>The specific subsection of the particular statute to which the no-action letter pertains should be indicated in the upper right-hand corner of the no-action letter submitted.</w:t>
      </w:r>
    </w:p>
    <w:p>
      <w:pPr>
        <w:numPr>
          <w:ilvl w:val="0"/>
          <w:numId w:val="945"/>
        </w:numPr>
        <w:ind w:left="720" w:hanging="192"/>
        <w:jc w:val="left"/>
        <w:rPr>
          <w:rFonts w:eastAsia="Arial" w:cs="Arial"/>
          <w:sz w:val="20"/>
          <w:szCs w:val="20"/>
        </w:rPr>
      </w:pPr>
      <w:r>
        <w:rPr>
          <w:rFonts w:eastAsia="Arial" w:cs="Arial"/>
          <w:sz w:val="20"/>
          <w:szCs w:val="20"/>
        </w:rPr>
        <w:t>The names of the Firm and all other persons involved should be stated. Where the request involves potentially "market-moving" information and/or KCD does not wish to provide its name, the name of counsel representing KCD should be provided. No-action letters relating to hypothetical situations will not be answered by the SEC.</w:t>
      </w:r>
    </w:p>
    <w:p>
      <w:pPr>
        <w:numPr>
          <w:ilvl w:val="0"/>
          <w:numId w:val="945"/>
        </w:numPr>
        <w:ind w:left="720" w:hanging="192"/>
        <w:jc w:val="left"/>
        <w:rPr>
          <w:rFonts w:eastAsia="Arial" w:cs="Arial"/>
          <w:sz w:val="20"/>
          <w:szCs w:val="20"/>
        </w:rPr>
      </w:pPr>
      <w:r>
        <w:rPr>
          <w:rFonts w:eastAsia="Arial" w:cs="Arial"/>
          <w:sz w:val="20"/>
          <w:szCs w:val="20"/>
        </w:rPr>
        <w:t>No-action letters should be limited to the particular situation involving the problem at hand and should not attempt to include every possible type of situation which may arise in the future.</w:t>
      </w:r>
    </w:p>
    <w:p>
      <w:pPr>
        <w:numPr>
          <w:ilvl w:val="0"/>
          <w:numId w:val="945"/>
        </w:numPr>
        <w:ind w:left="720" w:hanging="192"/>
        <w:jc w:val="left"/>
        <w:rPr>
          <w:rFonts w:eastAsia="Arial" w:cs="Arial"/>
          <w:sz w:val="20"/>
          <w:szCs w:val="20"/>
        </w:rPr>
      </w:pPr>
      <w:r>
        <w:rPr>
          <w:rFonts w:eastAsia="Arial" w:cs="Arial"/>
          <w:sz w:val="20"/>
          <w:szCs w:val="20"/>
        </w:rPr>
        <w:t>While it is essential that letters contain all of the facts necessary to reach a conclusion in the matter, they should be concise and to the point.</w:t>
      </w:r>
    </w:p>
    <w:p>
      <w:pPr>
        <w:numPr>
          <w:ilvl w:val="0"/>
          <w:numId w:val="945"/>
        </w:numPr>
        <w:ind w:left="720" w:hanging="192"/>
        <w:jc w:val="left"/>
        <w:rPr>
          <w:rFonts w:eastAsia="Arial" w:cs="Arial"/>
          <w:sz w:val="20"/>
          <w:szCs w:val="20"/>
        </w:rPr>
      </w:pPr>
      <w:r>
        <w:rPr>
          <w:rFonts w:eastAsia="Arial" w:cs="Arial"/>
          <w:sz w:val="20"/>
          <w:szCs w:val="20"/>
        </w:rPr>
        <w:t>The writer should indicate why he or she thinks a problem exists and his or her own legal analysis in the matter.</w:t>
      </w:r>
    </w:p>
    <w:p>
      <w:pPr>
        <w:numPr>
          <w:ilvl w:val="0"/>
          <w:numId w:val="945"/>
        </w:numPr>
        <w:spacing w:after="200"/>
        <w:ind w:left="720" w:hanging="192"/>
        <w:jc w:val="left"/>
        <w:rPr>
          <w:rFonts w:eastAsia="Arial" w:cs="Arial"/>
          <w:sz w:val="20"/>
          <w:szCs w:val="20"/>
        </w:rPr>
      </w:pPr>
      <w:r>
        <w:rPr>
          <w:rFonts w:eastAsia="Arial" w:cs="Arial"/>
          <w:sz w:val="20"/>
          <w:szCs w:val="20"/>
        </w:rPr>
        <w:t>If a request for confidential treatment is made, this request and the basis therefore should be included in a separate letter and submitted with the no-action letter.</w:t>
      </w:r>
    </w:p>
    <w:p>
      <w:pPr>
        <w:spacing w:before="200" w:after="200"/>
        <w:rPr>
          <w:rFonts w:eastAsia="Arial" w:cs="Arial"/>
          <w:sz w:val="20"/>
          <w:szCs w:val="20"/>
        </w:rPr>
      </w:pPr>
      <w:r>
        <w:rPr>
          <w:rFonts w:eastAsia="Arial" w:cs="Arial"/>
          <w:b/>
          <w:bCs/>
          <w:sz w:val="20"/>
          <w:szCs w:val="20"/>
        </w:rPr>
        <w:t>Compliance with Exemptive Orders, No-Action Letters and Interpretive Letters</w:t>
      </w:r>
    </w:p>
    <w:p>
      <w:pPr>
        <w:pStyle w:val="normal0"/>
        <w:spacing w:before="200" w:after="200"/>
        <w:rPr>
          <w:rFonts w:eastAsia="Arial" w:cs="Arial"/>
          <w:sz w:val="20"/>
          <w:szCs w:val="20"/>
        </w:rPr>
      </w:pPr>
      <w:r>
        <w:rPr>
          <w:rFonts w:eastAsia="Arial" w:cs="Arial"/>
          <w:sz w:val="20"/>
          <w:szCs w:val="20"/>
        </w:rPr>
        <w:t>KCD shall comply with all SEC exemptive orders and no-action and interpretive letters that it has obtained. To ensure compliance, the Chief Compliance Officer shall:</w:t>
      </w:r>
    </w:p>
    <w:p>
      <w:pPr>
        <w:numPr>
          <w:ilvl w:val="0"/>
          <w:numId w:val="946"/>
        </w:numPr>
        <w:spacing w:before="200"/>
        <w:ind w:left="720" w:hanging="267"/>
        <w:jc w:val="left"/>
        <w:rPr>
          <w:rFonts w:eastAsia="Arial" w:cs="Arial"/>
          <w:sz w:val="20"/>
          <w:szCs w:val="20"/>
        </w:rPr>
      </w:pPr>
      <w:r>
        <w:rPr>
          <w:rFonts w:eastAsia="Arial" w:cs="Arial"/>
          <w:sz w:val="20"/>
          <w:szCs w:val="20"/>
        </w:rPr>
        <w:t>Maintain all exemptive orders and no-action and interpretive letters that KCD has received, including the related notice and exemptive application or letter, as applicable;</w:t>
      </w:r>
    </w:p>
    <w:p>
      <w:pPr>
        <w:numPr>
          <w:ilvl w:val="0"/>
          <w:numId w:val="946"/>
        </w:numPr>
        <w:ind w:left="720" w:hanging="267"/>
        <w:jc w:val="left"/>
        <w:rPr>
          <w:rFonts w:eastAsia="Arial" w:cs="Arial"/>
          <w:sz w:val="20"/>
          <w:szCs w:val="20"/>
        </w:rPr>
      </w:pPr>
      <w:r>
        <w:rPr>
          <w:rFonts w:eastAsia="Arial" w:cs="Arial"/>
          <w:sz w:val="20"/>
          <w:szCs w:val="20"/>
        </w:rPr>
        <w:t>Determine which exemptive orders and no-action and interpretive letters that KCD currently relies upon;</w:t>
      </w:r>
    </w:p>
    <w:p>
      <w:pPr>
        <w:numPr>
          <w:ilvl w:val="0"/>
          <w:numId w:val="946"/>
        </w:numPr>
        <w:ind w:left="720" w:hanging="267"/>
        <w:jc w:val="left"/>
        <w:rPr>
          <w:rFonts w:eastAsia="Arial" w:cs="Arial"/>
          <w:sz w:val="20"/>
          <w:szCs w:val="20"/>
        </w:rPr>
      </w:pPr>
      <w:r>
        <w:rPr>
          <w:rFonts w:eastAsia="Arial" w:cs="Arial"/>
          <w:sz w:val="20"/>
          <w:szCs w:val="20"/>
        </w:rPr>
        <w:t>List out the conditions of each exemptive order and no-action and interpretive letter, comply with each of them and periodically verify that KCD is complying with each of them; and</w:t>
      </w:r>
    </w:p>
    <w:p>
      <w:pPr>
        <w:numPr>
          <w:ilvl w:val="0"/>
          <w:numId w:val="946"/>
        </w:numPr>
        <w:spacing w:after="200"/>
        <w:ind w:left="720" w:hanging="267"/>
        <w:jc w:val="left"/>
        <w:rPr>
          <w:rFonts w:eastAsia="Arial" w:cs="Arial"/>
          <w:sz w:val="20"/>
          <w:szCs w:val="20"/>
        </w:rPr>
      </w:pPr>
      <w:r>
        <w:rPr>
          <w:rFonts w:eastAsia="Arial" w:cs="Arial"/>
          <w:sz w:val="20"/>
          <w:szCs w:val="20"/>
        </w:rPr>
        <w:t>Take or cause to be taken any corrective action if it is determined that KCD or its employee is not in compliance with a condition in an exemptive or no-action or interpretive letter.</w:t>
      </w:r>
    </w:p>
    <w:p>
      <w:bookmarkEnd w:id="1098"/>
      <w:bookmarkStart w:id="1100" w:name="Sec_Chp_061016102246187_14319"/>
    </w:p>
    <w:p>
      <w:pPr>
        <w:pStyle w:val="Heading3"/>
      </w:pPr>
      <w:bookmarkStart w:id="1101" w:name="_Toc256000288"/>
      <w:r>
        <w:t>14.3.18 Branch Offices</w:t>
      </w:r>
      <w:bookmarkEnd w:id="1101"/>
    </w:p>
    <w:p/>
    <w:p>
      <w:pPr>
        <w:rPr>
          <w:rFonts w:eastAsia="Arial" w:cs="Arial"/>
          <w:sz w:val="16"/>
          <w:szCs w:val="16"/>
        </w:rPr>
      </w:pPr>
    </w:p>
    <w:p>
      <w:pPr>
        <w:spacing w:after="200"/>
        <w:rPr>
          <w:rFonts w:eastAsia="Arial" w:cs="Arial"/>
          <w:sz w:val="20"/>
          <w:szCs w:val="20"/>
        </w:rPr>
      </w:pPr>
      <w:r>
        <w:rPr>
          <w:rFonts w:eastAsia="Arial" w:cs="Arial"/>
          <w:b/>
          <w:bCs/>
          <w:sz w:val="20"/>
          <w:szCs w:val="20"/>
        </w:rPr>
        <w:t>On-Site Branch Office Reviews</w:t>
      </w:r>
    </w:p>
    <w:p>
      <w:pPr>
        <w:spacing w:before="200" w:after="200"/>
        <w:rPr>
          <w:rFonts w:eastAsia="Arial" w:cs="Arial"/>
          <w:sz w:val="20"/>
          <w:szCs w:val="20"/>
        </w:rPr>
      </w:pPr>
      <w:r>
        <w:rPr>
          <w:rFonts w:eastAsia="Arial" w:cs="Arial"/>
          <w:sz w:val="20"/>
          <w:szCs w:val="20"/>
        </w:rPr>
        <w:t>The Chief Compliance Officer at least annually will perform testing and reviews of key compliance requirements and responsibilities at each and every branch office of KCD and will conduct more frequent reviews as necessary. At a minimum, the Chief Compliance Officer shall perform the following compliance oversight and testing at a branch office, as applicable:</w:t>
      </w:r>
    </w:p>
    <w:p>
      <w:pPr>
        <w:numPr>
          <w:ilvl w:val="0"/>
          <w:numId w:val="947"/>
        </w:numPr>
        <w:spacing w:before="200"/>
        <w:ind w:left="720" w:hanging="192"/>
        <w:jc w:val="left"/>
        <w:rPr>
          <w:rFonts w:eastAsia="Arial" w:cs="Arial"/>
          <w:sz w:val="20"/>
          <w:szCs w:val="20"/>
        </w:rPr>
      </w:pPr>
      <w:r>
        <w:rPr>
          <w:rFonts w:eastAsia="Arial" w:cs="Arial"/>
          <w:sz w:val="20"/>
          <w:szCs w:val="20"/>
        </w:rPr>
        <w:t>Validating that the branch office undertakes and completed assigned compliance responsibilities including reviews of their portfolio management decisions;</w:t>
      </w:r>
    </w:p>
    <w:p>
      <w:pPr>
        <w:numPr>
          <w:ilvl w:val="0"/>
          <w:numId w:val="947"/>
        </w:numPr>
        <w:ind w:left="720" w:hanging="192"/>
        <w:jc w:val="left"/>
        <w:rPr>
          <w:rFonts w:eastAsia="Arial" w:cs="Arial"/>
          <w:sz w:val="20"/>
          <w:szCs w:val="20"/>
        </w:rPr>
      </w:pPr>
      <w:r>
        <w:rPr>
          <w:rFonts w:eastAsia="Arial" w:cs="Arial"/>
          <w:sz w:val="20"/>
          <w:szCs w:val="20"/>
        </w:rPr>
        <w:t>Interviewing Investment Adviser Representatives (IARs) at the branch office, including to assess whether their investment recommendations were consistent with clients' investment objectives or recommendations;</w:t>
      </w:r>
    </w:p>
    <w:p>
      <w:pPr>
        <w:numPr>
          <w:ilvl w:val="0"/>
          <w:numId w:val="947"/>
        </w:numPr>
        <w:ind w:left="720" w:hanging="192"/>
        <w:jc w:val="left"/>
        <w:rPr>
          <w:rFonts w:eastAsia="Arial" w:cs="Arial"/>
          <w:sz w:val="20"/>
          <w:szCs w:val="20"/>
        </w:rPr>
      </w:pPr>
      <w:r>
        <w:rPr>
          <w:rFonts w:eastAsia="Arial" w:cs="Arial"/>
          <w:sz w:val="20"/>
          <w:szCs w:val="20"/>
        </w:rPr>
        <w:t>Reviewing the trading systems at the branch office including how accurate such activity is being integrated into KCD's overall trading system; and</w:t>
      </w:r>
    </w:p>
    <w:p>
      <w:pPr>
        <w:numPr>
          <w:ilvl w:val="0"/>
          <w:numId w:val="947"/>
        </w:numPr>
        <w:spacing w:after="200"/>
        <w:ind w:left="720" w:hanging="192"/>
        <w:jc w:val="left"/>
        <w:rPr>
          <w:rFonts w:eastAsia="Arial" w:cs="Arial"/>
          <w:sz w:val="20"/>
          <w:szCs w:val="20"/>
        </w:rPr>
      </w:pPr>
      <w:r>
        <w:rPr>
          <w:rFonts w:eastAsia="Arial" w:cs="Arial"/>
          <w:sz w:val="20"/>
          <w:szCs w:val="20"/>
        </w:rPr>
        <w:t>Conducting compliance reviews that do not solely rely on self-reporting by personnel.</w:t>
      </w:r>
    </w:p>
    <w:p>
      <w:pPr>
        <w:spacing w:before="200" w:after="200"/>
        <w:rPr>
          <w:rFonts w:eastAsia="Arial" w:cs="Arial"/>
          <w:sz w:val="20"/>
          <w:szCs w:val="20"/>
        </w:rPr>
      </w:pPr>
      <w:r>
        <w:rPr>
          <w:rFonts w:eastAsia="Arial" w:cs="Arial"/>
          <w:b/>
          <w:bCs/>
          <w:sz w:val="20"/>
          <w:szCs w:val="20"/>
        </w:rPr>
        <w:t>Branch Office Employees with Disciplinary Histories</w:t>
      </w:r>
    </w:p>
    <w:p>
      <w:pPr>
        <w:spacing w:before="200" w:after="200"/>
        <w:rPr>
          <w:rFonts w:eastAsia="Arial" w:cs="Arial"/>
          <w:sz w:val="20"/>
          <w:szCs w:val="20"/>
        </w:rPr>
      </w:pPr>
      <w:r>
        <w:rPr>
          <w:rFonts w:eastAsia="Arial" w:cs="Arial"/>
          <w:sz w:val="20"/>
          <w:szCs w:val="20"/>
        </w:rPr>
        <w:t>The Chief Compliance Officer will verify that the applicable supervisors at the branch office are reviewing and properly supervising IARs and other personnel with disciplinary histories, verifying that such personnel are receiving the necessary heightened supervision and documenting such reviews.</w:t>
      </w:r>
    </w:p>
    <w:p>
      <w:pPr>
        <w:spacing w:before="200" w:after="200"/>
        <w:rPr>
          <w:rFonts w:eastAsia="Arial" w:cs="Arial"/>
          <w:sz w:val="20"/>
          <w:szCs w:val="20"/>
        </w:rPr>
      </w:pPr>
      <w:r>
        <w:rPr>
          <w:rFonts w:eastAsia="Arial" w:cs="Arial"/>
          <w:b/>
          <w:bCs/>
          <w:sz w:val="20"/>
          <w:szCs w:val="20"/>
        </w:rPr>
        <w:t>Pandemic and Other Natural Disasters</w:t>
      </w:r>
    </w:p>
    <w:p>
      <w:pPr>
        <w:spacing w:before="200" w:after="200"/>
        <w:rPr>
          <w:rFonts w:eastAsia="Arial" w:cs="Arial"/>
          <w:sz w:val="20"/>
          <w:szCs w:val="20"/>
        </w:rPr>
      </w:pPr>
      <w:r>
        <w:rPr>
          <w:rFonts w:eastAsia="Arial" w:cs="Arial"/>
          <w:sz w:val="20"/>
          <w:szCs w:val="20"/>
        </w:rPr>
        <w:t>Supervisors at each branch office will have the authority, after consultation with senior officers of KCD, to take courses of action in their best judgment to respond to pandemics or other natural disasters including:</w:t>
      </w:r>
    </w:p>
    <w:p>
      <w:pPr>
        <w:numPr>
          <w:ilvl w:val="0"/>
          <w:numId w:val="948"/>
        </w:numPr>
        <w:spacing w:before="200"/>
        <w:ind w:left="720" w:hanging="192"/>
        <w:jc w:val="left"/>
        <w:rPr>
          <w:rFonts w:eastAsia="Arial" w:cs="Arial"/>
          <w:sz w:val="20"/>
          <w:szCs w:val="20"/>
        </w:rPr>
      </w:pPr>
      <w:r>
        <w:rPr>
          <w:rFonts w:eastAsia="Arial" w:cs="Arial"/>
          <w:sz w:val="20"/>
          <w:szCs w:val="20"/>
        </w:rPr>
        <w:t>ordering personnel to work remotely instead of at the branch office and determining when they may return;</w:t>
      </w:r>
    </w:p>
    <w:p>
      <w:pPr>
        <w:numPr>
          <w:ilvl w:val="0"/>
          <w:numId w:val="948"/>
        </w:numPr>
        <w:ind w:left="720" w:hanging="192"/>
        <w:jc w:val="left"/>
        <w:rPr>
          <w:rFonts w:eastAsia="Arial" w:cs="Arial"/>
          <w:sz w:val="20"/>
          <w:szCs w:val="20"/>
        </w:rPr>
      </w:pPr>
      <w:r>
        <w:rPr>
          <w:rFonts w:eastAsia="Arial" w:cs="Arial"/>
          <w:sz w:val="20"/>
          <w:szCs w:val="20"/>
        </w:rPr>
        <w:t>implementing relevant parts of KCD's Business Recovery Plan; and</w:t>
      </w:r>
    </w:p>
    <w:p>
      <w:pPr>
        <w:numPr>
          <w:ilvl w:val="0"/>
          <w:numId w:val="948"/>
        </w:numPr>
        <w:spacing w:after="200"/>
        <w:ind w:left="720" w:hanging="192"/>
        <w:jc w:val="left"/>
        <w:rPr>
          <w:rFonts w:eastAsia="Arial" w:cs="Arial"/>
          <w:sz w:val="20"/>
          <w:szCs w:val="20"/>
        </w:rPr>
      </w:pPr>
      <w:r>
        <w:rPr>
          <w:rFonts w:eastAsia="Arial" w:cs="Arial"/>
          <w:sz w:val="20"/>
          <w:szCs w:val="20"/>
        </w:rPr>
        <w:t>temporarily closing the branch office.</w:t>
      </w:r>
    </w:p>
    <w:p>
      <w:pPr>
        <w:spacing w:before="200" w:after="200"/>
        <w:rPr>
          <w:rFonts w:eastAsia="Arial" w:cs="Arial"/>
          <w:sz w:val="20"/>
          <w:szCs w:val="20"/>
        </w:rPr>
      </w:pPr>
      <w:r>
        <w:rPr>
          <w:rFonts w:eastAsia="Arial" w:cs="Arial"/>
          <w:b/>
          <w:bCs/>
          <w:sz w:val="20"/>
          <w:szCs w:val="20"/>
        </w:rPr>
        <w:t>Training</w:t>
      </w:r>
    </w:p>
    <w:p>
      <w:pPr>
        <w:spacing w:before="200" w:after="200"/>
        <w:rPr>
          <w:rFonts w:eastAsia="Arial" w:cs="Arial"/>
          <w:sz w:val="20"/>
          <w:szCs w:val="20"/>
        </w:rPr>
      </w:pPr>
      <w:r>
        <w:rPr>
          <w:rFonts w:eastAsia="Arial" w:cs="Arial"/>
          <w:sz w:val="20"/>
          <w:szCs w:val="20"/>
        </w:rPr>
        <w:t>Personnel at branch offices shall receive the same compliance training as those personnel in the home office, with particular emphasis on the type of advisory services provided by the particular branch office.</w:t>
      </w:r>
    </w:p>
    <w:p>
      <w:pPr>
        <w:spacing w:before="200" w:after="200"/>
        <w:rPr>
          <w:rFonts w:eastAsia="Arial" w:cs="Arial"/>
          <w:sz w:val="20"/>
          <w:szCs w:val="20"/>
        </w:rPr>
      </w:pPr>
      <w:r>
        <w:rPr>
          <w:rFonts w:eastAsia="Arial" w:cs="Arial"/>
          <w:b/>
          <w:bCs/>
          <w:sz w:val="20"/>
          <w:szCs w:val="20"/>
        </w:rPr>
        <w:t>Centralized Processes</w:t>
      </w:r>
    </w:p>
    <w:p>
      <w:pPr>
        <w:spacing w:before="200" w:after="200"/>
        <w:rPr>
          <w:rFonts w:eastAsia="Arial" w:cs="Arial"/>
          <w:sz w:val="20"/>
          <w:szCs w:val="20"/>
        </w:rPr>
      </w:pPr>
      <w:r>
        <w:rPr>
          <w:rFonts w:eastAsia="Arial" w:cs="Arial"/>
          <w:sz w:val="20"/>
          <w:szCs w:val="20"/>
        </w:rPr>
        <w:t>KCD shall clearly delineate between centralized processes for the entire Firm and those processes carried out at the branch offices and ensure that applicable branch office employees comply and abide by centralized mandates including such areas as:</w:t>
      </w:r>
    </w:p>
    <w:p>
      <w:pPr>
        <w:numPr>
          <w:ilvl w:val="0"/>
          <w:numId w:val="949"/>
        </w:numPr>
        <w:spacing w:before="200"/>
        <w:ind w:left="720" w:hanging="192"/>
        <w:jc w:val="left"/>
        <w:rPr>
          <w:rFonts w:eastAsia="Arial" w:cs="Arial"/>
          <w:sz w:val="20"/>
          <w:szCs w:val="20"/>
        </w:rPr>
      </w:pPr>
      <w:r>
        <w:rPr>
          <w:rFonts w:eastAsia="Arial" w:cs="Arial"/>
          <w:sz w:val="20"/>
          <w:szCs w:val="20"/>
        </w:rPr>
        <w:t>personal trading activities;</w:t>
      </w:r>
    </w:p>
    <w:p>
      <w:pPr>
        <w:numPr>
          <w:ilvl w:val="0"/>
          <w:numId w:val="949"/>
        </w:numPr>
        <w:ind w:left="720" w:hanging="192"/>
        <w:jc w:val="left"/>
        <w:rPr>
          <w:rFonts w:eastAsia="Arial" w:cs="Arial"/>
          <w:sz w:val="20"/>
          <w:szCs w:val="20"/>
        </w:rPr>
      </w:pPr>
      <w:r>
        <w:rPr>
          <w:rFonts w:eastAsia="Arial" w:cs="Arial"/>
          <w:sz w:val="20"/>
          <w:szCs w:val="20"/>
        </w:rPr>
        <w:t>billing; and</w:t>
      </w:r>
    </w:p>
    <w:p>
      <w:pPr>
        <w:numPr>
          <w:ilvl w:val="0"/>
          <w:numId w:val="949"/>
        </w:numPr>
        <w:spacing w:after="200"/>
        <w:ind w:left="720" w:hanging="192"/>
        <w:jc w:val="left"/>
        <w:rPr>
          <w:rFonts w:eastAsia="Arial" w:cs="Arial"/>
          <w:sz w:val="20"/>
          <w:szCs w:val="20"/>
        </w:rPr>
      </w:pPr>
      <w:r>
        <w:rPr>
          <w:rFonts w:eastAsia="Arial" w:cs="Arial"/>
          <w:sz w:val="20"/>
          <w:szCs w:val="20"/>
        </w:rPr>
        <w:t>outside business activities.</w:t>
      </w:r>
    </w:p>
    <w:p>
      <w:bookmarkEnd w:id="1100"/>
      <w:bookmarkStart w:id="1102" w:name="Sec_Chp_061016102246187_265020"/>
    </w:p>
    <w:p>
      <w:pPr>
        <w:pStyle w:val="Heading3"/>
      </w:pPr>
      <w:bookmarkStart w:id="1103" w:name="_Toc256000289"/>
      <w:r>
        <w:t>14.3.19 Automated Compliance Tools</w:t>
      </w:r>
      <w:bookmarkEnd w:id="1103"/>
    </w:p>
    <w:p/>
    <w:p>
      <w:pPr>
        <w:rPr>
          <w:rFonts w:eastAsia="Arial" w:cs="Arial"/>
          <w:sz w:val="16"/>
          <w:szCs w:val="16"/>
        </w:rPr>
      </w:pPr>
    </w:p>
    <w:p>
      <w:pPr>
        <w:pStyle w:val="normal0"/>
        <w:spacing w:after="200"/>
        <w:rPr>
          <w:rFonts w:eastAsia="Arial" w:cs="Arial"/>
          <w:sz w:val="20"/>
          <w:szCs w:val="20"/>
        </w:rPr>
      </w:pPr>
      <w:r>
        <w:rPr>
          <w:rFonts w:eastAsia="Arial" w:cs="Arial"/>
          <w:sz w:val="20"/>
          <w:szCs w:val="20"/>
        </w:rPr>
        <w:t>KCD shall maintain a list and description of all automated systems and tools used to carry out compliance-related oversight functions and reporting obligations.</w:t>
      </w:r>
    </w:p>
    <w:p>
      <w:pPr>
        <w:pStyle w:val="normal0"/>
        <w:spacing w:before="200" w:after="200"/>
        <w:rPr>
          <w:rFonts w:eastAsia="Arial" w:cs="Arial"/>
          <w:sz w:val="20"/>
          <w:szCs w:val="20"/>
        </w:rPr>
      </w:pPr>
      <w:r>
        <w:rPr>
          <w:rFonts w:eastAsia="Arial" w:cs="Arial"/>
          <w:sz w:val="20"/>
          <w:szCs w:val="20"/>
        </w:rPr>
        <w:t>Permissible uses of automated compliance tools include:</w:t>
      </w:r>
    </w:p>
    <w:p>
      <w:pPr>
        <w:numPr>
          <w:ilvl w:val="0"/>
          <w:numId w:val="950"/>
        </w:numPr>
        <w:spacing w:before="200"/>
        <w:ind w:left="720" w:hanging="192"/>
        <w:jc w:val="left"/>
        <w:rPr>
          <w:rFonts w:eastAsia="Arial" w:cs="Arial"/>
          <w:sz w:val="20"/>
          <w:szCs w:val="20"/>
        </w:rPr>
      </w:pPr>
      <w:r>
        <w:rPr>
          <w:rFonts w:eastAsia="Arial" w:cs="Arial"/>
          <w:sz w:val="20"/>
          <w:szCs w:val="20"/>
        </w:rPr>
        <w:t>Drafting compliance review summaries or other internal memos</w:t>
      </w:r>
    </w:p>
    <w:p>
      <w:pPr>
        <w:numPr>
          <w:ilvl w:val="0"/>
          <w:numId w:val="950"/>
        </w:numPr>
        <w:ind w:left="720" w:hanging="192"/>
        <w:jc w:val="left"/>
        <w:rPr>
          <w:rFonts w:eastAsia="Arial" w:cs="Arial"/>
          <w:sz w:val="20"/>
          <w:szCs w:val="20"/>
        </w:rPr>
      </w:pPr>
      <w:r>
        <w:rPr>
          <w:rFonts w:eastAsia="Arial" w:cs="Arial"/>
          <w:sz w:val="20"/>
          <w:szCs w:val="20"/>
        </w:rPr>
        <w:t>Code generation for compliance systems (subject to review)</w:t>
      </w:r>
    </w:p>
    <w:p>
      <w:pPr>
        <w:numPr>
          <w:ilvl w:val="0"/>
          <w:numId w:val="950"/>
        </w:numPr>
        <w:ind w:left="720" w:hanging="192"/>
        <w:jc w:val="left"/>
        <w:rPr>
          <w:rFonts w:eastAsia="Arial" w:cs="Arial"/>
          <w:sz w:val="20"/>
          <w:szCs w:val="20"/>
        </w:rPr>
      </w:pPr>
      <w:r>
        <w:rPr>
          <w:rFonts w:eastAsia="Arial" w:cs="Arial"/>
          <w:sz w:val="20"/>
          <w:szCs w:val="20"/>
        </w:rPr>
        <w:t>Automating repetitive compliance processes (</w:t>
      </w:r>
      <w:r>
        <w:rPr>
          <w:rFonts w:eastAsia="Arial" w:cs="Arial"/>
          <w:i/>
          <w:iCs/>
          <w:sz w:val="20"/>
          <w:szCs w:val="20"/>
        </w:rPr>
        <w:t>e.g.,</w:t>
      </w:r>
      <w:r>
        <w:rPr>
          <w:rFonts w:eastAsia="Arial" w:cs="Arial"/>
          <w:sz w:val="20"/>
          <w:szCs w:val="20"/>
        </w:rPr>
        <w:t xml:space="preserve"> e-mail reviews, data categorization)</w:t>
      </w:r>
    </w:p>
    <w:p>
      <w:pPr>
        <w:numPr>
          <w:ilvl w:val="0"/>
          <w:numId w:val="950"/>
        </w:numPr>
        <w:ind w:left="720" w:hanging="192"/>
        <w:jc w:val="left"/>
        <w:rPr>
          <w:rFonts w:eastAsia="Arial" w:cs="Arial"/>
          <w:sz w:val="20"/>
          <w:szCs w:val="20"/>
        </w:rPr>
      </w:pPr>
      <w:r>
        <w:rPr>
          <w:rFonts w:eastAsia="Arial" w:cs="Arial"/>
          <w:sz w:val="20"/>
          <w:szCs w:val="20"/>
        </w:rPr>
        <w:t>Analyzing compliance data, subject to human validation</w:t>
      </w:r>
    </w:p>
    <w:p>
      <w:pPr>
        <w:numPr>
          <w:ilvl w:val="0"/>
          <w:numId w:val="950"/>
        </w:numPr>
        <w:spacing w:after="200"/>
        <w:ind w:left="720" w:hanging="192"/>
        <w:jc w:val="left"/>
        <w:rPr>
          <w:rFonts w:eastAsia="Arial" w:cs="Arial"/>
          <w:sz w:val="20"/>
          <w:szCs w:val="20"/>
        </w:rPr>
      </w:pPr>
      <w:r>
        <w:rPr>
          <w:rFonts w:eastAsia="Arial" w:cs="Arial"/>
          <w:sz w:val="20"/>
          <w:szCs w:val="20"/>
        </w:rPr>
        <w:t>Enhancing internal training materials or documentation</w:t>
      </w:r>
    </w:p>
    <w:p>
      <w:pPr>
        <w:pStyle w:val="normal0"/>
        <w:spacing w:before="200" w:after="200"/>
        <w:rPr>
          <w:rFonts w:eastAsia="Arial" w:cs="Arial"/>
          <w:sz w:val="20"/>
          <w:szCs w:val="20"/>
        </w:rPr>
      </w:pPr>
      <w:r>
        <w:rPr>
          <w:rFonts w:eastAsia="Arial" w:cs="Arial"/>
          <w:sz w:val="20"/>
          <w:szCs w:val="20"/>
        </w:rPr>
        <w:t>Non-permissible uses of automated compliance tools include:</w:t>
      </w:r>
    </w:p>
    <w:p>
      <w:pPr>
        <w:numPr>
          <w:ilvl w:val="0"/>
          <w:numId w:val="951"/>
        </w:numPr>
        <w:spacing w:before="200"/>
        <w:ind w:left="720" w:hanging="192"/>
        <w:jc w:val="left"/>
        <w:rPr>
          <w:rFonts w:eastAsia="Arial" w:cs="Arial"/>
          <w:sz w:val="20"/>
          <w:szCs w:val="20"/>
        </w:rPr>
      </w:pPr>
      <w:r>
        <w:rPr>
          <w:rFonts w:eastAsia="Arial" w:cs="Arial"/>
          <w:sz w:val="20"/>
          <w:szCs w:val="20"/>
        </w:rPr>
        <w:t>Making autonomous compliance decisions including compliance manual violations</w:t>
      </w:r>
    </w:p>
    <w:p>
      <w:pPr>
        <w:numPr>
          <w:ilvl w:val="0"/>
          <w:numId w:val="951"/>
        </w:numPr>
        <w:ind w:left="720" w:hanging="192"/>
        <w:jc w:val="left"/>
        <w:rPr>
          <w:rFonts w:eastAsia="Arial" w:cs="Arial"/>
          <w:sz w:val="20"/>
          <w:szCs w:val="20"/>
        </w:rPr>
      </w:pPr>
      <w:r>
        <w:rPr>
          <w:rFonts w:eastAsia="Arial" w:cs="Arial"/>
          <w:sz w:val="20"/>
          <w:szCs w:val="20"/>
        </w:rPr>
        <w:t>Creating misleading, biased, or discriminatory content or reports</w:t>
      </w:r>
    </w:p>
    <w:p>
      <w:pPr>
        <w:numPr>
          <w:ilvl w:val="0"/>
          <w:numId w:val="951"/>
        </w:numPr>
        <w:spacing w:after="200"/>
        <w:ind w:left="720" w:hanging="192"/>
        <w:jc w:val="left"/>
        <w:rPr>
          <w:rFonts w:eastAsia="Arial" w:cs="Arial"/>
          <w:sz w:val="20"/>
          <w:szCs w:val="20"/>
        </w:rPr>
      </w:pPr>
      <w:r>
        <w:rPr>
          <w:rFonts w:eastAsia="Arial" w:cs="Arial"/>
          <w:sz w:val="20"/>
          <w:szCs w:val="20"/>
        </w:rPr>
        <w:t>Circumventing established compliance, legal, or cybersecurity procedures</w:t>
      </w:r>
    </w:p>
    <w:p>
      <w:bookmarkEnd w:id="1102"/>
      <w:bookmarkStart w:id="1104" w:name="Sec_Chp_061016102246187_061016102246890"/>
    </w:p>
    <w:p>
      <w:pPr>
        <w:pStyle w:val="Heading2"/>
      </w:pPr>
      <w:bookmarkStart w:id="1105" w:name="_Toc256000290"/>
      <w:r>
        <w:t>14.4 Form ADV Disclosure</w:t>
      </w:r>
      <w:bookmarkEnd w:id="1105"/>
    </w:p>
    <w:p/>
    <w:p>
      <w:pPr>
        <w:rPr>
          <w:rFonts w:eastAsia="Arial" w:cs="Arial"/>
          <w:sz w:val="16"/>
          <w:szCs w:val="16"/>
        </w:rPr>
      </w:pPr>
    </w:p>
    <w:p>
      <w:pPr>
        <w:pStyle w:val="normal0"/>
        <w:spacing w:after="200"/>
        <w:rPr>
          <w:rFonts w:eastAsia="Arial" w:cs="Arial"/>
          <w:sz w:val="20"/>
          <w:szCs w:val="20"/>
        </w:rPr>
      </w:pPr>
      <w:r>
        <w:rPr>
          <w:rFonts w:eastAsia="Arial" w:cs="Arial"/>
          <w:sz w:val="20"/>
          <w:szCs w:val="20"/>
        </w:rPr>
        <w:t>In general terms, KCD will disclose in its Brochure (Part 2A) that it has compliance policies and procedures.</w:t>
      </w:r>
    </w:p>
    <w:p>
      <w:bookmarkEnd w:id="1104"/>
      <w:bookmarkStart w:id="1106" w:name="Sec_Chp_061016102246187_061016102246906"/>
    </w:p>
    <w:p>
      <w:pPr>
        <w:pStyle w:val="Heading2"/>
      </w:pPr>
      <w:bookmarkStart w:id="1107" w:name="_Toc256000291"/>
      <w:r>
        <w:t>14.5 Books and Records</w:t>
      </w:r>
      <w:bookmarkEnd w:id="1107"/>
    </w:p>
    <w:p/>
    <w:p>
      <w:pPr>
        <w:rPr>
          <w:rFonts w:eastAsia="Arial" w:cs="Arial"/>
          <w:sz w:val="16"/>
          <w:szCs w:val="16"/>
        </w:rPr>
      </w:pPr>
      <w:r>
        <w:rPr>
          <w:rFonts w:eastAsia="Arial" w:cs="Arial"/>
          <w:sz w:val="16"/>
          <w:szCs w:val="16"/>
        </w:rPr>
        <w:t>[Investment Advisers Act of 1940 Rule 204-2(a)(17)]</w:t>
      </w:r>
    </w:p>
    <w:p/>
    <w:p>
      <w:pPr>
        <w:pStyle w:val="normal0"/>
        <w:spacing w:after="200"/>
        <w:rPr>
          <w:rFonts w:eastAsia="Arial" w:cs="Arial"/>
          <w:sz w:val="20"/>
          <w:szCs w:val="20"/>
        </w:rPr>
      </w:pPr>
      <w:r>
        <w:rPr>
          <w:rFonts w:eastAsia="Arial" w:cs="Arial"/>
          <w:sz w:val="20"/>
          <w:szCs w:val="20"/>
        </w:rPr>
        <w:t>KCD will maintain, in its Compliance books and records:</w:t>
      </w:r>
    </w:p>
    <w:p>
      <w:pPr>
        <w:numPr>
          <w:ilvl w:val="0"/>
          <w:numId w:val="952"/>
        </w:numPr>
        <w:spacing w:before="200"/>
        <w:ind w:left="720" w:hanging="192"/>
        <w:jc w:val="left"/>
        <w:rPr>
          <w:rFonts w:eastAsia="Arial" w:cs="Arial"/>
          <w:sz w:val="20"/>
          <w:szCs w:val="20"/>
        </w:rPr>
      </w:pPr>
      <w:r>
        <w:rPr>
          <w:rFonts w:eastAsia="Arial" w:cs="Arial"/>
          <w:sz w:val="20"/>
          <w:szCs w:val="20"/>
        </w:rPr>
        <w:t xml:space="preserve">The Compliance Manual (including its policies and procedures) that is in effect and Compliance Manuals that were in effect at any time during the last 5 years; and </w:t>
      </w:r>
    </w:p>
    <w:p>
      <w:pPr>
        <w:numPr>
          <w:ilvl w:val="0"/>
          <w:numId w:val="952"/>
        </w:numPr>
        <w:spacing w:after="200"/>
        <w:ind w:left="720" w:hanging="192"/>
        <w:jc w:val="left"/>
        <w:rPr>
          <w:rFonts w:eastAsia="Arial" w:cs="Arial"/>
          <w:sz w:val="20"/>
          <w:szCs w:val="20"/>
        </w:rPr>
      </w:pPr>
      <w:r>
        <w:rPr>
          <w:rFonts w:eastAsia="Arial" w:cs="Arial"/>
          <w:sz w:val="20"/>
          <w:szCs w:val="20"/>
        </w:rPr>
        <w:t xml:space="preserve">All records documenting KCD's annual review of the Compliance Manual, including its compliance policies and procedures (Rule 204-2(a)(17). </w:t>
      </w:r>
    </w:p>
    <w:p>
      <w:pPr>
        <w:pStyle w:val="normal0"/>
        <w:spacing w:before="200" w:after="200"/>
        <w:rPr>
          <w:rFonts w:eastAsia="Arial" w:cs="Arial"/>
          <w:sz w:val="20"/>
          <w:szCs w:val="20"/>
        </w:rPr>
      </w:pPr>
      <w:r>
        <w:rPr>
          <w:rFonts w:eastAsia="Arial" w:cs="Arial"/>
          <w:sz w:val="20"/>
          <w:szCs w:val="20"/>
        </w:rPr>
        <w:t>In addition, KCD shall maintain in its Compliance books and records:</w:t>
      </w:r>
    </w:p>
    <w:p>
      <w:pPr>
        <w:numPr>
          <w:ilvl w:val="0"/>
          <w:numId w:val="953"/>
        </w:numPr>
        <w:spacing w:before="200"/>
        <w:ind w:left="720" w:hanging="192"/>
        <w:jc w:val="left"/>
        <w:rPr>
          <w:rFonts w:eastAsia="Arial" w:cs="Arial"/>
          <w:sz w:val="20"/>
          <w:szCs w:val="20"/>
        </w:rPr>
      </w:pPr>
      <w:r>
        <w:rPr>
          <w:rFonts w:eastAsia="Arial" w:cs="Arial"/>
          <w:sz w:val="20"/>
          <w:szCs w:val="20"/>
        </w:rPr>
        <w:t>Written records of any Compliance Manual violation, including the alleged violation, the investigation of the matter, actions taken and how the matter was ultimately resolved;</w:t>
      </w:r>
    </w:p>
    <w:p>
      <w:pPr>
        <w:numPr>
          <w:ilvl w:val="0"/>
          <w:numId w:val="953"/>
        </w:numPr>
        <w:ind w:left="720" w:hanging="192"/>
        <w:jc w:val="left"/>
        <w:rPr>
          <w:rFonts w:eastAsia="Arial" w:cs="Arial"/>
          <w:sz w:val="20"/>
          <w:szCs w:val="20"/>
        </w:rPr>
      </w:pPr>
      <w:r>
        <w:rPr>
          <w:rFonts w:eastAsia="Arial" w:cs="Arial"/>
          <w:sz w:val="20"/>
          <w:szCs w:val="20"/>
        </w:rPr>
        <w:t xml:space="preserve">Copies of the agenda, notes, and other materials related to each compliance meeting, and the attendance list for each compliance meeting; </w:t>
      </w:r>
    </w:p>
    <w:p>
      <w:pPr>
        <w:numPr>
          <w:ilvl w:val="0"/>
          <w:numId w:val="953"/>
        </w:numPr>
        <w:ind w:left="720" w:hanging="192"/>
        <w:jc w:val="left"/>
        <w:rPr>
          <w:rFonts w:eastAsia="Arial" w:cs="Arial"/>
          <w:sz w:val="20"/>
          <w:szCs w:val="20"/>
        </w:rPr>
      </w:pPr>
      <w:r>
        <w:rPr>
          <w:rFonts w:eastAsia="Arial" w:cs="Arial"/>
          <w:sz w:val="20"/>
          <w:szCs w:val="20"/>
        </w:rPr>
        <w:t>Exception reports, reconciliation statements, checklists, tests and similar compliance-related documents;</w:t>
      </w:r>
    </w:p>
    <w:p>
      <w:pPr>
        <w:numPr>
          <w:ilvl w:val="0"/>
          <w:numId w:val="953"/>
        </w:numPr>
        <w:ind w:left="720" w:hanging="192"/>
        <w:jc w:val="left"/>
        <w:rPr>
          <w:rFonts w:eastAsia="Arial" w:cs="Arial"/>
          <w:sz w:val="20"/>
          <w:szCs w:val="20"/>
        </w:rPr>
      </w:pPr>
      <w:r>
        <w:rPr>
          <w:rFonts w:eastAsia="Arial" w:cs="Arial"/>
          <w:sz w:val="20"/>
          <w:szCs w:val="20"/>
        </w:rPr>
        <w:t>Results of any tests and follow-up actions taken by KCD to address shortfalls or violations revealed by such tests, including warnings to or disciplinary action of employees, changes in policies and procedures, redress to affected clients and other measures;</w:t>
      </w:r>
    </w:p>
    <w:p>
      <w:pPr>
        <w:numPr>
          <w:ilvl w:val="0"/>
          <w:numId w:val="953"/>
        </w:numPr>
        <w:ind w:left="720" w:hanging="192"/>
        <w:jc w:val="left"/>
        <w:rPr>
          <w:rFonts w:eastAsia="Arial" w:cs="Arial"/>
          <w:sz w:val="20"/>
          <w:szCs w:val="20"/>
        </w:rPr>
      </w:pPr>
      <w:r>
        <w:rPr>
          <w:rFonts w:eastAsia="Arial" w:cs="Arial"/>
          <w:sz w:val="20"/>
          <w:szCs w:val="20"/>
        </w:rPr>
        <w:t>Correspondence from regulatory agencies in connection with inspections of KCD, as well as copies of all other documents prepared in connection with each regulatory inspection;</w:t>
      </w:r>
    </w:p>
    <w:p>
      <w:pPr>
        <w:numPr>
          <w:ilvl w:val="0"/>
          <w:numId w:val="953"/>
        </w:numPr>
        <w:ind w:left="720" w:hanging="192"/>
        <w:jc w:val="left"/>
        <w:rPr>
          <w:rFonts w:eastAsia="Arial" w:cs="Arial"/>
          <w:sz w:val="20"/>
          <w:szCs w:val="20"/>
        </w:rPr>
      </w:pPr>
      <w:r>
        <w:rPr>
          <w:rFonts w:eastAsia="Arial" w:cs="Arial"/>
          <w:sz w:val="20"/>
          <w:szCs w:val="20"/>
        </w:rPr>
        <w:t>A current list of the names of each of the Supervisors identified above so that KCD may easily determine who is responsible for supervising a particular business activity of KCD and the time period for which the person was assigned the supervisory responsibility. Such list shall include (i) the full name of the supervisor; (ii) a description of the supervisor's responsibilities; (iii) the date the officer or employee was appointed to the supervisory position; and (iv) the employees under the supervision of the Supervisor;</w:t>
      </w:r>
    </w:p>
    <w:p>
      <w:pPr>
        <w:numPr>
          <w:ilvl w:val="0"/>
          <w:numId w:val="953"/>
        </w:numPr>
        <w:ind w:left="720" w:hanging="192"/>
        <w:jc w:val="left"/>
        <w:rPr>
          <w:rFonts w:eastAsia="Arial" w:cs="Arial"/>
          <w:sz w:val="20"/>
          <w:szCs w:val="20"/>
        </w:rPr>
      </w:pPr>
      <w:r>
        <w:rPr>
          <w:rFonts w:eastAsia="Arial" w:cs="Arial"/>
          <w:sz w:val="20"/>
          <w:szCs w:val="20"/>
        </w:rPr>
        <w:t>List of all reports, exception reports and documentation with respect to KCD's monitoring of Firm personnel that made direct and indirect contributions to an official of a government entity, or payments to a political party of a state or political subdivision thereof, or a political action committee; and</w:t>
      </w:r>
    </w:p>
    <w:p>
      <w:pPr>
        <w:numPr>
          <w:ilvl w:val="0"/>
          <w:numId w:val="953"/>
        </w:numPr>
        <w:spacing w:after="200"/>
        <w:ind w:left="720" w:hanging="192"/>
        <w:jc w:val="left"/>
        <w:rPr>
          <w:rFonts w:eastAsia="Arial" w:cs="Arial"/>
          <w:sz w:val="20"/>
          <w:szCs w:val="20"/>
        </w:rPr>
      </w:pPr>
      <w:r>
        <w:rPr>
          <w:rFonts w:eastAsia="Arial" w:cs="Arial"/>
          <w:sz w:val="20"/>
          <w:szCs w:val="20"/>
        </w:rPr>
        <w:t>A list of any outside compliance firms that performed compliance related reviews of KCD and its affiliated businesses, date(s) of their review and copies of their audit reports.</w:t>
      </w:r>
    </w:p>
    <w:p>
      <w:pPr>
        <w:rPr>
          <w:rFonts w:ascii="Times New Roman" w:eastAsia="Times New Roman" w:hAnsi="Times New Roman" w:cs="Times New Roman"/>
          <w:sz w:val="24"/>
        </w:rPr>
      </w:pPr>
      <w:bookmarkEnd w:id="1106"/>
      <w:r>
        <w:rPr>
          <w:rFonts w:ascii="Times New Roman" w:eastAsia="Times New Roman" w:hAnsi="Times New Roman" w:cs="Times New Roman"/>
          <w:sz w:val="24"/>
        </w:rPr>
        <w:br w:type="page"/>
      </w:r>
    </w:p>
    <w:p>
      <w:pPr>
        <w:spacing w:after="195"/>
        <w:rPr>
          <w:rFonts w:eastAsia="Arial" w:cs="Arial"/>
          <w:sz w:val="20"/>
          <w:szCs w:val="20"/>
        </w:rPr>
      </w:pPr>
      <w:r>
        <w:rPr>
          <w:rFonts w:eastAsia="Arial" w:cs="Arial"/>
          <w:sz w:val="20"/>
          <w:szCs w:val="20"/>
        </w:rPr>
        <w:t xml:space="preserve">IAR Manual </w:t>
      </w:r>
    </w:p>
    <w:p>
      <w:pPr>
        <w:spacing w:before="195" w:after="195"/>
        <w:rPr>
          <w:rFonts w:eastAsia="Arial" w:cs="Arial"/>
          <w:sz w:val="20"/>
          <w:szCs w:val="20"/>
        </w:rPr>
      </w:pPr>
      <w:r>
        <w:rPr>
          <w:rFonts w:eastAsia="Arial" w:cs="Arial"/>
          <w:sz w:val="20"/>
          <w:szCs w:val="20"/>
        </w:rPr>
        <w:t xml:space="preserve">Copyright © 2004-2026 Wolters Kluwer Financial Services, Inc. All rights reserved. </w:t>
      </w:r>
    </w:p>
    <w:p>
      <w:pPr>
        <w:spacing w:before="195" w:after="195"/>
        <w:rPr>
          <w:rFonts w:eastAsia="Arial" w:cs="Arial"/>
          <w:sz w:val="20"/>
          <w:szCs w:val="20"/>
        </w:rPr>
      </w:pPr>
      <w:r>
        <w:rPr>
          <w:rFonts w:eastAsia="Arial" w:cs="Arial"/>
          <w:sz w:val="20"/>
          <w:szCs w:val="20"/>
        </w:rPr>
        <w:t xml:space="preserve">The Investment Adviser Wizard is designed to create a compliance manual addressing SEC rules and regulations. It is the subscriber's responsibility to adapt and edit the Investment Adviser manual to ensure the subscriber's written procedures are accurate and adequate to comply with securities rules and regulations applicable to the subscriber's firm. </w:t>
      </w:r>
    </w:p>
    <w:p>
      <w:pPr>
        <w:spacing w:before="195" w:after="195"/>
        <w:rPr>
          <w:rFonts w:eastAsia="Arial" w:cs="Arial"/>
          <w:sz w:val="20"/>
          <w:szCs w:val="20"/>
        </w:rPr>
      </w:pPr>
      <w:r>
        <w:rPr>
          <w:rFonts w:eastAsia="Arial" w:cs="Arial"/>
          <w:sz w:val="20"/>
          <w:szCs w:val="20"/>
        </w:rPr>
        <w:t xml:space="preserve">Wolters Kluwer and others ("others") providing information to compile the Investment Adviser manual accept no responsibility for the accuracy or completeness of the subscriber's written procedures. Information in the Investment Adviser Wizard and manual are not intended as substitutes for legal advice or to provide legal guidance of any kind whatsoever. Your Investment Adviser manual is published with the understanding that Wolters Kluwer and others are not engaged in rendering legal or other professional services. Subscribers are advised to confer with experienced legal counsel. </w:t>
      </w:r>
    </w:p>
    <w:p>
      <w:pPr>
        <w:spacing w:before="195" w:after="195"/>
        <w:rPr>
          <w:rFonts w:eastAsia="Arial" w:cs="Arial"/>
          <w:sz w:val="20"/>
          <w:szCs w:val="20"/>
        </w:rPr>
      </w:pPr>
      <w:r>
        <w:rPr>
          <w:rFonts w:eastAsia="Arial" w:cs="Arial"/>
          <w:sz w:val="20"/>
          <w:szCs w:val="20"/>
        </w:rPr>
        <w:t xml:space="preserve">The Investment Adviser Wizard and Investment Adviser manual contents are owned by Wolters Kluwer Financial Services, Inc. Content may not be copied or otherwise reproduced other than for the internal use of the subscriber’s firm under the terms of the subscription. </w:t>
      </w:r>
    </w:p>
    <w:p>
      <w:pPr>
        <w:rPr>
          <w:rFonts w:ascii="Times New Roman" w:eastAsia="Times New Roman" w:hAnsi="Times New Roman" w:cs="Times New Roman"/>
          <w:sz w:val="24"/>
        </w:rPr>
      </w:pPr>
    </w:p>
    <w:sectPr>
      <w:headerReference w:type="default" r:id="rId33"/>
      <w:footerReference w:type="default" r:id="rId34"/>
      <w:pgSz w:w="12240" w:h="15840"/>
      <w:pgMar w:top="1200" w:right="1152" w:bottom="1200" w:left="1152" w:header="400" w:footer="36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476"/>
      <w:gridCol w:w="984"/>
      <w:gridCol w:w="4476"/>
    </w:tblGrid>
    <w:tr>
      <w:tblPrEx>
        <w:tblW w:w="5000" w:type="pct"/>
      </w:tblPrEx>
      <w:trPr>
        <w:trHeight w:hRule="exact" w:val="190"/>
      </w:trPr>
      <w:tc>
        <w:tcPr>
          <w:tcW w:w="4460" w:type="dxa"/>
          <w:tcBorders>
            <w:top w:val="nil"/>
            <w:left w:val="nil"/>
            <w:bottom w:val="nil"/>
            <w:right w:val="nil"/>
          </w:tcBorders>
          <w:noWrap/>
          <w:tcFitText w:val="0"/>
        </w:tcPr>
        <w:p>
          <w:pPr>
            <w:pStyle w:val="RuleCitation"/>
            <w:jc w:val="left"/>
            <w:rPr>
              <w:sz w:val="16"/>
            </w:rPr>
          </w:pPr>
          <w:r>
            <w:rPr>
              <w:sz w:val="16"/>
            </w:rPr>
            <w:t>KCD Financial</w:t>
          </w:r>
        </w:p>
      </w:tc>
      <w:tc>
        <w:tcPr>
          <w:tcW w:w="980" w:type="dxa"/>
          <w:tcBorders>
            <w:top w:val="nil"/>
            <w:left w:val="nil"/>
            <w:bottom w:val="nil"/>
            <w:right w:val="nil"/>
          </w:tcBorders>
          <w:noWrap/>
          <w:tcFitText w:val="0"/>
        </w:tcPr>
        <w:p>
          <w:pPr>
            <w:pStyle w:val="RuleCitation"/>
            <w:jc w:val="center"/>
            <w:rPr>
              <w:sz w:val="16"/>
            </w:rPr>
          </w:pPr>
          <w:r>
            <w:rPr>
              <w:sz w:val="16"/>
            </w:rPr>
            <w:t xml:space="preserve">- </w:t>
          </w:r>
          <w:r>
            <w:rPr>
              <w:sz w:val="16"/>
            </w:rPr>
            <w:fldChar w:fldCharType="begin"/>
          </w:r>
          <w:r>
            <w:rPr>
              <w:sz w:val="16"/>
            </w:rPr>
            <w:instrText>PAGE \* roman</w:instrText>
          </w:r>
          <w:r>
            <w:rPr>
              <w:sz w:val="16"/>
            </w:rPr>
            <w:fldChar w:fldCharType="separate"/>
          </w:r>
          <w:r>
            <w:rPr>
              <w:rFonts w:ascii="Arial" w:eastAsia="Arial" w:hAnsi="Arial" w:cs="Arial"/>
              <w:sz w:val="16"/>
              <w:szCs w:val="24"/>
              <w:lang w:val="en-US" w:eastAsia="en-US" w:bidi="ar-SA"/>
            </w:rPr>
            <w:t>viii</w:t>
          </w:r>
          <w:r>
            <w:rPr>
              <w:sz w:val="16"/>
            </w:rPr>
            <w:fldChar w:fldCharType="end"/>
          </w:r>
          <w:r>
            <w:rPr>
              <w:sz w:val="16"/>
            </w:rPr>
            <w:t xml:space="preserve"> -</w:t>
          </w:r>
        </w:p>
      </w:tc>
      <w:tc>
        <w:tcPr>
          <w:tcW w:w="4460" w:type="dxa"/>
          <w:tcBorders>
            <w:top w:val="nil"/>
            <w:left w:val="nil"/>
            <w:bottom w:val="nil"/>
            <w:right w:val="nil"/>
          </w:tcBorders>
          <w:noWrap/>
          <w:tcFitText w:val="0"/>
        </w:tcPr>
        <w:p>
          <w:pPr>
            <w:pStyle w:val="RuleCitation"/>
            <w:jc w:val="right"/>
            <w:rPr>
              <w:sz w:val="16"/>
            </w:rPr>
          </w:pPr>
          <w:r>
            <w:rPr>
              <w:sz w:val="16"/>
            </w:rPr>
            <w:t>Effective: July 16, 2026</w:t>
          </w:r>
        </w:p>
      </w:tc>
    </w:tr>
  </w:tbl>
  <w:p>
    <w:pP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476"/>
      <w:gridCol w:w="984"/>
      <w:gridCol w:w="4476"/>
    </w:tblGrid>
    <w:tr>
      <w:tblPrEx>
        <w:tblW w:w="5000" w:type="pct"/>
      </w:tblPrEx>
      <w:trPr>
        <w:trHeight w:hRule="exact" w:val="190"/>
      </w:trPr>
      <w:tc>
        <w:tcPr>
          <w:tcW w:w="4460" w:type="dxa"/>
          <w:tcBorders>
            <w:top w:val="nil"/>
            <w:left w:val="nil"/>
            <w:bottom w:val="nil"/>
            <w:right w:val="nil"/>
          </w:tcBorders>
          <w:noWrap/>
          <w:tcFitText w:val="0"/>
        </w:tcPr>
        <w:p>
          <w:pPr>
            <w:pStyle w:val="RuleCitation"/>
            <w:jc w:val="left"/>
            <w:rPr>
              <w:sz w:val="16"/>
            </w:rPr>
          </w:pPr>
          <w:r>
            <w:rPr>
              <w:sz w:val="16"/>
            </w:rPr>
            <w:t>KCD Financial</w:t>
          </w:r>
        </w:p>
      </w:tc>
      <w:tc>
        <w:tcPr>
          <w:tcW w:w="980" w:type="dxa"/>
          <w:tcBorders>
            <w:top w:val="nil"/>
            <w:left w:val="nil"/>
            <w:bottom w:val="nil"/>
            <w:right w:val="nil"/>
          </w:tcBorders>
          <w:noWrap/>
          <w:tcFitText w:val="0"/>
        </w:tcPr>
        <w:p>
          <w:pPr>
            <w:pStyle w:val="RuleCitation"/>
            <w:jc w:val="center"/>
            <w:rPr>
              <w:sz w:val="16"/>
            </w:rPr>
          </w:pPr>
          <w:r>
            <w:rPr>
              <w:sz w:val="16"/>
            </w:rPr>
            <w:t xml:space="preserve">- </w:t>
          </w:r>
          <w:r>
            <w:rPr>
              <w:sz w:val="16"/>
            </w:rPr>
            <w:fldChar w:fldCharType="begin"/>
          </w:r>
          <w:r>
            <w:rPr>
              <w:sz w:val="16"/>
            </w:rPr>
            <w:instrText>PAGE</w:instrText>
          </w:r>
          <w:r>
            <w:rPr>
              <w:sz w:val="16"/>
            </w:rPr>
            <w:fldChar w:fldCharType="separate"/>
          </w:r>
          <w:r>
            <w:rPr>
              <w:rFonts w:ascii="Arial" w:eastAsia="Arial" w:hAnsi="Arial" w:cs="Arial"/>
              <w:sz w:val="16"/>
              <w:szCs w:val="24"/>
              <w:lang w:val="en-US" w:eastAsia="en-US" w:bidi="ar-SA"/>
            </w:rPr>
            <w:t>380</w:t>
          </w:r>
          <w:r>
            <w:rPr>
              <w:sz w:val="16"/>
            </w:rPr>
            <w:fldChar w:fldCharType="end"/>
          </w:r>
          <w:r>
            <w:rPr>
              <w:sz w:val="16"/>
            </w:rPr>
            <w:t xml:space="preserve"> -</w:t>
          </w:r>
        </w:p>
      </w:tc>
      <w:tc>
        <w:tcPr>
          <w:tcW w:w="4460" w:type="dxa"/>
          <w:tcBorders>
            <w:top w:val="nil"/>
            <w:left w:val="nil"/>
            <w:bottom w:val="nil"/>
            <w:right w:val="nil"/>
          </w:tcBorders>
          <w:noWrap/>
          <w:tcFitText w:val="0"/>
        </w:tcPr>
        <w:p>
          <w:pPr>
            <w:pStyle w:val="RuleCitation"/>
            <w:jc w:val="right"/>
            <w:rPr>
              <w:sz w:val="16"/>
            </w:rPr>
          </w:pPr>
          <w:r>
            <w:rPr>
              <w:sz w:val="16"/>
            </w:rPr>
            <w:t>Effective: July 16, 2026</w:t>
          </w:r>
        </w:p>
      </w:tc>
    </w:tr>
  </w:tbl>
  <w:p>
    <w:pPr>
      <w:rPr>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936"/>
    </w:tblGrid>
    <w:tr>
      <w:tblPrEx>
        <w:tblW w:w="5000" w:type="pct"/>
      </w:tblPrEx>
      <w:tc>
        <w:tcPr>
          <w:tcW w:w="9936" w:type="dxa"/>
          <w:tcBorders>
            <w:top w:val="nil"/>
            <w:left w:val="nil"/>
            <w:bottom w:val="nil"/>
            <w:right w:val="nil"/>
          </w:tcBorders>
        </w:tcPr>
        <w:p>
          <w:pPr>
            <w:jc w:val="center"/>
            <w:rPr>
              <w:rFonts w:ascii="Arial" w:eastAsia="Arial" w:hAnsi="Arial" w:cs="Arial"/>
              <w:sz w:val="24"/>
            </w:rPr>
          </w:pPr>
          <w:r>
            <w:rPr>
              <w:rFonts w:ascii="Arial" w:eastAsia="Arial" w:hAnsi="Arial" w:cs="Arial"/>
              <w:sz w:val="24"/>
            </w:rPr>
            <w:t>KCD Financial</w:t>
          </w:r>
        </w:p>
      </w:tc>
    </w:tr>
  </w:tbl>
  <w:p>
    <w:pPr>
      <w:rPr>
        <w:rFonts w:ascii="Arial" w:eastAsia="Arial" w:hAnsi="Arial"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936"/>
    </w:tblGrid>
    <w:tr>
      <w:tblPrEx>
        <w:tblW w:w="5000" w:type="pct"/>
      </w:tblPrEx>
      <w:tc>
        <w:tcPr>
          <w:tcW w:w="9936" w:type="dxa"/>
          <w:tcBorders>
            <w:top w:val="nil"/>
            <w:left w:val="nil"/>
            <w:bottom w:val="nil"/>
            <w:right w:val="nil"/>
          </w:tcBorders>
          <w:noWrap/>
          <w:tcFitText w:val="0"/>
        </w:tcPr>
        <w:p>
          <w:pPr>
            <w:jc w:val="center"/>
            <w:rPr>
              <w:rFonts w:ascii="Arial" w:eastAsia="Arial" w:hAnsi="Arial" w:cs="Arial"/>
              <w:sz w:val="24"/>
            </w:rPr>
          </w:pPr>
          <w:r>
            <w:rPr>
              <w:rFonts w:ascii="Arial" w:eastAsia="Arial" w:hAnsi="Arial" w:cs="Arial"/>
              <w:sz w:val="24"/>
            </w:rPr>
            <w:t>KCD Financial</w:t>
          </w:r>
        </w:p>
      </w:tc>
    </w:tr>
  </w:tbl>
  <w:p>
    <w:pPr>
      <w:rPr>
        <w:rFonts w:ascii="Arial" w:eastAsia="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23FCC2CC"/>
    <w:lvl w:ilvl="0">
      <w:start w:val="1"/>
      <w:numFmt w:val="decimal"/>
      <w:lvlText w:val="%1."/>
      <w:lvlJc w:val="left"/>
      <w:pPr>
        <w:tabs>
          <w:tab w:val="num" w:pos="1800"/>
        </w:tabs>
        <w:ind w:left="1800" w:hanging="360"/>
      </w:pPr>
    </w:lvl>
  </w:abstractNum>
  <w:abstractNum w:abstractNumId="1">
    <w:nsid w:val="FFFFFF7D"/>
    <w:multiLevelType w:val="singleLevel"/>
    <w:tmpl w:val="BE323D76"/>
    <w:lvl w:ilvl="0">
      <w:start w:val="1"/>
      <w:numFmt w:val="decimal"/>
      <w:lvlText w:val="%1."/>
      <w:lvlJc w:val="left"/>
      <w:pPr>
        <w:tabs>
          <w:tab w:val="num" w:pos="1440"/>
        </w:tabs>
        <w:ind w:left="1440" w:hanging="360"/>
      </w:pPr>
    </w:lvl>
  </w:abstractNum>
  <w:abstractNum w:abstractNumId="2">
    <w:nsid w:val="FFFFFF7E"/>
    <w:multiLevelType w:val="singleLevel"/>
    <w:tmpl w:val="B010D19E"/>
    <w:lvl w:ilvl="0">
      <w:start w:val="1"/>
      <w:numFmt w:val="decimal"/>
      <w:lvlText w:val="%1."/>
      <w:lvlJc w:val="left"/>
      <w:pPr>
        <w:tabs>
          <w:tab w:val="num" w:pos="1080"/>
        </w:tabs>
        <w:ind w:left="1080" w:hanging="360"/>
      </w:pPr>
    </w:lvl>
  </w:abstractNum>
  <w:abstractNum w:abstractNumId="3">
    <w:nsid w:val="FFFFFF7F"/>
    <w:multiLevelType w:val="singleLevel"/>
    <w:tmpl w:val="8C6C984E"/>
    <w:lvl w:ilvl="0">
      <w:start w:val="1"/>
      <w:numFmt w:val="decimal"/>
      <w:lvlText w:val="%1."/>
      <w:lvlJc w:val="left"/>
      <w:pPr>
        <w:tabs>
          <w:tab w:val="num" w:pos="720"/>
        </w:tabs>
        <w:ind w:left="720" w:hanging="360"/>
      </w:pPr>
    </w:lvl>
  </w:abstractNum>
  <w:abstractNum w:abstractNumId="4">
    <w:nsid w:val="FFFFFF80"/>
    <w:multiLevelType w:val="singleLevel"/>
    <w:tmpl w:val="2D0436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E16193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823A3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506061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8BC5390"/>
    <w:lvl w:ilvl="0">
      <w:start w:val="1"/>
      <w:numFmt w:val="decimal"/>
      <w:lvlText w:val="%1."/>
      <w:lvlJc w:val="left"/>
      <w:pPr>
        <w:tabs>
          <w:tab w:val="num" w:pos="360"/>
        </w:tabs>
        <w:ind w:left="360" w:hanging="360"/>
      </w:pPr>
    </w:lvl>
  </w:abstractNum>
  <w:abstractNum w:abstractNumId="9">
    <w:nsid w:val="FFFFFF89"/>
    <w:multiLevelType w:val="singleLevel"/>
    <w:tmpl w:val="EF3A2286"/>
    <w:lvl w:ilvl="0">
      <w:start w:val="1"/>
      <w:numFmt w:val="bullet"/>
      <w:lvlText w:val=""/>
      <w:lvlJc w:val="left"/>
      <w:pPr>
        <w:tabs>
          <w:tab w:val="num" w:pos="360"/>
        </w:tabs>
        <w:ind w:left="360" w:hanging="360"/>
      </w:pPr>
      <w:rPr>
        <w:rFonts w:ascii="Symbol" w:hAnsi="Symbol" w:hint="default"/>
      </w:rPr>
    </w:lvl>
  </w:abstractNum>
  <w:abstractNum w:abstractNumId="10">
    <w:nsid w:val="0A603DFD"/>
    <w:multiLevelType w:val="multilevel"/>
    <w:tmpl w:val="5614CD14"/>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0AFF7E04"/>
    <w:multiLevelType w:val="multilevel"/>
    <w:tmpl w:val="04BA9AF8"/>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0DE4202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F1C66D7"/>
    <w:multiLevelType w:val="multilevel"/>
    <w:tmpl w:val="60EA592C"/>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3096A78"/>
    <w:multiLevelType w:val="multilevel"/>
    <w:tmpl w:val="2F1A44FE"/>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3AD51D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443696A"/>
    <w:multiLevelType w:val="multilevel"/>
    <w:tmpl w:val="A308E4EA"/>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249A6D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6360B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2812B58"/>
    <w:multiLevelType w:val="multilevel"/>
    <w:tmpl w:val="7BD41840"/>
    <w:lvl w:ilvl="0">
      <w:start w:val="1"/>
      <w:numFmt w:val="decimal"/>
      <w:suff w:val="space"/>
      <w:lvlText w:val="%1"/>
      <w:lvlJc w:val="left"/>
      <w:pPr>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32CE4B1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851491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887612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7606B2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B5F514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7767F31"/>
    <w:multiLevelType w:val="multilevel"/>
    <w:tmpl w:val="618243AA"/>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79B29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33404F1"/>
    <w:multiLevelType w:val="multilevel"/>
    <w:tmpl w:val="F486762E"/>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79D2D3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9360C1B"/>
    <w:multiLevelType w:val="multilevel"/>
    <w:tmpl w:val="F0A0BACE"/>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6E56F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8693694"/>
    <w:multiLevelType w:val="multilevel"/>
    <w:tmpl w:val="2C26298A"/>
    <w:lvl w:ilvl="0">
      <w:start w:val="1"/>
      <w:numFmt w:val="decimal"/>
      <w:lvlText w:val="%1"/>
      <w:lvlJc w:val="left"/>
      <w:pPr>
        <w:tabs>
          <w:tab w:val="num" w:pos="432"/>
        </w:tabs>
        <w:ind w:left="432" w:hanging="432"/>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9864C5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B2506B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B2506B6"/>
    <w:multiLevelType w:val="hybridMultilevel"/>
    <w:tmpl w:val="7B2506B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B2506B7"/>
    <w:multiLevelType w:val="hybridMultilevel"/>
    <w:tmpl w:val="7B2506B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B2506B8"/>
    <w:multiLevelType w:val="multilevel"/>
    <w:tmpl w:val="7B2506B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B2506B9"/>
    <w:multiLevelType w:val="hybridMultilevel"/>
    <w:tmpl w:val="7B2506B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B2506BA"/>
    <w:multiLevelType w:val="hybridMultilevel"/>
    <w:tmpl w:val="7B2506B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B2506BB"/>
    <w:multiLevelType w:val="hybridMultilevel"/>
    <w:tmpl w:val="7B250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B2506BC"/>
    <w:multiLevelType w:val="hybridMultilevel"/>
    <w:tmpl w:val="7B250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B2506BD"/>
    <w:multiLevelType w:val="hybridMultilevel"/>
    <w:tmpl w:val="7B250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B2506BE"/>
    <w:multiLevelType w:val="multilevel"/>
    <w:tmpl w:val="7B2506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B2506BF"/>
    <w:multiLevelType w:val="multilevel"/>
    <w:tmpl w:val="7B2506B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B2506C0"/>
    <w:multiLevelType w:val="hybridMultilevel"/>
    <w:tmpl w:val="7B250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7B2506C1"/>
    <w:multiLevelType w:val="hybridMultilevel"/>
    <w:tmpl w:val="7B2506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7B2506C2"/>
    <w:multiLevelType w:val="hybridMultilevel"/>
    <w:tmpl w:val="7B2506C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7B2506C3"/>
    <w:multiLevelType w:val="hybridMultilevel"/>
    <w:tmpl w:val="7B2506C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7B2506C4"/>
    <w:multiLevelType w:val="hybridMultilevel"/>
    <w:tmpl w:val="7B2506C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
    <w:nsid w:val="7B2506C5"/>
    <w:multiLevelType w:val="hybridMultilevel"/>
    <w:tmpl w:val="7B2506C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nsid w:val="7B2506C6"/>
    <w:multiLevelType w:val="hybridMultilevel"/>
    <w:tmpl w:val="7B2506C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7B2506C7"/>
    <w:multiLevelType w:val="hybridMultilevel"/>
    <w:tmpl w:val="7B2506C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7B2506C8"/>
    <w:multiLevelType w:val="hybridMultilevel"/>
    <w:tmpl w:val="7B2506C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7B2506C9"/>
    <w:multiLevelType w:val="hybridMultilevel"/>
    <w:tmpl w:val="7B2506C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nsid w:val="7B2506CA"/>
    <w:multiLevelType w:val="hybridMultilevel"/>
    <w:tmpl w:val="7B2506C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
    <w:nsid w:val="7B2506CB"/>
    <w:multiLevelType w:val="hybridMultilevel"/>
    <w:tmpl w:val="7B2506C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7B2506CC"/>
    <w:multiLevelType w:val="hybridMultilevel"/>
    <w:tmpl w:val="7B2506C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7B2506CD"/>
    <w:multiLevelType w:val="hybridMultilevel"/>
    <w:tmpl w:val="7B2506C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7B2506CE"/>
    <w:multiLevelType w:val="hybridMultilevel"/>
    <w:tmpl w:val="7B2506C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
    <w:nsid w:val="7B2506CF"/>
    <w:multiLevelType w:val="hybridMultilevel"/>
    <w:tmpl w:val="7B2506C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
    <w:nsid w:val="7B2506D0"/>
    <w:multiLevelType w:val="hybridMultilevel"/>
    <w:tmpl w:val="7B2506D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7B2506D1"/>
    <w:multiLevelType w:val="hybridMultilevel"/>
    <w:tmpl w:val="7B2506D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7B2506D2"/>
    <w:multiLevelType w:val="hybridMultilevel"/>
    <w:tmpl w:val="7B2506D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
    <w:nsid w:val="7B2506D3"/>
    <w:multiLevelType w:val="hybridMultilevel"/>
    <w:tmpl w:val="7B2506D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
    <w:nsid w:val="7B2506D4"/>
    <w:multiLevelType w:val="hybridMultilevel"/>
    <w:tmpl w:val="7B2506D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
    <w:nsid w:val="7B2506D5"/>
    <w:multiLevelType w:val="hybridMultilevel"/>
    <w:tmpl w:val="7B2506D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
    <w:nsid w:val="7B2506D6"/>
    <w:multiLevelType w:val="hybridMultilevel"/>
    <w:tmpl w:val="7B2506D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
    <w:nsid w:val="7B2506D7"/>
    <w:multiLevelType w:val="hybridMultilevel"/>
    <w:tmpl w:val="7B2506D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7B2506D8"/>
    <w:multiLevelType w:val="multilevel"/>
    <w:tmpl w:val="7B2506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7B2506D9"/>
    <w:multiLevelType w:val="hybridMultilevel"/>
    <w:tmpl w:val="7B2506D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7B2506DA"/>
    <w:multiLevelType w:val="hybridMultilevel"/>
    <w:tmpl w:val="7B2506D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7B2506DB"/>
    <w:multiLevelType w:val="hybridMultilevel"/>
    <w:tmpl w:val="7B2506D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7B2506DC"/>
    <w:multiLevelType w:val="hybridMultilevel"/>
    <w:tmpl w:val="7B2506D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7B2506DD"/>
    <w:multiLevelType w:val="hybridMultilevel"/>
    <w:tmpl w:val="7B2506D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
    <w:nsid w:val="7B2506DE"/>
    <w:multiLevelType w:val="hybridMultilevel"/>
    <w:tmpl w:val="7B2506D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
    <w:nsid w:val="7B2506DF"/>
    <w:multiLevelType w:val="hybridMultilevel"/>
    <w:tmpl w:val="7B2506D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7B2506E0"/>
    <w:multiLevelType w:val="hybridMultilevel"/>
    <w:tmpl w:val="7B2506E0"/>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
    <w:nsid w:val="7B2506E1"/>
    <w:multiLevelType w:val="hybridMultilevel"/>
    <w:tmpl w:val="7B2506E1"/>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
    <w:nsid w:val="7B2506E2"/>
    <w:multiLevelType w:val="hybridMultilevel"/>
    <w:tmpl w:val="7B2506E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7B2506E3"/>
    <w:multiLevelType w:val="hybridMultilevel"/>
    <w:tmpl w:val="7B2506E3"/>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7B2506E4"/>
    <w:multiLevelType w:val="hybridMultilevel"/>
    <w:tmpl w:val="7B2506E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7B2506E5"/>
    <w:multiLevelType w:val="hybridMultilevel"/>
    <w:tmpl w:val="7B2506E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
    <w:nsid w:val="7B2506E6"/>
    <w:multiLevelType w:val="hybridMultilevel"/>
    <w:tmpl w:val="7B2506E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
    <w:nsid w:val="7B2506E7"/>
    <w:multiLevelType w:val="hybridMultilevel"/>
    <w:tmpl w:val="7B2506E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7B2506E8"/>
    <w:multiLevelType w:val="hybridMultilevel"/>
    <w:tmpl w:val="7B2506E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
    <w:nsid w:val="7B2506E9"/>
    <w:multiLevelType w:val="hybridMultilevel"/>
    <w:tmpl w:val="7B2506E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
    <w:nsid w:val="7B2506EA"/>
    <w:multiLevelType w:val="hybridMultilevel"/>
    <w:tmpl w:val="7B2506E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
    <w:nsid w:val="7B2506EB"/>
    <w:multiLevelType w:val="hybridMultilevel"/>
    <w:tmpl w:val="7B2506E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
    <w:nsid w:val="7B2506EC"/>
    <w:multiLevelType w:val="multilevel"/>
    <w:tmpl w:val="7B2506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7B2506ED"/>
    <w:multiLevelType w:val="hybridMultilevel"/>
    <w:tmpl w:val="7B2506E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
    <w:nsid w:val="7B2506EE"/>
    <w:multiLevelType w:val="hybridMultilevel"/>
    <w:tmpl w:val="7B2506E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
    <w:nsid w:val="7B2506EF"/>
    <w:multiLevelType w:val="hybridMultilevel"/>
    <w:tmpl w:val="7B2506E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
    <w:nsid w:val="7B2506F0"/>
    <w:multiLevelType w:val="hybridMultilevel"/>
    <w:tmpl w:val="7B2506F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7B2506F1"/>
    <w:multiLevelType w:val="hybridMultilevel"/>
    <w:tmpl w:val="7B2506F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7B2506F2"/>
    <w:multiLevelType w:val="hybridMultilevel"/>
    <w:tmpl w:val="7B2506F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
    <w:nsid w:val="7B2506F3"/>
    <w:multiLevelType w:val="hybridMultilevel"/>
    <w:tmpl w:val="7B2506F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6">
    <w:nsid w:val="7B2506F4"/>
    <w:multiLevelType w:val="multilevel"/>
    <w:tmpl w:val="7B2506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7B2506F5"/>
    <w:multiLevelType w:val="multilevel"/>
    <w:tmpl w:val="7B2506F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7B2506F6"/>
    <w:multiLevelType w:val="multilevel"/>
    <w:tmpl w:val="7B2506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7B2506F7"/>
    <w:multiLevelType w:val="hybridMultilevel"/>
    <w:tmpl w:val="7B2506F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7B2506F8"/>
    <w:multiLevelType w:val="hybridMultilevel"/>
    <w:tmpl w:val="7B2506F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7B2506F9"/>
    <w:multiLevelType w:val="hybridMultilevel"/>
    <w:tmpl w:val="7B2506F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2">
    <w:nsid w:val="7B2506FA"/>
    <w:multiLevelType w:val="hybridMultilevel"/>
    <w:tmpl w:val="7B2506F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3">
    <w:nsid w:val="7B2506FB"/>
    <w:multiLevelType w:val="hybridMultilevel"/>
    <w:tmpl w:val="7B2506F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4">
    <w:nsid w:val="7B2506FC"/>
    <w:multiLevelType w:val="hybridMultilevel"/>
    <w:tmpl w:val="7B2506F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7B2506FD"/>
    <w:multiLevelType w:val="hybridMultilevel"/>
    <w:tmpl w:val="7B2506F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6">
    <w:nsid w:val="7B2506FE"/>
    <w:multiLevelType w:val="hybridMultilevel"/>
    <w:tmpl w:val="7B2506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nsid w:val="7B2506FF"/>
    <w:multiLevelType w:val="hybridMultilevel"/>
    <w:tmpl w:val="7B2506F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8">
    <w:nsid w:val="7B250700"/>
    <w:multiLevelType w:val="hybridMultilevel"/>
    <w:tmpl w:val="7B25070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9">
    <w:nsid w:val="7B250701"/>
    <w:multiLevelType w:val="hybridMultilevel"/>
    <w:tmpl w:val="7B2507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0">
    <w:nsid w:val="7B250702"/>
    <w:multiLevelType w:val="hybridMultilevel"/>
    <w:tmpl w:val="7B25070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1">
    <w:nsid w:val="7B250703"/>
    <w:multiLevelType w:val="hybridMultilevel"/>
    <w:tmpl w:val="7B2507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2">
    <w:nsid w:val="7B250704"/>
    <w:multiLevelType w:val="hybridMultilevel"/>
    <w:tmpl w:val="7B250704"/>
    <w:lvl w:ilvl="0">
      <w:start w:val="1"/>
      <w:numFmt w:val="bullet"/>
      <w:lvlText w:val=""/>
      <w:lvlJc w:val="left"/>
      <w:pPr>
        <w:ind w:left="720" w:hanging="360"/>
      </w:pPr>
      <w:rPr>
        <w:rFonts w:ascii="Symbol" w:hAnsi="Symbol"/>
        <w:sz w:val="20"/>
      </w:rPr>
    </w:lvl>
    <w:lvl w:ilvl="1">
      <w:start w:val="1"/>
      <w:numFmt w:val="decimal"/>
      <w:lvlText w:val="%2."/>
      <w:lvlJc w:val="left"/>
      <w:pPr>
        <w:ind w:left="1440" w:hanging="360"/>
      </w:pPr>
      <w:rPr>
        <w:sz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3">
    <w:nsid w:val="7B250705"/>
    <w:multiLevelType w:val="hybridMultilevel"/>
    <w:tmpl w:val="7B2507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7B250706"/>
    <w:multiLevelType w:val="hybridMultilevel"/>
    <w:tmpl w:val="7B2507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7B250707"/>
    <w:multiLevelType w:val="hybridMultilevel"/>
    <w:tmpl w:val="7B2507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6">
    <w:nsid w:val="7B250708"/>
    <w:multiLevelType w:val="hybridMultilevel"/>
    <w:tmpl w:val="7B2507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7">
    <w:nsid w:val="7B250709"/>
    <w:multiLevelType w:val="hybridMultilevel"/>
    <w:tmpl w:val="7B2507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8">
    <w:nsid w:val="7B25070A"/>
    <w:multiLevelType w:val="multilevel"/>
    <w:tmpl w:val="7B2507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7B25070B"/>
    <w:multiLevelType w:val="hybridMultilevel"/>
    <w:tmpl w:val="7B2507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0">
    <w:nsid w:val="7B25070C"/>
    <w:multiLevelType w:val="hybridMultilevel"/>
    <w:tmpl w:val="7B2507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1">
    <w:nsid w:val="7B25070D"/>
    <w:multiLevelType w:val="hybridMultilevel"/>
    <w:tmpl w:val="7B2507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2">
    <w:nsid w:val="7B25070E"/>
    <w:multiLevelType w:val="hybridMultilevel"/>
    <w:tmpl w:val="7B2507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3">
    <w:nsid w:val="7B25070F"/>
    <w:multiLevelType w:val="hybridMultilevel"/>
    <w:tmpl w:val="7B2507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4">
    <w:nsid w:val="7B250710"/>
    <w:multiLevelType w:val="hybridMultilevel"/>
    <w:tmpl w:val="7B2507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5">
    <w:nsid w:val="7B250711"/>
    <w:multiLevelType w:val="hybridMultilevel"/>
    <w:tmpl w:val="7B2507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6">
    <w:nsid w:val="7B250712"/>
    <w:multiLevelType w:val="hybridMultilevel"/>
    <w:tmpl w:val="7B2507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7">
    <w:nsid w:val="7B250713"/>
    <w:multiLevelType w:val="hybridMultilevel"/>
    <w:tmpl w:val="7B25071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7B250714"/>
    <w:multiLevelType w:val="hybridMultilevel"/>
    <w:tmpl w:val="7B2507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7B250715"/>
    <w:multiLevelType w:val="hybridMultilevel"/>
    <w:tmpl w:val="7B2507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0">
    <w:nsid w:val="7B250716"/>
    <w:multiLevelType w:val="hybridMultilevel"/>
    <w:tmpl w:val="7B2507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1">
    <w:nsid w:val="7B250717"/>
    <w:multiLevelType w:val="hybridMultilevel"/>
    <w:tmpl w:val="7B2507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2">
    <w:nsid w:val="7B250718"/>
    <w:multiLevelType w:val="hybridMultilevel"/>
    <w:tmpl w:val="7B2507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3">
    <w:nsid w:val="7B250719"/>
    <w:multiLevelType w:val="hybridMultilevel"/>
    <w:tmpl w:val="7B2507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4">
    <w:nsid w:val="7B25071A"/>
    <w:multiLevelType w:val="hybridMultilevel"/>
    <w:tmpl w:val="7B2507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5">
    <w:nsid w:val="7B25071B"/>
    <w:multiLevelType w:val="multilevel"/>
    <w:tmpl w:val="7B25071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nsid w:val="7B25071C"/>
    <w:multiLevelType w:val="hybridMultilevel"/>
    <w:tmpl w:val="7B25071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7">
    <w:nsid w:val="7B25071D"/>
    <w:multiLevelType w:val="hybridMultilevel"/>
    <w:tmpl w:val="7B25071D"/>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8">
    <w:nsid w:val="7B25071E"/>
    <w:multiLevelType w:val="hybridMultilevel"/>
    <w:tmpl w:val="7B2507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9">
    <w:nsid w:val="7B25071F"/>
    <w:multiLevelType w:val="multilevel"/>
    <w:tmpl w:val="7B2507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7B250720"/>
    <w:multiLevelType w:val="multilevel"/>
    <w:tmpl w:val="7B250720"/>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7B250721"/>
    <w:multiLevelType w:val="multilevel"/>
    <w:tmpl w:val="7B2507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nsid w:val="7B250722"/>
    <w:multiLevelType w:val="hybridMultilevel"/>
    <w:tmpl w:val="7B2507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3">
    <w:nsid w:val="7B250723"/>
    <w:multiLevelType w:val="hybridMultilevel"/>
    <w:tmpl w:val="7B2507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4">
    <w:nsid w:val="7B250724"/>
    <w:multiLevelType w:val="hybridMultilevel"/>
    <w:tmpl w:val="7B2507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5">
    <w:nsid w:val="7B250725"/>
    <w:multiLevelType w:val="hybridMultilevel"/>
    <w:tmpl w:val="7B2507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6">
    <w:nsid w:val="7B250726"/>
    <w:multiLevelType w:val="hybridMultilevel"/>
    <w:tmpl w:val="7B2507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7">
    <w:nsid w:val="7B250727"/>
    <w:multiLevelType w:val="hybridMultilevel"/>
    <w:tmpl w:val="7B2507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8">
    <w:nsid w:val="7B250728"/>
    <w:multiLevelType w:val="hybridMultilevel"/>
    <w:tmpl w:val="7B25072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9">
    <w:nsid w:val="7B250729"/>
    <w:multiLevelType w:val="hybridMultilevel"/>
    <w:tmpl w:val="7B25072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0">
    <w:nsid w:val="7B25072A"/>
    <w:multiLevelType w:val="hybridMultilevel"/>
    <w:tmpl w:val="7B25072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1">
    <w:nsid w:val="7B25072B"/>
    <w:multiLevelType w:val="hybridMultilevel"/>
    <w:tmpl w:val="7B25072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2">
    <w:nsid w:val="7B25072C"/>
    <w:multiLevelType w:val="hybridMultilevel"/>
    <w:tmpl w:val="7B25072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3">
    <w:nsid w:val="7B25072D"/>
    <w:multiLevelType w:val="hybridMultilevel"/>
    <w:tmpl w:val="7B25072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4">
    <w:nsid w:val="7B25072E"/>
    <w:multiLevelType w:val="hybridMultilevel"/>
    <w:tmpl w:val="7B25072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5">
    <w:nsid w:val="7B25072F"/>
    <w:multiLevelType w:val="multilevel"/>
    <w:tmpl w:val="7B25072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7B250730"/>
    <w:multiLevelType w:val="hybridMultilevel"/>
    <w:tmpl w:val="7B250730"/>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7">
    <w:nsid w:val="7B250731"/>
    <w:multiLevelType w:val="hybridMultilevel"/>
    <w:tmpl w:val="7B25073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8">
    <w:nsid w:val="7B250732"/>
    <w:multiLevelType w:val="hybridMultilevel"/>
    <w:tmpl w:val="7B25073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9">
    <w:nsid w:val="7B250733"/>
    <w:multiLevelType w:val="multilevel"/>
    <w:tmpl w:val="7B25073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7B250734"/>
    <w:multiLevelType w:val="multilevel"/>
    <w:tmpl w:val="7B25073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7B250735"/>
    <w:multiLevelType w:val="multilevel"/>
    <w:tmpl w:val="7B25073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nsid w:val="7B250736"/>
    <w:multiLevelType w:val="hybridMultilevel"/>
    <w:tmpl w:val="7B25073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7B250737"/>
    <w:multiLevelType w:val="hybridMultilevel"/>
    <w:tmpl w:val="7B250737"/>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7B250738"/>
    <w:multiLevelType w:val="hybridMultilevel"/>
    <w:tmpl w:val="7B25073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5">
    <w:nsid w:val="7B250739"/>
    <w:multiLevelType w:val="hybridMultilevel"/>
    <w:tmpl w:val="7B25073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6">
    <w:nsid w:val="7B25073A"/>
    <w:multiLevelType w:val="hybridMultilevel"/>
    <w:tmpl w:val="7B25073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7">
    <w:nsid w:val="7B25073B"/>
    <w:multiLevelType w:val="hybridMultilevel"/>
    <w:tmpl w:val="7B25073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8">
    <w:nsid w:val="7B25073C"/>
    <w:multiLevelType w:val="hybridMultilevel"/>
    <w:tmpl w:val="7B25073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9">
    <w:nsid w:val="7B25073D"/>
    <w:multiLevelType w:val="hybridMultilevel"/>
    <w:tmpl w:val="7B25073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0">
    <w:nsid w:val="7B25073E"/>
    <w:multiLevelType w:val="hybridMultilevel"/>
    <w:tmpl w:val="7B25073E"/>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1">
    <w:nsid w:val="7B25073F"/>
    <w:multiLevelType w:val="hybridMultilevel"/>
    <w:tmpl w:val="7B25073F"/>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2">
    <w:nsid w:val="7B250740"/>
    <w:multiLevelType w:val="hybridMultilevel"/>
    <w:tmpl w:val="7B250740"/>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3">
    <w:nsid w:val="7B250741"/>
    <w:multiLevelType w:val="hybridMultilevel"/>
    <w:tmpl w:val="7B250741"/>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4">
    <w:nsid w:val="7B250742"/>
    <w:multiLevelType w:val="hybridMultilevel"/>
    <w:tmpl w:val="7B25074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5">
    <w:nsid w:val="7B250743"/>
    <w:multiLevelType w:val="hybridMultilevel"/>
    <w:tmpl w:val="7B250743"/>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6">
    <w:nsid w:val="7B250744"/>
    <w:multiLevelType w:val="hybridMultilevel"/>
    <w:tmpl w:val="7B25074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7">
    <w:nsid w:val="7B250745"/>
    <w:multiLevelType w:val="hybridMultilevel"/>
    <w:tmpl w:val="7B25074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8">
    <w:nsid w:val="7B250746"/>
    <w:multiLevelType w:val="hybridMultilevel"/>
    <w:tmpl w:val="7B25074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9">
    <w:nsid w:val="7B250747"/>
    <w:multiLevelType w:val="hybridMultilevel"/>
    <w:tmpl w:val="7B25074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0">
    <w:nsid w:val="7B250748"/>
    <w:multiLevelType w:val="hybridMultilevel"/>
    <w:tmpl w:val="7B25074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1">
    <w:nsid w:val="7B250749"/>
    <w:multiLevelType w:val="multilevel"/>
    <w:tmpl w:val="7B25074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nsid w:val="7B25074A"/>
    <w:multiLevelType w:val="hybridMultilevel"/>
    <w:tmpl w:val="7B25074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3">
    <w:nsid w:val="7B25074B"/>
    <w:multiLevelType w:val="hybridMultilevel"/>
    <w:tmpl w:val="7B25074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4">
    <w:nsid w:val="7B25074C"/>
    <w:multiLevelType w:val="hybridMultilevel"/>
    <w:tmpl w:val="7B25074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5">
    <w:nsid w:val="7B25074D"/>
    <w:multiLevelType w:val="hybridMultilevel"/>
    <w:tmpl w:val="7B25074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6">
    <w:nsid w:val="7B25074E"/>
    <w:multiLevelType w:val="multilevel"/>
    <w:tmpl w:val="7B25074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nsid w:val="7B25074F"/>
    <w:multiLevelType w:val="hybridMultilevel"/>
    <w:tmpl w:val="7B25074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8">
    <w:nsid w:val="7B250750"/>
    <w:multiLevelType w:val="hybridMultilevel"/>
    <w:tmpl w:val="7B25075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9">
    <w:nsid w:val="7B250751"/>
    <w:multiLevelType w:val="hybridMultilevel"/>
    <w:tmpl w:val="7B25075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0">
    <w:nsid w:val="7B250752"/>
    <w:multiLevelType w:val="hybridMultilevel"/>
    <w:tmpl w:val="7B25075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1">
    <w:nsid w:val="7B250753"/>
    <w:multiLevelType w:val="hybridMultilevel"/>
    <w:tmpl w:val="7B25075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2">
    <w:nsid w:val="7B250754"/>
    <w:multiLevelType w:val="hybridMultilevel"/>
    <w:tmpl w:val="7B25075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3">
    <w:nsid w:val="7B250755"/>
    <w:multiLevelType w:val="hybridMultilevel"/>
    <w:tmpl w:val="7B25075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4">
    <w:nsid w:val="7B250756"/>
    <w:multiLevelType w:val="hybridMultilevel"/>
    <w:tmpl w:val="7B25075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5">
    <w:nsid w:val="7B250757"/>
    <w:multiLevelType w:val="hybridMultilevel"/>
    <w:tmpl w:val="7B25075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6">
    <w:nsid w:val="7B250758"/>
    <w:multiLevelType w:val="hybridMultilevel"/>
    <w:tmpl w:val="7B25075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7">
    <w:nsid w:val="7B250759"/>
    <w:multiLevelType w:val="hybridMultilevel"/>
    <w:tmpl w:val="7B25075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8">
    <w:nsid w:val="7B25075A"/>
    <w:multiLevelType w:val="hybridMultilevel"/>
    <w:tmpl w:val="7B25075A"/>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9">
    <w:nsid w:val="7B25075B"/>
    <w:multiLevelType w:val="hybridMultilevel"/>
    <w:tmpl w:val="7B25075B"/>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0">
    <w:nsid w:val="7B25075C"/>
    <w:multiLevelType w:val="multilevel"/>
    <w:tmpl w:val="7B25075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nsid w:val="7B25075D"/>
    <w:multiLevelType w:val="hybridMultilevel"/>
    <w:tmpl w:val="7B25075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2">
    <w:nsid w:val="7B25075E"/>
    <w:multiLevelType w:val="hybridMultilevel"/>
    <w:tmpl w:val="7B25075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3">
    <w:nsid w:val="7B25075F"/>
    <w:multiLevelType w:val="hybridMultilevel"/>
    <w:tmpl w:val="7B25075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4">
    <w:nsid w:val="7B250760"/>
    <w:multiLevelType w:val="hybridMultilevel"/>
    <w:tmpl w:val="7B25076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5">
    <w:nsid w:val="7B250761"/>
    <w:multiLevelType w:val="hybridMultilevel"/>
    <w:tmpl w:val="7B250761"/>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6">
    <w:nsid w:val="7B250762"/>
    <w:multiLevelType w:val="hybridMultilevel"/>
    <w:tmpl w:val="7B25076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7">
    <w:nsid w:val="7B250763"/>
    <w:multiLevelType w:val="multilevel"/>
    <w:tmpl w:val="7B2507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8">
    <w:nsid w:val="7B250764"/>
    <w:multiLevelType w:val="hybridMultilevel"/>
    <w:tmpl w:val="7B25076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9">
    <w:nsid w:val="7B250765"/>
    <w:multiLevelType w:val="hybridMultilevel"/>
    <w:tmpl w:val="7B25076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0">
    <w:nsid w:val="7B250766"/>
    <w:multiLevelType w:val="hybridMultilevel"/>
    <w:tmpl w:val="7B25076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1">
    <w:nsid w:val="7B250767"/>
    <w:multiLevelType w:val="hybridMultilevel"/>
    <w:tmpl w:val="7B25076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2">
    <w:nsid w:val="7B250768"/>
    <w:multiLevelType w:val="hybridMultilevel"/>
    <w:tmpl w:val="7B25076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3">
    <w:nsid w:val="7B250769"/>
    <w:multiLevelType w:val="hybridMultilevel"/>
    <w:tmpl w:val="7B25076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4">
    <w:nsid w:val="7B25076A"/>
    <w:multiLevelType w:val="hybridMultilevel"/>
    <w:tmpl w:val="7B25076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5">
    <w:nsid w:val="7B25076B"/>
    <w:multiLevelType w:val="hybridMultilevel"/>
    <w:tmpl w:val="7B25076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6">
    <w:nsid w:val="7B25076C"/>
    <w:multiLevelType w:val="hybridMultilevel"/>
    <w:tmpl w:val="7B25076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7">
    <w:nsid w:val="7B25076D"/>
    <w:multiLevelType w:val="hybridMultilevel"/>
    <w:tmpl w:val="7B25076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8">
    <w:nsid w:val="7B25076E"/>
    <w:multiLevelType w:val="hybridMultilevel"/>
    <w:tmpl w:val="7B25076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9">
    <w:nsid w:val="7B25076F"/>
    <w:multiLevelType w:val="hybridMultilevel"/>
    <w:tmpl w:val="7B25076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0">
    <w:nsid w:val="7B250770"/>
    <w:multiLevelType w:val="hybridMultilevel"/>
    <w:tmpl w:val="7B25077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1">
    <w:nsid w:val="7B250771"/>
    <w:multiLevelType w:val="hybridMultilevel"/>
    <w:tmpl w:val="7B25077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2">
    <w:nsid w:val="7B250772"/>
    <w:multiLevelType w:val="multilevel"/>
    <w:tmpl w:val="7B2507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nsid w:val="7B250773"/>
    <w:multiLevelType w:val="hybridMultilevel"/>
    <w:tmpl w:val="7B25077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4">
    <w:nsid w:val="7B250774"/>
    <w:multiLevelType w:val="hybridMultilevel"/>
    <w:tmpl w:val="7B25077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5">
    <w:nsid w:val="7B250775"/>
    <w:multiLevelType w:val="hybridMultilevel"/>
    <w:tmpl w:val="7B25077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6">
    <w:nsid w:val="7B250776"/>
    <w:multiLevelType w:val="hybridMultilevel"/>
    <w:tmpl w:val="7B25077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7">
    <w:nsid w:val="7B250777"/>
    <w:multiLevelType w:val="hybridMultilevel"/>
    <w:tmpl w:val="7B25077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8">
    <w:nsid w:val="7B250778"/>
    <w:multiLevelType w:val="hybridMultilevel"/>
    <w:tmpl w:val="7B25077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9">
    <w:nsid w:val="7B250779"/>
    <w:multiLevelType w:val="hybridMultilevel"/>
    <w:tmpl w:val="7B25077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0">
    <w:nsid w:val="7B25077A"/>
    <w:multiLevelType w:val="hybridMultilevel"/>
    <w:tmpl w:val="7B25077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1">
    <w:nsid w:val="7B25077B"/>
    <w:multiLevelType w:val="hybridMultilevel"/>
    <w:tmpl w:val="7B25077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2">
    <w:nsid w:val="7B25077C"/>
    <w:multiLevelType w:val="hybridMultilevel"/>
    <w:tmpl w:val="7B25077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3">
    <w:nsid w:val="7B25077D"/>
    <w:multiLevelType w:val="multilevel"/>
    <w:tmpl w:val="7B25077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nsid w:val="7B25077E"/>
    <w:multiLevelType w:val="multilevel"/>
    <w:tmpl w:val="7B25077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nsid w:val="7B25077F"/>
    <w:multiLevelType w:val="hybridMultilevel"/>
    <w:tmpl w:val="7B25077F"/>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6">
    <w:nsid w:val="7B250780"/>
    <w:multiLevelType w:val="hybridMultilevel"/>
    <w:tmpl w:val="7B25078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7">
    <w:nsid w:val="7B250781"/>
    <w:multiLevelType w:val="hybridMultilevel"/>
    <w:tmpl w:val="7B25078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8">
    <w:nsid w:val="7B250782"/>
    <w:multiLevelType w:val="hybridMultilevel"/>
    <w:tmpl w:val="7B25078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9">
    <w:nsid w:val="7B250783"/>
    <w:multiLevelType w:val="hybridMultilevel"/>
    <w:tmpl w:val="7B25078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0">
    <w:nsid w:val="7B250784"/>
    <w:multiLevelType w:val="hybridMultilevel"/>
    <w:tmpl w:val="7B25078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1">
    <w:nsid w:val="7B250785"/>
    <w:multiLevelType w:val="multilevel"/>
    <w:tmpl w:val="7B25078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nsid w:val="7B250786"/>
    <w:multiLevelType w:val="hybridMultilevel"/>
    <w:tmpl w:val="7B25078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3">
    <w:nsid w:val="7B250787"/>
    <w:multiLevelType w:val="hybridMultilevel"/>
    <w:tmpl w:val="7B25078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4">
    <w:nsid w:val="7B250788"/>
    <w:multiLevelType w:val="hybridMultilevel"/>
    <w:tmpl w:val="7B25078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5">
    <w:nsid w:val="7B250789"/>
    <w:multiLevelType w:val="hybridMultilevel"/>
    <w:tmpl w:val="7B25078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6">
    <w:nsid w:val="7B25078A"/>
    <w:multiLevelType w:val="hybridMultilevel"/>
    <w:tmpl w:val="7B25078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7">
    <w:nsid w:val="7B25078B"/>
    <w:multiLevelType w:val="hybridMultilevel"/>
    <w:tmpl w:val="7B25078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8">
    <w:nsid w:val="7B25078C"/>
    <w:multiLevelType w:val="hybridMultilevel"/>
    <w:tmpl w:val="7B25078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9">
    <w:nsid w:val="7B25078D"/>
    <w:multiLevelType w:val="hybridMultilevel"/>
    <w:tmpl w:val="7B25078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0">
    <w:nsid w:val="7B25078E"/>
    <w:multiLevelType w:val="hybridMultilevel"/>
    <w:tmpl w:val="7B25078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1">
    <w:nsid w:val="7B25078F"/>
    <w:multiLevelType w:val="hybridMultilevel"/>
    <w:tmpl w:val="7B25078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2">
    <w:nsid w:val="7B250790"/>
    <w:multiLevelType w:val="hybridMultilevel"/>
    <w:tmpl w:val="7B25079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3">
    <w:nsid w:val="7B250791"/>
    <w:multiLevelType w:val="hybridMultilevel"/>
    <w:tmpl w:val="7B25079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4">
    <w:nsid w:val="7B250792"/>
    <w:multiLevelType w:val="hybridMultilevel"/>
    <w:tmpl w:val="7B2507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5">
    <w:nsid w:val="7B250793"/>
    <w:multiLevelType w:val="hybridMultilevel"/>
    <w:tmpl w:val="7B25079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6">
    <w:nsid w:val="7B250794"/>
    <w:multiLevelType w:val="hybridMultilevel"/>
    <w:tmpl w:val="7B25079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7">
    <w:nsid w:val="7B250795"/>
    <w:multiLevelType w:val="hybridMultilevel"/>
    <w:tmpl w:val="7B25079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8">
    <w:nsid w:val="7B250796"/>
    <w:multiLevelType w:val="hybridMultilevel"/>
    <w:tmpl w:val="7B25079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9">
    <w:nsid w:val="7B250797"/>
    <w:multiLevelType w:val="hybridMultilevel"/>
    <w:tmpl w:val="7B25079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0">
    <w:nsid w:val="7B250798"/>
    <w:multiLevelType w:val="hybridMultilevel"/>
    <w:tmpl w:val="7B25079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1">
    <w:nsid w:val="7B250799"/>
    <w:multiLevelType w:val="hybridMultilevel"/>
    <w:tmpl w:val="7B25079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2">
    <w:nsid w:val="7B25079A"/>
    <w:multiLevelType w:val="hybridMultilevel"/>
    <w:tmpl w:val="7B25079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3">
    <w:nsid w:val="7B25079B"/>
    <w:multiLevelType w:val="hybridMultilevel"/>
    <w:tmpl w:val="7B25079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4">
    <w:nsid w:val="7B25079C"/>
    <w:multiLevelType w:val="hybridMultilevel"/>
    <w:tmpl w:val="7B25079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5">
    <w:nsid w:val="7B25079D"/>
    <w:multiLevelType w:val="hybridMultilevel"/>
    <w:tmpl w:val="7B25079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6">
    <w:nsid w:val="7B25079E"/>
    <w:multiLevelType w:val="hybridMultilevel"/>
    <w:tmpl w:val="7B25079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7">
    <w:nsid w:val="7B25079F"/>
    <w:multiLevelType w:val="hybridMultilevel"/>
    <w:tmpl w:val="7B25079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8">
    <w:nsid w:val="7B2507A0"/>
    <w:multiLevelType w:val="hybridMultilevel"/>
    <w:tmpl w:val="7B2507A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9">
    <w:nsid w:val="7B2507A1"/>
    <w:multiLevelType w:val="hybridMultilevel"/>
    <w:tmpl w:val="7B2507A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0">
    <w:nsid w:val="7B2507A2"/>
    <w:multiLevelType w:val="hybridMultilevel"/>
    <w:tmpl w:val="7B2507A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1">
    <w:nsid w:val="7B2507A3"/>
    <w:multiLevelType w:val="hybridMultilevel"/>
    <w:tmpl w:val="7B2507A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2">
    <w:nsid w:val="7B2507A4"/>
    <w:multiLevelType w:val="hybridMultilevel"/>
    <w:tmpl w:val="7B2507A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3">
    <w:nsid w:val="7B2507A5"/>
    <w:multiLevelType w:val="hybridMultilevel"/>
    <w:tmpl w:val="7B2507A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4">
    <w:nsid w:val="7B2507A6"/>
    <w:multiLevelType w:val="hybridMultilevel"/>
    <w:tmpl w:val="7B2507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5">
    <w:nsid w:val="7B2507A7"/>
    <w:multiLevelType w:val="hybridMultilevel"/>
    <w:tmpl w:val="7B2507A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6">
    <w:nsid w:val="7B2507A8"/>
    <w:multiLevelType w:val="hybridMultilevel"/>
    <w:tmpl w:val="7B2507A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7">
    <w:nsid w:val="7B2507A9"/>
    <w:multiLevelType w:val="hybridMultilevel"/>
    <w:tmpl w:val="7B2507A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8">
    <w:nsid w:val="7B2507AA"/>
    <w:multiLevelType w:val="hybridMultilevel"/>
    <w:tmpl w:val="7B2507A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9">
    <w:nsid w:val="7B2507AB"/>
    <w:multiLevelType w:val="hybridMultilevel"/>
    <w:tmpl w:val="7B2507A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0">
    <w:nsid w:val="7B2507AC"/>
    <w:multiLevelType w:val="hybridMultilevel"/>
    <w:tmpl w:val="7B2507A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1">
    <w:nsid w:val="7B2507AD"/>
    <w:multiLevelType w:val="multilevel"/>
    <w:tmpl w:val="7B2507AD"/>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2">
    <w:nsid w:val="7B2507AE"/>
    <w:multiLevelType w:val="multilevel"/>
    <w:tmpl w:val="7B2507A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3">
    <w:nsid w:val="7B2507AF"/>
    <w:multiLevelType w:val="hybridMultilevel"/>
    <w:tmpl w:val="7B2507A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4">
    <w:nsid w:val="7B2507B0"/>
    <w:multiLevelType w:val="multilevel"/>
    <w:tmpl w:val="7B2507B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5">
    <w:nsid w:val="7B2507B1"/>
    <w:multiLevelType w:val="multilevel"/>
    <w:tmpl w:val="7B2507B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nsid w:val="7B2507B2"/>
    <w:multiLevelType w:val="hybridMultilevel"/>
    <w:tmpl w:val="7B2507B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7">
    <w:nsid w:val="7B2507B3"/>
    <w:multiLevelType w:val="hybridMultilevel"/>
    <w:tmpl w:val="7B2507B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8">
    <w:nsid w:val="7B2507B4"/>
    <w:multiLevelType w:val="hybridMultilevel"/>
    <w:tmpl w:val="7B2507B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9">
    <w:nsid w:val="7B2507B5"/>
    <w:multiLevelType w:val="hybridMultilevel"/>
    <w:tmpl w:val="7B2507B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0">
    <w:nsid w:val="7B2507B6"/>
    <w:multiLevelType w:val="multilevel"/>
    <w:tmpl w:val="7B2507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1">
    <w:nsid w:val="7B2507B7"/>
    <w:multiLevelType w:val="hybridMultilevel"/>
    <w:tmpl w:val="7B2507B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2">
    <w:nsid w:val="7B2507B8"/>
    <w:multiLevelType w:val="hybridMultilevel"/>
    <w:tmpl w:val="7B2507B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3">
    <w:nsid w:val="7B2507B9"/>
    <w:multiLevelType w:val="hybridMultilevel"/>
    <w:tmpl w:val="7B2507B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4">
    <w:nsid w:val="7B2507BA"/>
    <w:multiLevelType w:val="hybridMultilevel"/>
    <w:tmpl w:val="7B2507B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5">
    <w:nsid w:val="7B2507BB"/>
    <w:multiLevelType w:val="multilevel"/>
    <w:tmpl w:val="7B2507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6">
    <w:nsid w:val="7B2507BC"/>
    <w:multiLevelType w:val="hybridMultilevel"/>
    <w:tmpl w:val="7B2507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7">
    <w:nsid w:val="7B2507BD"/>
    <w:multiLevelType w:val="hybridMultilevel"/>
    <w:tmpl w:val="7B2507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8">
    <w:nsid w:val="7B2507BE"/>
    <w:multiLevelType w:val="hybridMultilevel"/>
    <w:tmpl w:val="7B2507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9">
    <w:nsid w:val="7B2507BF"/>
    <w:multiLevelType w:val="hybridMultilevel"/>
    <w:tmpl w:val="7B2507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0">
    <w:nsid w:val="7B2507C0"/>
    <w:multiLevelType w:val="hybridMultilevel"/>
    <w:tmpl w:val="7B2507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1">
    <w:nsid w:val="7B2507C1"/>
    <w:multiLevelType w:val="hybridMultilevel"/>
    <w:tmpl w:val="7B2507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2">
    <w:nsid w:val="7B2507C2"/>
    <w:multiLevelType w:val="multilevel"/>
    <w:tmpl w:val="7B2507C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3">
    <w:nsid w:val="7B2507C3"/>
    <w:multiLevelType w:val="hybridMultilevel"/>
    <w:tmpl w:val="7B2507C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4">
    <w:nsid w:val="7B2507C4"/>
    <w:multiLevelType w:val="multilevel"/>
    <w:tmpl w:val="7B2507C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5">
    <w:nsid w:val="7B2507C5"/>
    <w:multiLevelType w:val="hybridMultilevel"/>
    <w:tmpl w:val="7B2507C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6">
    <w:nsid w:val="7B2507C6"/>
    <w:multiLevelType w:val="hybridMultilevel"/>
    <w:tmpl w:val="7B2507C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7">
    <w:nsid w:val="7B2507C7"/>
    <w:multiLevelType w:val="hybridMultilevel"/>
    <w:tmpl w:val="7B2507C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8">
    <w:nsid w:val="7B2507C8"/>
    <w:multiLevelType w:val="hybridMultilevel"/>
    <w:tmpl w:val="7B2507C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9">
    <w:nsid w:val="7B2507C9"/>
    <w:multiLevelType w:val="hybridMultilevel"/>
    <w:tmpl w:val="7B2507C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0">
    <w:nsid w:val="7B2507CA"/>
    <w:multiLevelType w:val="multilevel"/>
    <w:tmpl w:val="7B2507C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1">
    <w:nsid w:val="7B2507CB"/>
    <w:multiLevelType w:val="multilevel"/>
    <w:tmpl w:val="7B2507C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2">
    <w:nsid w:val="7B2507CC"/>
    <w:multiLevelType w:val="hybridMultilevel"/>
    <w:tmpl w:val="7B2507C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3">
    <w:nsid w:val="7B2507CD"/>
    <w:multiLevelType w:val="hybridMultilevel"/>
    <w:tmpl w:val="7B2507C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4">
    <w:nsid w:val="7B2507CE"/>
    <w:multiLevelType w:val="hybridMultilevel"/>
    <w:tmpl w:val="7B2507C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5">
    <w:nsid w:val="7B2507CF"/>
    <w:multiLevelType w:val="hybridMultilevel"/>
    <w:tmpl w:val="7B2507C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6">
    <w:nsid w:val="7B2507D0"/>
    <w:multiLevelType w:val="hybridMultilevel"/>
    <w:tmpl w:val="7B2507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7">
    <w:nsid w:val="7B2507D1"/>
    <w:multiLevelType w:val="hybridMultilevel"/>
    <w:tmpl w:val="7B2507D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8">
    <w:nsid w:val="7B2507D2"/>
    <w:multiLevelType w:val="hybridMultilevel"/>
    <w:tmpl w:val="7B2507D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9">
    <w:nsid w:val="7B2507D3"/>
    <w:multiLevelType w:val="hybridMultilevel"/>
    <w:tmpl w:val="7B2507D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0">
    <w:nsid w:val="7B2507D4"/>
    <w:multiLevelType w:val="multilevel"/>
    <w:tmpl w:val="7B25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1">
    <w:nsid w:val="7B2507D5"/>
    <w:multiLevelType w:val="hybridMultilevel"/>
    <w:tmpl w:val="7B2507D5"/>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2">
    <w:nsid w:val="7B2507D6"/>
    <w:multiLevelType w:val="hybridMultilevel"/>
    <w:tmpl w:val="7B2507D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3">
    <w:nsid w:val="7B2507D7"/>
    <w:multiLevelType w:val="hybridMultilevel"/>
    <w:tmpl w:val="7B2507D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4">
    <w:nsid w:val="7B2507D8"/>
    <w:multiLevelType w:val="hybridMultilevel"/>
    <w:tmpl w:val="7B2507D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5">
    <w:nsid w:val="7B2507D9"/>
    <w:multiLevelType w:val="hybridMultilevel"/>
    <w:tmpl w:val="7B2507D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6">
    <w:nsid w:val="7B2507DA"/>
    <w:multiLevelType w:val="hybridMultilevel"/>
    <w:tmpl w:val="7B2507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7">
    <w:nsid w:val="7B2507DB"/>
    <w:multiLevelType w:val="hybridMultilevel"/>
    <w:tmpl w:val="7B2507D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8">
    <w:nsid w:val="7B2507DC"/>
    <w:multiLevelType w:val="hybridMultilevel"/>
    <w:tmpl w:val="7B2507D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9">
    <w:nsid w:val="7B2507DD"/>
    <w:multiLevelType w:val="hybridMultilevel"/>
    <w:tmpl w:val="7B2507D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0">
    <w:nsid w:val="7B2507DE"/>
    <w:multiLevelType w:val="hybridMultilevel"/>
    <w:tmpl w:val="7B2507D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1">
    <w:nsid w:val="7B2507DF"/>
    <w:multiLevelType w:val="hybridMultilevel"/>
    <w:tmpl w:val="7B2507D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2">
    <w:nsid w:val="7B2507E0"/>
    <w:multiLevelType w:val="hybridMultilevel"/>
    <w:tmpl w:val="7B2507E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3">
    <w:nsid w:val="7B2507E1"/>
    <w:multiLevelType w:val="hybridMultilevel"/>
    <w:tmpl w:val="7B2507E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4">
    <w:nsid w:val="7B2507E2"/>
    <w:multiLevelType w:val="hybridMultilevel"/>
    <w:tmpl w:val="7B2507E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5">
    <w:nsid w:val="7B2507E3"/>
    <w:multiLevelType w:val="hybridMultilevel"/>
    <w:tmpl w:val="7B2507E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6">
    <w:nsid w:val="7B2507E4"/>
    <w:multiLevelType w:val="hybridMultilevel"/>
    <w:tmpl w:val="7B2507E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7">
    <w:nsid w:val="7B2507E5"/>
    <w:multiLevelType w:val="hybridMultilevel"/>
    <w:tmpl w:val="7B2507E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8">
    <w:nsid w:val="7B2507E6"/>
    <w:multiLevelType w:val="hybridMultilevel"/>
    <w:tmpl w:val="7B2507E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9">
    <w:nsid w:val="7B2507E7"/>
    <w:multiLevelType w:val="hybridMultilevel"/>
    <w:tmpl w:val="7B2507E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0">
    <w:nsid w:val="7B2507E8"/>
    <w:multiLevelType w:val="hybridMultilevel"/>
    <w:tmpl w:val="7B2507E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1">
    <w:nsid w:val="7B2507E9"/>
    <w:multiLevelType w:val="hybridMultilevel"/>
    <w:tmpl w:val="7B2507E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2">
    <w:nsid w:val="7B2507EA"/>
    <w:multiLevelType w:val="hybridMultilevel"/>
    <w:tmpl w:val="7B2507E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3">
    <w:nsid w:val="7B2507EB"/>
    <w:multiLevelType w:val="hybridMultilevel"/>
    <w:tmpl w:val="7B2507E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4">
    <w:nsid w:val="7B2507EC"/>
    <w:multiLevelType w:val="hybridMultilevel"/>
    <w:tmpl w:val="7B2507E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5">
    <w:nsid w:val="7B2507ED"/>
    <w:multiLevelType w:val="hybridMultilevel"/>
    <w:tmpl w:val="7B2507E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6">
    <w:nsid w:val="7B2507EE"/>
    <w:multiLevelType w:val="hybridMultilevel"/>
    <w:tmpl w:val="7B2507E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7">
    <w:nsid w:val="7B2507EF"/>
    <w:multiLevelType w:val="hybridMultilevel"/>
    <w:tmpl w:val="7B2507E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8">
    <w:nsid w:val="7B2507F0"/>
    <w:multiLevelType w:val="hybridMultilevel"/>
    <w:tmpl w:val="7B2507F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9">
    <w:nsid w:val="7B2507F1"/>
    <w:multiLevelType w:val="hybridMultilevel"/>
    <w:tmpl w:val="7B2507F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0">
    <w:nsid w:val="7B2507F2"/>
    <w:multiLevelType w:val="hybridMultilevel"/>
    <w:tmpl w:val="7B2507F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1">
    <w:nsid w:val="7B2507F3"/>
    <w:multiLevelType w:val="hybridMultilevel"/>
    <w:tmpl w:val="7B2507F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2">
    <w:nsid w:val="7B2507F4"/>
    <w:multiLevelType w:val="multilevel"/>
    <w:tmpl w:val="7B2507F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3">
    <w:nsid w:val="7B2507F5"/>
    <w:multiLevelType w:val="hybridMultilevel"/>
    <w:tmpl w:val="7B2507F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4">
    <w:nsid w:val="7B2507F6"/>
    <w:multiLevelType w:val="hybridMultilevel"/>
    <w:tmpl w:val="7B2507F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5">
    <w:nsid w:val="7B2507F7"/>
    <w:multiLevelType w:val="hybridMultilevel"/>
    <w:tmpl w:val="7B2507F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6">
    <w:nsid w:val="7B2507F8"/>
    <w:multiLevelType w:val="hybridMultilevel"/>
    <w:tmpl w:val="7B2507F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7">
    <w:nsid w:val="7B2507F9"/>
    <w:multiLevelType w:val="hybridMultilevel"/>
    <w:tmpl w:val="7B2507F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8">
    <w:nsid w:val="7B2507FA"/>
    <w:multiLevelType w:val="hybridMultilevel"/>
    <w:tmpl w:val="7B2507F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9">
    <w:nsid w:val="7B2507FB"/>
    <w:multiLevelType w:val="hybridMultilevel"/>
    <w:tmpl w:val="7B2507F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0">
    <w:nsid w:val="7B2507FC"/>
    <w:multiLevelType w:val="multilevel"/>
    <w:tmpl w:val="7B2507F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1">
    <w:nsid w:val="7B2507FD"/>
    <w:multiLevelType w:val="hybridMultilevel"/>
    <w:tmpl w:val="7B2507F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2">
    <w:nsid w:val="7B2507FE"/>
    <w:multiLevelType w:val="multilevel"/>
    <w:tmpl w:val="7B2507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3">
    <w:nsid w:val="7B2507FF"/>
    <w:multiLevelType w:val="multilevel"/>
    <w:tmpl w:val="7B2507F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4">
    <w:nsid w:val="7B250800"/>
    <w:multiLevelType w:val="hybridMultilevel"/>
    <w:tmpl w:val="7B25080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5">
    <w:nsid w:val="7B250801"/>
    <w:multiLevelType w:val="hybridMultilevel"/>
    <w:tmpl w:val="7B2508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6">
    <w:nsid w:val="7B250802"/>
    <w:multiLevelType w:val="hybridMultilevel"/>
    <w:tmpl w:val="7B2508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7">
    <w:nsid w:val="7B250803"/>
    <w:multiLevelType w:val="hybridMultilevel"/>
    <w:tmpl w:val="7B2508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8">
    <w:nsid w:val="7B250804"/>
    <w:multiLevelType w:val="hybridMultilevel"/>
    <w:tmpl w:val="7B2508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9">
    <w:nsid w:val="7B250805"/>
    <w:multiLevelType w:val="hybridMultilevel"/>
    <w:tmpl w:val="7B25080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0">
    <w:nsid w:val="7B250806"/>
    <w:multiLevelType w:val="hybridMultilevel"/>
    <w:tmpl w:val="7B25080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1">
    <w:nsid w:val="7B250807"/>
    <w:multiLevelType w:val="hybridMultilevel"/>
    <w:tmpl w:val="7B25080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2">
    <w:nsid w:val="7B250808"/>
    <w:multiLevelType w:val="hybridMultilevel"/>
    <w:tmpl w:val="7B25080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3">
    <w:nsid w:val="7B250809"/>
    <w:multiLevelType w:val="hybridMultilevel"/>
    <w:tmpl w:val="7B25080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4">
    <w:nsid w:val="7B25080A"/>
    <w:multiLevelType w:val="hybridMultilevel"/>
    <w:tmpl w:val="7B25080A"/>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5">
    <w:nsid w:val="7B25080B"/>
    <w:multiLevelType w:val="multilevel"/>
    <w:tmpl w:val="7B2508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6">
    <w:nsid w:val="7B25080C"/>
    <w:multiLevelType w:val="hybridMultilevel"/>
    <w:tmpl w:val="7B2508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7">
    <w:nsid w:val="7B25080D"/>
    <w:multiLevelType w:val="multilevel"/>
    <w:tmpl w:val="7B2508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8">
    <w:nsid w:val="7B25080E"/>
    <w:multiLevelType w:val="hybridMultilevel"/>
    <w:tmpl w:val="7B2508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9">
    <w:nsid w:val="7B25080F"/>
    <w:multiLevelType w:val="hybridMultilevel"/>
    <w:tmpl w:val="7B2508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0">
    <w:nsid w:val="7B250810"/>
    <w:multiLevelType w:val="hybridMultilevel"/>
    <w:tmpl w:val="7B2508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1">
    <w:nsid w:val="7B250811"/>
    <w:multiLevelType w:val="hybridMultilevel"/>
    <w:tmpl w:val="7B2508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2">
    <w:nsid w:val="7B250812"/>
    <w:multiLevelType w:val="hybridMultilevel"/>
    <w:tmpl w:val="7B25081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3">
    <w:nsid w:val="7B250813"/>
    <w:multiLevelType w:val="hybridMultilevel"/>
    <w:tmpl w:val="7B2508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4">
    <w:nsid w:val="7B250814"/>
    <w:multiLevelType w:val="multilevel"/>
    <w:tmpl w:val="7B2508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nsid w:val="7B250815"/>
    <w:multiLevelType w:val="multilevel"/>
    <w:tmpl w:val="7B2508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6">
    <w:nsid w:val="7B250816"/>
    <w:multiLevelType w:val="hybridMultilevel"/>
    <w:tmpl w:val="7B2508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7">
    <w:nsid w:val="7B250817"/>
    <w:multiLevelType w:val="hybridMultilevel"/>
    <w:tmpl w:val="7B2508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8">
    <w:nsid w:val="7B250818"/>
    <w:multiLevelType w:val="hybridMultilevel"/>
    <w:tmpl w:val="7B2508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9">
    <w:nsid w:val="7B250819"/>
    <w:multiLevelType w:val="multilevel"/>
    <w:tmpl w:val="7B25081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0">
    <w:nsid w:val="7B25081A"/>
    <w:multiLevelType w:val="multilevel"/>
    <w:tmpl w:val="7B25081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1">
    <w:nsid w:val="7B25081B"/>
    <w:multiLevelType w:val="hybridMultilevel"/>
    <w:tmpl w:val="7B2508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2">
    <w:nsid w:val="7B25081C"/>
    <w:multiLevelType w:val="hybridMultilevel"/>
    <w:tmpl w:val="7B2508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3">
    <w:nsid w:val="7B25081D"/>
    <w:multiLevelType w:val="multilevel"/>
    <w:tmpl w:val="7B2508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4">
    <w:nsid w:val="7B25081E"/>
    <w:multiLevelType w:val="multilevel"/>
    <w:tmpl w:val="7B2508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5">
    <w:nsid w:val="7B25081F"/>
    <w:multiLevelType w:val="hybridMultilevel"/>
    <w:tmpl w:val="7B2508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6">
    <w:nsid w:val="7B250820"/>
    <w:multiLevelType w:val="hybridMultilevel"/>
    <w:tmpl w:val="7B2508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7">
    <w:nsid w:val="7B250821"/>
    <w:multiLevelType w:val="multilevel"/>
    <w:tmpl w:val="7B2508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8">
    <w:nsid w:val="7B250822"/>
    <w:multiLevelType w:val="hybridMultilevel"/>
    <w:tmpl w:val="7B2508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9">
    <w:nsid w:val="7B250823"/>
    <w:multiLevelType w:val="hybridMultilevel"/>
    <w:tmpl w:val="7B2508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0">
    <w:nsid w:val="7B250824"/>
    <w:multiLevelType w:val="multilevel"/>
    <w:tmpl w:val="7B2508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1">
    <w:nsid w:val="7B250825"/>
    <w:multiLevelType w:val="hybridMultilevel"/>
    <w:tmpl w:val="7B2508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2">
    <w:nsid w:val="7B250826"/>
    <w:multiLevelType w:val="multilevel"/>
    <w:tmpl w:val="7B25082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3">
    <w:nsid w:val="7B250827"/>
    <w:multiLevelType w:val="hybridMultilevel"/>
    <w:tmpl w:val="7B2508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4">
    <w:nsid w:val="7B250828"/>
    <w:multiLevelType w:val="multilevel"/>
    <w:tmpl w:val="7B2508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5">
    <w:nsid w:val="7B250829"/>
    <w:multiLevelType w:val="multilevel"/>
    <w:tmpl w:val="7B2508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6">
    <w:nsid w:val="7B25082A"/>
    <w:multiLevelType w:val="hybridMultilevel"/>
    <w:tmpl w:val="7B25082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7">
    <w:nsid w:val="7B25082B"/>
    <w:multiLevelType w:val="hybridMultilevel"/>
    <w:tmpl w:val="7B25082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8">
    <w:nsid w:val="7B25082C"/>
    <w:multiLevelType w:val="hybridMultilevel"/>
    <w:tmpl w:val="7B25082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9">
    <w:nsid w:val="7B25082D"/>
    <w:multiLevelType w:val="multilevel"/>
    <w:tmpl w:val="7B25082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0">
    <w:nsid w:val="7B25082E"/>
    <w:multiLevelType w:val="hybridMultilevel"/>
    <w:tmpl w:val="7B25082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1">
    <w:nsid w:val="7B25082F"/>
    <w:multiLevelType w:val="hybridMultilevel"/>
    <w:tmpl w:val="7B25082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2">
    <w:nsid w:val="7B250830"/>
    <w:multiLevelType w:val="hybridMultilevel"/>
    <w:tmpl w:val="7B25083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3">
    <w:nsid w:val="7B250831"/>
    <w:multiLevelType w:val="multilevel"/>
    <w:tmpl w:val="7B25083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4">
    <w:nsid w:val="7B250832"/>
    <w:multiLevelType w:val="multilevel"/>
    <w:tmpl w:val="7B25083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5">
    <w:nsid w:val="7B250833"/>
    <w:multiLevelType w:val="hybridMultilevel"/>
    <w:tmpl w:val="7B25083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6">
    <w:nsid w:val="7B250834"/>
    <w:multiLevelType w:val="hybridMultilevel"/>
    <w:tmpl w:val="7B2508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7">
    <w:nsid w:val="7B250835"/>
    <w:multiLevelType w:val="hybridMultilevel"/>
    <w:tmpl w:val="7B25083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8">
    <w:nsid w:val="7B250836"/>
    <w:multiLevelType w:val="hybridMultilevel"/>
    <w:tmpl w:val="7B25083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9">
    <w:nsid w:val="7B250837"/>
    <w:multiLevelType w:val="hybridMultilevel"/>
    <w:tmpl w:val="7B25083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0">
    <w:nsid w:val="7B250838"/>
    <w:multiLevelType w:val="hybridMultilevel"/>
    <w:tmpl w:val="7B25083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1">
    <w:nsid w:val="7B250839"/>
    <w:multiLevelType w:val="hybridMultilevel"/>
    <w:tmpl w:val="7B25083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2">
    <w:nsid w:val="7B25083A"/>
    <w:multiLevelType w:val="hybridMultilevel"/>
    <w:tmpl w:val="7B25083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3">
    <w:nsid w:val="7B25083B"/>
    <w:multiLevelType w:val="hybridMultilevel"/>
    <w:tmpl w:val="7B25083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4">
    <w:nsid w:val="7B25083C"/>
    <w:multiLevelType w:val="hybridMultilevel"/>
    <w:tmpl w:val="7B25083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5">
    <w:nsid w:val="7B25083D"/>
    <w:multiLevelType w:val="hybridMultilevel"/>
    <w:tmpl w:val="7B25083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6">
    <w:nsid w:val="7B25083E"/>
    <w:multiLevelType w:val="hybridMultilevel"/>
    <w:tmpl w:val="7B25083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7">
    <w:nsid w:val="7B25083F"/>
    <w:multiLevelType w:val="hybridMultilevel"/>
    <w:tmpl w:val="7B25083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8">
    <w:nsid w:val="7B250840"/>
    <w:multiLevelType w:val="hybridMultilevel"/>
    <w:tmpl w:val="7B25084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9">
    <w:nsid w:val="7B250841"/>
    <w:multiLevelType w:val="hybridMultilevel"/>
    <w:tmpl w:val="7B25084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0">
    <w:nsid w:val="7B250842"/>
    <w:multiLevelType w:val="hybridMultilevel"/>
    <w:tmpl w:val="7B25084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1">
    <w:nsid w:val="7B250843"/>
    <w:multiLevelType w:val="hybridMultilevel"/>
    <w:tmpl w:val="7B25084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2">
    <w:nsid w:val="7B250844"/>
    <w:multiLevelType w:val="hybridMultilevel"/>
    <w:tmpl w:val="7B25084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3">
    <w:nsid w:val="7B250845"/>
    <w:multiLevelType w:val="hybridMultilevel"/>
    <w:tmpl w:val="7B25084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4">
    <w:nsid w:val="7B250846"/>
    <w:multiLevelType w:val="hybridMultilevel"/>
    <w:tmpl w:val="7B25084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5">
    <w:nsid w:val="7B250847"/>
    <w:multiLevelType w:val="hybridMultilevel"/>
    <w:tmpl w:val="7B25084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6">
    <w:nsid w:val="7B250848"/>
    <w:multiLevelType w:val="hybridMultilevel"/>
    <w:tmpl w:val="7B25084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7">
    <w:nsid w:val="7B250849"/>
    <w:multiLevelType w:val="hybridMultilevel"/>
    <w:tmpl w:val="7B25084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8">
    <w:nsid w:val="7B25084A"/>
    <w:multiLevelType w:val="hybridMultilevel"/>
    <w:tmpl w:val="7B25084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9">
    <w:nsid w:val="7B25084B"/>
    <w:multiLevelType w:val="hybridMultilevel"/>
    <w:tmpl w:val="7B25084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0">
    <w:nsid w:val="7B25084C"/>
    <w:multiLevelType w:val="hybridMultilevel"/>
    <w:tmpl w:val="7B25084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1">
    <w:nsid w:val="7B25084D"/>
    <w:multiLevelType w:val="hybridMultilevel"/>
    <w:tmpl w:val="7B25084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2">
    <w:nsid w:val="7B25084E"/>
    <w:multiLevelType w:val="hybridMultilevel"/>
    <w:tmpl w:val="7B25084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3">
    <w:nsid w:val="7B25084F"/>
    <w:multiLevelType w:val="hybridMultilevel"/>
    <w:tmpl w:val="7B25084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4">
    <w:nsid w:val="7B250850"/>
    <w:multiLevelType w:val="hybridMultilevel"/>
    <w:tmpl w:val="7B25085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5">
    <w:nsid w:val="7B250851"/>
    <w:multiLevelType w:val="hybridMultilevel"/>
    <w:tmpl w:val="7B25085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6">
    <w:nsid w:val="7B250852"/>
    <w:multiLevelType w:val="multilevel"/>
    <w:tmpl w:val="7B25085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7">
    <w:nsid w:val="7B250853"/>
    <w:multiLevelType w:val="hybridMultilevel"/>
    <w:tmpl w:val="7B250853"/>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8">
    <w:nsid w:val="7B250854"/>
    <w:multiLevelType w:val="hybridMultilevel"/>
    <w:tmpl w:val="7B25085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9">
    <w:nsid w:val="7B250855"/>
    <w:multiLevelType w:val="hybridMultilevel"/>
    <w:tmpl w:val="7B25085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0">
    <w:nsid w:val="7B250856"/>
    <w:multiLevelType w:val="hybridMultilevel"/>
    <w:tmpl w:val="7B25085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1">
    <w:nsid w:val="7B250857"/>
    <w:multiLevelType w:val="hybridMultilevel"/>
    <w:tmpl w:val="7B25085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2">
    <w:nsid w:val="7B250858"/>
    <w:multiLevelType w:val="hybridMultilevel"/>
    <w:tmpl w:val="7B25085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3">
    <w:nsid w:val="7B250859"/>
    <w:multiLevelType w:val="hybridMultilevel"/>
    <w:tmpl w:val="7B25085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4">
    <w:nsid w:val="7B25085A"/>
    <w:multiLevelType w:val="hybridMultilevel"/>
    <w:tmpl w:val="7B25085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5">
    <w:nsid w:val="7B25085B"/>
    <w:multiLevelType w:val="hybridMultilevel"/>
    <w:tmpl w:val="7B25085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6">
    <w:nsid w:val="7B25085C"/>
    <w:multiLevelType w:val="hybridMultilevel"/>
    <w:tmpl w:val="7B25085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7">
    <w:nsid w:val="7B25085D"/>
    <w:multiLevelType w:val="hybridMultilevel"/>
    <w:tmpl w:val="7B25085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8">
    <w:nsid w:val="7B25085E"/>
    <w:multiLevelType w:val="hybridMultilevel"/>
    <w:tmpl w:val="7B25085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9">
    <w:nsid w:val="7B25085F"/>
    <w:multiLevelType w:val="hybridMultilevel"/>
    <w:tmpl w:val="7B25085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0">
    <w:nsid w:val="7B250860"/>
    <w:multiLevelType w:val="hybridMultilevel"/>
    <w:tmpl w:val="7B25086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1">
    <w:nsid w:val="7B250861"/>
    <w:multiLevelType w:val="hybridMultilevel"/>
    <w:tmpl w:val="7B25086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2">
    <w:nsid w:val="7B250862"/>
    <w:multiLevelType w:val="hybridMultilevel"/>
    <w:tmpl w:val="7B25086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3">
    <w:nsid w:val="7B250863"/>
    <w:multiLevelType w:val="hybridMultilevel"/>
    <w:tmpl w:val="7B25086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4">
    <w:nsid w:val="7B250864"/>
    <w:multiLevelType w:val="multilevel"/>
    <w:tmpl w:val="7B2508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5">
    <w:nsid w:val="7B250865"/>
    <w:multiLevelType w:val="hybridMultilevel"/>
    <w:tmpl w:val="7B25086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6">
    <w:nsid w:val="7B250866"/>
    <w:multiLevelType w:val="hybridMultilevel"/>
    <w:tmpl w:val="7B25086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7">
    <w:nsid w:val="7B250867"/>
    <w:multiLevelType w:val="hybridMultilevel"/>
    <w:tmpl w:val="7B25086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8">
    <w:nsid w:val="7B250868"/>
    <w:multiLevelType w:val="hybridMultilevel"/>
    <w:tmpl w:val="7B25086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9">
    <w:nsid w:val="7B250869"/>
    <w:multiLevelType w:val="hybridMultilevel"/>
    <w:tmpl w:val="7B25086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0">
    <w:nsid w:val="7B25086A"/>
    <w:multiLevelType w:val="hybridMultilevel"/>
    <w:tmpl w:val="7B25086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1">
    <w:nsid w:val="7B25086B"/>
    <w:multiLevelType w:val="multilevel"/>
    <w:tmpl w:val="7B25086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2">
    <w:nsid w:val="7B25086C"/>
    <w:multiLevelType w:val="hybridMultilevel"/>
    <w:tmpl w:val="7B25086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3">
    <w:nsid w:val="7B25086D"/>
    <w:multiLevelType w:val="hybridMultilevel"/>
    <w:tmpl w:val="7B25086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4">
    <w:nsid w:val="7B25086E"/>
    <w:multiLevelType w:val="hybridMultilevel"/>
    <w:tmpl w:val="7B25086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5">
    <w:nsid w:val="7B25086F"/>
    <w:multiLevelType w:val="hybridMultilevel"/>
    <w:tmpl w:val="7B25086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6">
    <w:nsid w:val="7B250870"/>
    <w:multiLevelType w:val="hybridMultilevel"/>
    <w:tmpl w:val="7B25087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7">
    <w:nsid w:val="7B250871"/>
    <w:multiLevelType w:val="hybridMultilevel"/>
    <w:tmpl w:val="7B25087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8">
    <w:nsid w:val="7B250872"/>
    <w:multiLevelType w:val="hybridMultilevel"/>
    <w:tmpl w:val="7B25087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9">
    <w:nsid w:val="7B250873"/>
    <w:multiLevelType w:val="hybridMultilevel"/>
    <w:tmpl w:val="7B25087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0">
    <w:nsid w:val="7B250874"/>
    <w:multiLevelType w:val="hybridMultilevel"/>
    <w:tmpl w:val="7B2508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1">
    <w:nsid w:val="7B250875"/>
    <w:multiLevelType w:val="hybridMultilevel"/>
    <w:tmpl w:val="7B25087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2">
    <w:nsid w:val="7B250876"/>
    <w:multiLevelType w:val="hybridMultilevel"/>
    <w:tmpl w:val="7B25087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3">
    <w:nsid w:val="7B250877"/>
    <w:multiLevelType w:val="hybridMultilevel"/>
    <w:tmpl w:val="7B25087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4">
    <w:nsid w:val="7B250878"/>
    <w:multiLevelType w:val="hybridMultilevel"/>
    <w:tmpl w:val="7B25087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5">
    <w:nsid w:val="7B250879"/>
    <w:multiLevelType w:val="hybridMultilevel"/>
    <w:tmpl w:val="7B25087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6">
    <w:nsid w:val="7B25087A"/>
    <w:multiLevelType w:val="hybridMultilevel"/>
    <w:tmpl w:val="7B25087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7">
    <w:nsid w:val="7B25087B"/>
    <w:multiLevelType w:val="hybridMultilevel"/>
    <w:tmpl w:val="7B25087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8">
    <w:nsid w:val="7B25087C"/>
    <w:multiLevelType w:val="hybridMultilevel"/>
    <w:tmpl w:val="7B25087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9">
    <w:nsid w:val="7B25087D"/>
    <w:multiLevelType w:val="multilevel"/>
    <w:tmpl w:val="7B2508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0">
    <w:nsid w:val="7B25087E"/>
    <w:multiLevelType w:val="multilevel"/>
    <w:tmpl w:val="7B25087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1">
    <w:nsid w:val="7B25087F"/>
    <w:multiLevelType w:val="hybridMultilevel"/>
    <w:tmpl w:val="7B25087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2">
    <w:nsid w:val="7B250880"/>
    <w:multiLevelType w:val="hybridMultilevel"/>
    <w:tmpl w:val="7B25088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3">
    <w:nsid w:val="7B250881"/>
    <w:multiLevelType w:val="hybridMultilevel"/>
    <w:tmpl w:val="7B25088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4">
    <w:nsid w:val="7B250882"/>
    <w:multiLevelType w:val="multilevel"/>
    <w:tmpl w:val="7B2508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5">
    <w:nsid w:val="7B250883"/>
    <w:multiLevelType w:val="hybridMultilevel"/>
    <w:tmpl w:val="7B25088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6">
    <w:nsid w:val="7B250884"/>
    <w:multiLevelType w:val="hybridMultilevel"/>
    <w:tmpl w:val="7B25088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7">
    <w:nsid w:val="7B250885"/>
    <w:multiLevelType w:val="hybridMultilevel"/>
    <w:tmpl w:val="7B25088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8">
    <w:nsid w:val="7B250886"/>
    <w:multiLevelType w:val="hybridMultilevel"/>
    <w:tmpl w:val="7B25088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9">
    <w:nsid w:val="7B250887"/>
    <w:multiLevelType w:val="hybridMultilevel"/>
    <w:tmpl w:val="7B25088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0">
    <w:nsid w:val="7B250888"/>
    <w:multiLevelType w:val="hybridMultilevel"/>
    <w:tmpl w:val="7B25088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1">
    <w:nsid w:val="7B250889"/>
    <w:multiLevelType w:val="multilevel"/>
    <w:tmpl w:val="7B25088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2">
    <w:nsid w:val="7B25088A"/>
    <w:multiLevelType w:val="hybridMultilevel"/>
    <w:tmpl w:val="7B25088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3">
    <w:nsid w:val="7B25088B"/>
    <w:multiLevelType w:val="multilevel"/>
    <w:tmpl w:val="7B2508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4">
    <w:nsid w:val="7B25088C"/>
    <w:multiLevelType w:val="multilevel"/>
    <w:tmpl w:val="7B25088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5">
    <w:nsid w:val="7B25088D"/>
    <w:multiLevelType w:val="hybridMultilevel"/>
    <w:tmpl w:val="7B25088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6">
    <w:nsid w:val="7B25088E"/>
    <w:multiLevelType w:val="hybridMultilevel"/>
    <w:tmpl w:val="7B25088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7">
    <w:nsid w:val="7B25088F"/>
    <w:multiLevelType w:val="hybridMultilevel"/>
    <w:tmpl w:val="7B25088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8">
    <w:nsid w:val="7B250890"/>
    <w:multiLevelType w:val="hybridMultilevel"/>
    <w:tmpl w:val="7B25089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9">
    <w:nsid w:val="7B250891"/>
    <w:multiLevelType w:val="hybridMultilevel"/>
    <w:tmpl w:val="7B25089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0">
    <w:nsid w:val="7B250892"/>
    <w:multiLevelType w:val="hybridMultilevel"/>
    <w:tmpl w:val="7B25089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1">
    <w:nsid w:val="7B250893"/>
    <w:multiLevelType w:val="hybridMultilevel"/>
    <w:tmpl w:val="7B250893"/>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2">
    <w:nsid w:val="7B250894"/>
    <w:multiLevelType w:val="hybridMultilevel"/>
    <w:tmpl w:val="7B25089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3">
    <w:nsid w:val="7B250895"/>
    <w:multiLevelType w:val="hybridMultilevel"/>
    <w:tmpl w:val="7B25089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4">
    <w:nsid w:val="7B250896"/>
    <w:multiLevelType w:val="hybridMultilevel"/>
    <w:tmpl w:val="7B25089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5">
    <w:nsid w:val="7B250897"/>
    <w:multiLevelType w:val="hybridMultilevel"/>
    <w:tmpl w:val="7B25089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6">
    <w:nsid w:val="7B250898"/>
    <w:multiLevelType w:val="multilevel"/>
    <w:tmpl w:val="7B25089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7">
    <w:nsid w:val="7B250899"/>
    <w:multiLevelType w:val="hybridMultilevel"/>
    <w:tmpl w:val="7B25089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8">
    <w:nsid w:val="7B25089A"/>
    <w:multiLevelType w:val="hybridMultilevel"/>
    <w:tmpl w:val="7B25089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9">
    <w:nsid w:val="7B25089B"/>
    <w:multiLevelType w:val="hybridMultilevel"/>
    <w:tmpl w:val="7B25089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0">
    <w:nsid w:val="7B25089C"/>
    <w:multiLevelType w:val="hybridMultilevel"/>
    <w:tmpl w:val="7B25089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1">
    <w:nsid w:val="7B25089D"/>
    <w:multiLevelType w:val="hybridMultilevel"/>
    <w:tmpl w:val="7B25089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2">
    <w:nsid w:val="7B25089E"/>
    <w:multiLevelType w:val="hybridMultilevel"/>
    <w:tmpl w:val="7B25089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3">
    <w:nsid w:val="7B25089F"/>
    <w:multiLevelType w:val="hybridMultilevel"/>
    <w:tmpl w:val="7B25089F"/>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4">
    <w:nsid w:val="7B2508A0"/>
    <w:multiLevelType w:val="hybridMultilevel"/>
    <w:tmpl w:val="7B2508A0"/>
    <w:lvl w:ilvl="0">
      <w:start w:val="1"/>
      <w:numFmt w:val="bullet"/>
      <w:lvlText w:val=""/>
      <w:lvlJc w:val="left"/>
      <w:pPr>
        <w:ind w:left="720" w:hanging="360"/>
      </w:pPr>
      <w:rPr>
        <w:rFonts w:ascii="Symbol" w:hAnsi="Symbol"/>
        <w:sz w:val="20"/>
      </w:rPr>
    </w:lvl>
    <w:lvl w:ilvl="1">
      <w:start w:val="1"/>
      <w:numFmt w:val="decimal"/>
      <w:lvlText w:val="%2."/>
      <w:lvlJc w:val="left"/>
      <w:pPr>
        <w:ind w:left="1440" w:hanging="360"/>
      </w:pPr>
      <w:rPr>
        <w:sz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5">
    <w:nsid w:val="7B2508A1"/>
    <w:multiLevelType w:val="hybridMultilevel"/>
    <w:tmpl w:val="7B2508A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6">
    <w:nsid w:val="7B2508A2"/>
    <w:multiLevelType w:val="hybridMultilevel"/>
    <w:tmpl w:val="7B2508A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7">
    <w:nsid w:val="7B2508A3"/>
    <w:multiLevelType w:val="hybridMultilevel"/>
    <w:tmpl w:val="7B2508A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8">
    <w:nsid w:val="7B2508A4"/>
    <w:multiLevelType w:val="hybridMultilevel"/>
    <w:tmpl w:val="7B2508A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9">
    <w:nsid w:val="7B2508A5"/>
    <w:multiLevelType w:val="hybridMultilevel"/>
    <w:tmpl w:val="7B2508A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0">
    <w:nsid w:val="7B2508A6"/>
    <w:multiLevelType w:val="hybridMultilevel"/>
    <w:tmpl w:val="7B2508A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1">
    <w:nsid w:val="7B2508A7"/>
    <w:multiLevelType w:val="multilevel"/>
    <w:tmpl w:val="7B2508A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2">
    <w:nsid w:val="7B2508A8"/>
    <w:multiLevelType w:val="hybridMultilevel"/>
    <w:tmpl w:val="7B2508A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3">
    <w:nsid w:val="7B2508A9"/>
    <w:multiLevelType w:val="multilevel"/>
    <w:tmpl w:val="7B2508A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4">
    <w:nsid w:val="7B2508AA"/>
    <w:multiLevelType w:val="multilevel"/>
    <w:tmpl w:val="7B2508A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5">
    <w:nsid w:val="7B2508AB"/>
    <w:multiLevelType w:val="multilevel"/>
    <w:tmpl w:val="7B2508A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6">
    <w:nsid w:val="7B2508AC"/>
    <w:multiLevelType w:val="multilevel"/>
    <w:tmpl w:val="7B2508A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7">
    <w:nsid w:val="7B2508AD"/>
    <w:multiLevelType w:val="hybridMultilevel"/>
    <w:tmpl w:val="7B2508A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8">
    <w:nsid w:val="7B2508AE"/>
    <w:multiLevelType w:val="hybridMultilevel"/>
    <w:tmpl w:val="7B2508AE"/>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9">
    <w:nsid w:val="7B2508AF"/>
    <w:multiLevelType w:val="hybridMultilevel"/>
    <w:tmpl w:val="7B2508A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0">
    <w:nsid w:val="7B2508B0"/>
    <w:multiLevelType w:val="hybridMultilevel"/>
    <w:tmpl w:val="7B2508B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1">
    <w:nsid w:val="7B2508B1"/>
    <w:multiLevelType w:val="hybridMultilevel"/>
    <w:tmpl w:val="7B2508B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2">
    <w:nsid w:val="7B2508B2"/>
    <w:multiLevelType w:val="hybridMultilevel"/>
    <w:tmpl w:val="7B2508B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3">
    <w:nsid w:val="7B2508B3"/>
    <w:multiLevelType w:val="hybridMultilevel"/>
    <w:tmpl w:val="7B2508B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4">
    <w:nsid w:val="7B2508B4"/>
    <w:multiLevelType w:val="hybridMultilevel"/>
    <w:tmpl w:val="7B2508B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5">
    <w:nsid w:val="7B2508B5"/>
    <w:multiLevelType w:val="hybridMultilevel"/>
    <w:tmpl w:val="7B2508B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6">
    <w:nsid w:val="7B2508B6"/>
    <w:multiLevelType w:val="hybridMultilevel"/>
    <w:tmpl w:val="7B2508B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7">
    <w:nsid w:val="7B2508B7"/>
    <w:multiLevelType w:val="hybridMultilevel"/>
    <w:tmpl w:val="7B2508B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8">
    <w:nsid w:val="7B2508B8"/>
    <w:multiLevelType w:val="hybridMultilevel"/>
    <w:tmpl w:val="7B2508B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9">
    <w:nsid w:val="7B2508B9"/>
    <w:multiLevelType w:val="hybridMultilevel"/>
    <w:tmpl w:val="7B2508B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0">
    <w:nsid w:val="7B2508BA"/>
    <w:multiLevelType w:val="hybridMultilevel"/>
    <w:tmpl w:val="7B2508B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1">
    <w:nsid w:val="7B2508BB"/>
    <w:multiLevelType w:val="multilevel"/>
    <w:tmpl w:val="7B2508B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2">
    <w:nsid w:val="7B2508BC"/>
    <w:multiLevelType w:val="hybridMultilevel"/>
    <w:tmpl w:val="7B2508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3">
    <w:nsid w:val="7B2508BD"/>
    <w:multiLevelType w:val="multilevel"/>
    <w:tmpl w:val="7B2508BD"/>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4">
    <w:nsid w:val="7B2508BE"/>
    <w:multiLevelType w:val="multilevel"/>
    <w:tmpl w:val="7B2508B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5">
    <w:nsid w:val="7B2508BF"/>
    <w:multiLevelType w:val="hybridMultilevel"/>
    <w:tmpl w:val="7B2508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6">
    <w:nsid w:val="7B2508C0"/>
    <w:multiLevelType w:val="hybridMultilevel"/>
    <w:tmpl w:val="7B2508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7">
    <w:nsid w:val="7B2508C1"/>
    <w:multiLevelType w:val="hybridMultilevel"/>
    <w:tmpl w:val="7B2508C1"/>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8">
    <w:nsid w:val="7B2508C2"/>
    <w:multiLevelType w:val="hybridMultilevel"/>
    <w:tmpl w:val="7B2508C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9">
    <w:nsid w:val="7B2508C3"/>
    <w:multiLevelType w:val="hybridMultilevel"/>
    <w:tmpl w:val="7B2508C3"/>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0">
    <w:nsid w:val="7B2508C4"/>
    <w:multiLevelType w:val="hybridMultilevel"/>
    <w:tmpl w:val="7B2508C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1">
    <w:nsid w:val="7B2508C5"/>
    <w:multiLevelType w:val="hybridMultilevel"/>
    <w:tmpl w:val="7B2508C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2">
    <w:nsid w:val="7B2508C6"/>
    <w:multiLevelType w:val="hybridMultilevel"/>
    <w:tmpl w:val="7B2508C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3">
    <w:nsid w:val="7B2508C7"/>
    <w:multiLevelType w:val="hybridMultilevel"/>
    <w:tmpl w:val="7B2508C7"/>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4">
    <w:nsid w:val="7B2508C8"/>
    <w:multiLevelType w:val="hybridMultilevel"/>
    <w:tmpl w:val="7B2508C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5">
    <w:nsid w:val="7B2508C9"/>
    <w:multiLevelType w:val="hybridMultilevel"/>
    <w:tmpl w:val="7B2508C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6">
    <w:nsid w:val="7B2508CA"/>
    <w:multiLevelType w:val="hybridMultilevel"/>
    <w:tmpl w:val="7B2508C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7">
    <w:nsid w:val="7B2508CB"/>
    <w:multiLevelType w:val="hybridMultilevel"/>
    <w:tmpl w:val="7B2508C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8">
    <w:nsid w:val="7B2508CC"/>
    <w:multiLevelType w:val="hybridMultilevel"/>
    <w:tmpl w:val="7B2508C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9">
    <w:nsid w:val="7B2508CD"/>
    <w:multiLevelType w:val="hybridMultilevel"/>
    <w:tmpl w:val="7B2508C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0">
    <w:nsid w:val="7B2508CE"/>
    <w:multiLevelType w:val="hybridMultilevel"/>
    <w:tmpl w:val="7B2508C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1">
    <w:nsid w:val="7B2508CF"/>
    <w:multiLevelType w:val="hybridMultilevel"/>
    <w:tmpl w:val="7B2508C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2">
    <w:nsid w:val="7B2508D0"/>
    <w:multiLevelType w:val="hybridMultilevel"/>
    <w:tmpl w:val="7B2508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3">
    <w:nsid w:val="7B2508D1"/>
    <w:multiLevelType w:val="hybridMultilevel"/>
    <w:tmpl w:val="7B2508D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4">
    <w:nsid w:val="7B2508D2"/>
    <w:multiLevelType w:val="hybridMultilevel"/>
    <w:tmpl w:val="7B2508D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5">
    <w:nsid w:val="7B2508D3"/>
    <w:multiLevelType w:val="hybridMultilevel"/>
    <w:tmpl w:val="7B2508D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6">
    <w:nsid w:val="7B2508D4"/>
    <w:multiLevelType w:val="multilevel"/>
    <w:tmpl w:val="7B2508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7">
    <w:nsid w:val="7B2508D5"/>
    <w:multiLevelType w:val="hybridMultilevel"/>
    <w:tmpl w:val="7B2508D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8">
    <w:nsid w:val="7B2508D6"/>
    <w:multiLevelType w:val="hybridMultilevel"/>
    <w:tmpl w:val="7B2508D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9">
    <w:nsid w:val="7B2508D7"/>
    <w:multiLevelType w:val="hybridMultilevel"/>
    <w:tmpl w:val="7B2508D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0">
    <w:nsid w:val="7B2508D8"/>
    <w:multiLevelType w:val="hybridMultilevel"/>
    <w:tmpl w:val="7B2508D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1">
    <w:nsid w:val="7B2508D9"/>
    <w:multiLevelType w:val="hybridMultilevel"/>
    <w:tmpl w:val="7B2508D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2">
    <w:nsid w:val="7B2508DA"/>
    <w:multiLevelType w:val="hybridMultilevel"/>
    <w:tmpl w:val="7B2508D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3">
    <w:nsid w:val="7B2508DB"/>
    <w:multiLevelType w:val="hybridMultilevel"/>
    <w:tmpl w:val="7B2508D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4">
    <w:nsid w:val="7B2508DC"/>
    <w:multiLevelType w:val="multilevel"/>
    <w:tmpl w:val="7B2508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5">
    <w:nsid w:val="7B2508DD"/>
    <w:multiLevelType w:val="multilevel"/>
    <w:tmpl w:val="7B2508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6">
    <w:nsid w:val="7B2508DE"/>
    <w:multiLevelType w:val="hybridMultilevel"/>
    <w:tmpl w:val="7B2508D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7">
    <w:nsid w:val="7B2508DF"/>
    <w:multiLevelType w:val="hybridMultilevel"/>
    <w:tmpl w:val="7B2508D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8">
    <w:nsid w:val="7B2508E0"/>
    <w:multiLevelType w:val="hybridMultilevel"/>
    <w:tmpl w:val="7B2508E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9">
    <w:nsid w:val="7B2508E1"/>
    <w:multiLevelType w:val="hybridMultilevel"/>
    <w:tmpl w:val="7B2508E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0">
    <w:nsid w:val="7B2508E2"/>
    <w:multiLevelType w:val="hybridMultilevel"/>
    <w:tmpl w:val="7B2508E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1">
    <w:nsid w:val="7B2508E3"/>
    <w:multiLevelType w:val="multilevel"/>
    <w:tmpl w:val="7B2508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2">
    <w:nsid w:val="7B2508E4"/>
    <w:multiLevelType w:val="hybridMultilevel"/>
    <w:tmpl w:val="7B2508E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3">
    <w:nsid w:val="7B2508E5"/>
    <w:multiLevelType w:val="multilevel"/>
    <w:tmpl w:val="7B2508E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4">
    <w:nsid w:val="7B2508E6"/>
    <w:multiLevelType w:val="hybridMultilevel"/>
    <w:tmpl w:val="7B2508E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5">
    <w:nsid w:val="7B2508E7"/>
    <w:multiLevelType w:val="hybridMultilevel"/>
    <w:tmpl w:val="7B2508E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6">
    <w:nsid w:val="7B2508E8"/>
    <w:multiLevelType w:val="hybridMultilevel"/>
    <w:tmpl w:val="7B2508E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7">
    <w:nsid w:val="7B2508E9"/>
    <w:multiLevelType w:val="hybridMultilevel"/>
    <w:tmpl w:val="7B2508E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8">
    <w:nsid w:val="7B2508EA"/>
    <w:multiLevelType w:val="hybridMultilevel"/>
    <w:tmpl w:val="7B2508E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9">
    <w:nsid w:val="7B2508EB"/>
    <w:multiLevelType w:val="hybridMultilevel"/>
    <w:tmpl w:val="7B2508E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0">
    <w:nsid w:val="7B2508EC"/>
    <w:multiLevelType w:val="multilevel"/>
    <w:tmpl w:val="7B2508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1">
    <w:nsid w:val="7B2508ED"/>
    <w:multiLevelType w:val="hybridMultilevel"/>
    <w:tmpl w:val="7B2508E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2">
    <w:nsid w:val="7B2508EE"/>
    <w:multiLevelType w:val="hybridMultilevel"/>
    <w:tmpl w:val="7B2508E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3">
    <w:nsid w:val="7B2508EF"/>
    <w:multiLevelType w:val="hybridMultilevel"/>
    <w:tmpl w:val="7B2508E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4">
    <w:nsid w:val="7B2508F0"/>
    <w:multiLevelType w:val="hybridMultilevel"/>
    <w:tmpl w:val="7B2508F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5">
    <w:nsid w:val="7B2508F1"/>
    <w:multiLevelType w:val="hybridMultilevel"/>
    <w:tmpl w:val="7B2508F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6">
    <w:nsid w:val="7B2508F2"/>
    <w:multiLevelType w:val="hybridMultilevel"/>
    <w:tmpl w:val="7B2508F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7">
    <w:nsid w:val="7B2508F3"/>
    <w:multiLevelType w:val="hybridMultilevel"/>
    <w:tmpl w:val="7B2508F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8">
    <w:nsid w:val="7B2508F4"/>
    <w:multiLevelType w:val="hybridMultilevel"/>
    <w:tmpl w:val="7B2508F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9">
    <w:nsid w:val="7B2508F5"/>
    <w:multiLevelType w:val="hybridMultilevel"/>
    <w:tmpl w:val="7B2508F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0">
    <w:nsid w:val="7B2508F6"/>
    <w:multiLevelType w:val="hybridMultilevel"/>
    <w:tmpl w:val="7B2508F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1">
    <w:nsid w:val="7B2508F7"/>
    <w:multiLevelType w:val="hybridMultilevel"/>
    <w:tmpl w:val="7B2508F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2">
    <w:nsid w:val="7B2508F8"/>
    <w:multiLevelType w:val="hybridMultilevel"/>
    <w:tmpl w:val="7B2508F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3">
    <w:nsid w:val="7B2508F9"/>
    <w:multiLevelType w:val="multilevel"/>
    <w:tmpl w:val="7B2508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4">
    <w:nsid w:val="7B2508FA"/>
    <w:multiLevelType w:val="multilevel"/>
    <w:tmpl w:val="7B2508F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5">
    <w:nsid w:val="7B2508FB"/>
    <w:multiLevelType w:val="hybridMultilevel"/>
    <w:tmpl w:val="7B2508F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6">
    <w:nsid w:val="7B2508FC"/>
    <w:multiLevelType w:val="hybridMultilevel"/>
    <w:tmpl w:val="7B2508F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7">
    <w:nsid w:val="7B2508FD"/>
    <w:multiLevelType w:val="hybridMultilevel"/>
    <w:tmpl w:val="7B2508F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8">
    <w:nsid w:val="7B2508FE"/>
    <w:multiLevelType w:val="hybridMultilevel"/>
    <w:tmpl w:val="7B2508F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9">
    <w:nsid w:val="7B2508FF"/>
    <w:multiLevelType w:val="hybridMultilevel"/>
    <w:tmpl w:val="7B2508F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0">
    <w:nsid w:val="7B250900"/>
    <w:multiLevelType w:val="hybridMultilevel"/>
    <w:tmpl w:val="7B25090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1">
    <w:nsid w:val="7B250901"/>
    <w:multiLevelType w:val="hybridMultilevel"/>
    <w:tmpl w:val="7B2509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2">
    <w:nsid w:val="7B250902"/>
    <w:multiLevelType w:val="hybridMultilevel"/>
    <w:tmpl w:val="7B2509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3">
    <w:nsid w:val="7B250903"/>
    <w:multiLevelType w:val="hybridMultilevel"/>
    <w:tmpl w:val="7B2509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4">
    <w:nsid w:val="7B250904"/>
    <w:multiLevelType w:val="hybridMultilevel"/>
    <w:tmpl w:val="7B2509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5">
    <w:nsid w:val="7B250905"/>
    <w:multiLevelType w:val="hybridMultilevel"/>
    <w:tmpl w:val="7B25090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6">
    <w:nsid w:val="7B250906"/>
    <w:multiLevelType w:val="hybridMultilevel"/>
    <w:tmpl w:val="7B2509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7">
    <w:nsid w:val="7B250907"/>
    <w:multiLevelType w:val="hybridMultilevel"/>
    <w:tmpl w:val="7B2509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8">
    <w:nsid w:val="7B250908"/>
    <w:multiLevelType w:val="hybridMultilevel"/>
    <w:tmpl w:val="7B2509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9">
    <w:nsid w:val="7B250909"/>
    <w:multiLevelType w:val="hybridMultilevel"/>
    <w:tmpl w:val="7B2509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0">
    <w:nsid w:val="7B25090A"/>
    <w:multiLevelType w:val="hybridMultilevel"/>
    <w:tmpl w:val="7B2509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1">
    <w:nsid w:val="7B25090B"/>
    <w:multiLevelType w:val="hybridMultilevel"/>
    <w:tmpl w:val="7B2509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2">
    <w:nsid w:val="7B25090C"/>
    <w:multiLevelType w:val="hybridMultilevel"/>
    <w:tmpl w:val="7B2509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3">
    <w:nsid w:val="7B25090D"/>
    <w:multiLevelType w:val="hybridMultilevel"/>
    <w:tmpl w:val="7B2509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4">
    <w:nsid w:val="7B25090E"/>
    <w:multiLevelType w:val="hybridMultilevel"/>
    <w:tmpl w:val="7B2509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5">
    <w:nsid w:val="7B25090F"/>
    <w:multiLevelType w:val="hybridMultilevel"/>
    <w:tmpl w:val="7B2509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6">
    <w:nsid w:val="7B250910"/>
    <w:multiLevelType w:val="hybridMultilevel"/>
    <w:tmpl w:val="7B2509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7">
    <w:nsid w:val="7B250911"/>
    <w:multiLevelType w:val="hybridMultilevel"/>
    <w:tmpl w:val="7B2509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8">
    <w:nsid w:val="7B250912"/>
    <w:multiLevelType w:val="hybridMultilevel"/>
    <w:tmpl w:val="7B2509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9">
    <w:nsid w:val="7B250913"/>
    <w:multiLevelType w:val="hybridMultilevel"/>
    <w:tmpl w:val="7B2509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0">
    <w:nsid w:val="7B250914"/>
    <w:multiLevelType w:val="hybridMultilevel"/>
    <w:tmpl w:val="7B2509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1">
    <w:nsid w:val="7B250915"/>
    <w:multiLevelType w:val="hybridMultilevel"/>
    <w:tmpl w:val="7B2509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2">
    <w:nsid w:val="7B250916"/>
    <w:multiLevelType w:val="hybridMultilevel"/>
    <w:tmpl w:val="7B2509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3">
    <w:nsid w:val="7B250917"/>
    <w:multiLevelType w:val="hybridMultilevel"/>
    <w:tmpl w:val="7B2509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4">
    <w:nsid w:val="7B250918"/>
    <w:multiLevelType w:val="hybridMultilevel"/>
    <w:tmpl w:val="7B2509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5">
    <w:nsid w:val="7B250919"/>
    <w:multiLevelType w:val="hybridMultilevel"/>
    <w:tmpl w:val="7B2509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6">
    <w:nsid w:val="7B25091A"/>
    <w:multiLevelType w:val="hybridMultilevel"/>
    <w:tmpl w:val="7B2509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7">
    <w:nsid w:val="7B25091B"/>
    <w:multiLevelType w:val="hybridMultilevel"/>
    <w:tmpl w:val="7B25091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8">
    <w:nsid w:val="7B25091C"/>
    <w:multiLevelType w:val="hybridMultilevel"/>
    <w:tmpl w:val="7B2509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9">
    <w:nsid w:val="7B25091D"/>
    <w:multiLevelType w:val="hybridMultilevel"/>
    <w:tmpl w:val="7B2509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0">
    <w:nsid w:val="7B25091E"/>
    <w:multiLevelType w:val="multilevel"/>
    <w:tmpl w:val="7B2509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1">
    <w:nsid w:val="7B25091F"/>
    <w:multiLevelType w:val="hybridMultilevel"/>
    <w:tmpl w:val="7B2509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2">
    <w:nsid w:val="7B250920"/>
    <w:multiLevelType w:val="hybridMultilevel"/>
    <w:tmpl w:val="7B2509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3">
    <w:nsid w:val="7B250921"/>
    <w:multiLevelType w:val="hybridMultilevel"/>
    <w:tmpl w:val="7B2509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4">
    <w:nsid w:val="7B250922"/>
    <w:multiLevelType w:val="hybridMultilevel"/>
    <w:tmpl w:val="7B2509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5">
    <w:nsid w:val="7B250923"/>
    <w:multiLevelType w:val="hybridMultilevel"/>
    <w:tmpl w:val="7B2509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6">
    <w:nsid w:val="7B250924"/>
    <w:multiLevelType w:val="hybridMultilevel"/>
    <w:tmpl w:val="7B2509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7">
    <w:nsid w:val="7B250925"/>
    <w:multiLevelType w:val="hybridMultilevel"/>
    <w:tmpl w:val="7B2509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8">
    <w:nsid w:val="7B250926"/>
    <w:multiLevelType w:val="hybridMultilevel"/>
    <w:tmpl w:val="7B2509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9">
    <w:nsid w:val="7B250927"/>
    <w:multiLevelType w:val="hybridMultilevel"/>
    <w:tmpl w:val="7B2509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0">
    <w:nsid w:val="7B250928"/>
    <w:multiLevelType w:val="multilevel"/>
    <w:tmpl w:val="7B2509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1">
    <w:nsid w:val="7B250929"/>
    <w:multiLevelType w:val="hybridMultilevel"/>
    <w:tmpl w:val="7B25092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2">
    <w:nsid w:val="7B25092A"/>
    <w:multiLevelType w:val="hybridMultilevel"/>
    <w:tmpl w:val="7B25092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3">
    <w:nsid w:val="7B25092B"/>
    <w:multiLevelType w:val="hybridMultilevel"/>
    <w:tmpl w:val="7B25092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4">
    <w:nsid w:val="7B25092C"/>
    <w:multiLevelType w:val="hybridMultilevel"/>
    <w:tmpl w:val="7B25092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5">
    <w:nsid w:val="7B25092D"/>
    <w:multiLevelType w:val="hybridMultilevel"/>
    <w:tmpl w:val="7B25092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6">
    <w:nsid w:val="7B25092E"/>
    <w:multiLevelType w:val="hybridMultilevel"/>
    <w:tmpl w:val="7B25092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7">
    <w:nsid w:val="7B25092F"/>
    <w:multiLevelType w:val="hybridMultilevel"/>
    <w:tmpl w:val="7B25092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8">
    <w:nsid w:val="7B250930"/>
    <w:multiLevelType w:val="hybridMultilevel"/>
    <w:tmpl w:val="7B25093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9">
    <w:nsid w:val="7B250931"/>
    <w:multiLevelType w:val="hybridMultilevel"/>
    <w:tmpl w:val="7B25093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0">
    <w:nsid w:val="7B250932"/>
    <w:multiLevelType w:val="hybridMultilevel"/>
    <w:tmpl w:val="7B25093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1">
    <w:nsid w:val="7B250933"/>
    <w:multiLevelType w:val="multilevel"/>
    <w:tmpl w:val="7B25093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180"/>
      </w:pPr>
      <w:rPr>
        <w:rFonts w:ascii="Wingdings" w:hAnsi="Wingding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2">
    <w:nsid w:val="7B250934"/>
    <w:multiLevelType w:val="hybridMultilevel"/>
    <w:tmpl w:val="7B25093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3">
    <w:nsid w:val="7B250935"/>
    <w:multiLevelType w:val="multilevel"/>
    <w:tmpl w:val="7B25093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4">
    <w:nsid w:val="7B250936"/>
    <w:multiLevelType w:val="hybridMultilevel"/>
    <w:tmpl w:val="7B25093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5">
    <w:nsid w:val="7B250937"/>
    <w:multiLevelType w:val="multilevel"/>
    <w:tmpl w:val="7B250937"/>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6">
    <w:nsid w:val="7B250938"/>
    <w:multiLevelType w:val="hybridMultilevel"/>
    <w:tmpl w:val="7B25093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7">
    <w:nsid w:val="7B250939"/>
    <w:multiLevelType w:val="multilevel"/>
    <w:tmpl w:val="7B25093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8">
    <w:nsid w:val="7B25093A"/>
    <w:multiLevelType w:val="multilevel"/>
    <w:tmpl w:val="7B2509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9">
    <w:nsid w:val="7B25093B"/>
    <w:multiLevelType w:val="hybridMultilevel"/>
    <w:tmpl w:val="7B25093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0">
    <w:nsid w:val="7B25093C"/>
    <w:multiLevelType w:val="hybridMultilevel"/>
    <w:tmpl w:val="7B25093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1">
    <w:nsid w:val="7B25093D"/>
    <w:multiLevelType w:val="hybridMultilevel"/>
    <w:tmpl w:val="7B25093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2">
    <w:nsid w:val="7B25093E"/>
    <w:multiLevelType w:val="hybridMultilevel"/>
    <w:tmpl w:val="7B25093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3">
    <w:nsid w:val="7B25093F"/>
    <w:multiLevelType w:val="hybridMultilevel"/>
    <w:tmpl w:val="7B25093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4">
    <w:nsid w:val="7B250940"/>
    <w:multiLevelType w:val="hybridMultilevel"/>
    <w:tmpl w:val="7B25094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5">
    <w:nsid w:val="7B250941"/>
    <w:multiLevelType w:val="hybridMultilevel"/>
    <w:tmpl w:val="7B25094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6">
    <w:nsid w:val="7B250942"/>
    <w:multiLevelType w:val="hybridMultilevel"/>
    <w:tmpl w:val="7B250942"/>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7">
    <w:nsid w:val="7B250943"/>
    <w:multiLevelType w:val="hybridMultilevel"/>
    <w:tmpl w:val="7B250943"/>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8">
    <w:nsid w:val="7B250944"/>
    <w:multiLevelType w:val="hybridMultilevel"/>
    <w:tmpl w:val="7B25094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9">
    <w:nsid w:val="7B250945"/>
    <w:multiLevelType w:val="hybridMultilevel"/>
    <w:tmpl w:val="7B25094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0">
    <w:nsid w:val="7B250946"/>
    <w:multiLevelType w:val="hybridMultilevel"/>
    <w:tmpl w:val="7B25094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1">
    <w:nsid w:val="7B250947"/>
    <w:multiLevelType w:val="hybridMultilevel"/>
    <w:tmpl w:val="7B25094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2">
    <w:nsid w:val="7B250948"/>
    <w:multiLevelType w:val="hybridMultilevel"/>
    <w:tmpl w:val="7B25094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3">
    <w:nsid w:val="7B250949"/>
    <w:multiLevelType w:val="hybridMultilevel"/>
    <w:tmpl w:val="7B25094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4">
    <w:nsid w:val="7B25094A"/>
    <w:multiLevelType w:val="hybridMultilevel"/>
    <w:tmpl w:val="7B25094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5">
    <w:nsid w:val="7B25094B"/>
    <w:multiLevelType w:val="hybridMultilevel"/>
    <w:tmpl w:val="7B25094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6">
    <w:nsid w:val="7B25094C"/>
    <w:multiLevelType w:val="hybridMultilevel"/>
    <w:tmpl w:val="7B25094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7">
    <w:nsid w:val="7B25094D"/>
    <w:multiLevelType w:val="hybridMultilevel"/>
    <w:tmpl w:val="7B25094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8">
    <w:nsid w:val="7B25094E"/>
    <w:multiLevelType w:val="hybridMultilevel"/>
    <w:tmpl w:val="7B25094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9">
    <w:nsid w:val="7B25094F"/>
    <w:multiLevelType w:val="hybridMultilevel"/>
    <w:tmpl w:val="7B25094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0">
    <w:nsid w:val="7B250950"/>
    <w:multiLevelType w:val="hybridMultilevel"/>
    <w:tmpl w:val="7B25095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1">
    <w:nsid w:val="7B250951"/>
    <w:multiLevelType w:val="hybridMultilevel"/>
    <w:tmpl w:val="7B25095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2">
    <w:nsid w:val="7B250952"/>
    <w:multiLevelType w:val="hybridMultilevel"/>
    <w:tmpl w:val="7B25095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3">
    <w:nsid w:val="7B250953"/>
    <w:multiLevelType w:val="multilevel"/>
    <w:tmpl w:val="7B25095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4">
    <w:nsid w:val="7B250954"/>
    <w:multiLevelType w:val="hybridMultilevel"/>
    <w:tmpl w:val="7B25095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5">
    <w:nsid w:val="7B250955"/>
    <w:multiLevelType w:val="hybridMultilevel"/>
    <w:tmpl w:val="7B25095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6">
    <w:nsid w:val="7B250956"/>
    <w:multiLevelType w:val="hybridMultilevel"/>
    <w:tmpl w:val="7B25095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7">
    <w:nsid w:val="7B250957"/>
    <w:multiLevelType w:val="hybridMultilevel"/>
    <w:tmpl w:val="7B25095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8">
    <w:nsid w:val="7B250958"/>
    <w:multiLevelType w:val="hybridMultilevel"/>
    <w:tmpl w:val="7B25095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9">
    <w:nsid w:val="7B250959"/>
    <w:multiLevelType w:val="hybridMultilevel"/>
    <w:tmpl w:val="7B25095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0">
    <w:nsid w:val="7B25095A"/>
    <w:multiLevelType w:val="multilevel"/>
    <w:tmpl w:val="7B25095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1">
    <w:nsid w:val="7B25095B"/>
    <w:multiLevelType w:val="hybridMultilevel"/>
    <w:tmpl w:val="7B25095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2">
    <w:nsid w:val="7B25095C"/>
    <w:multiLevelType w:val="hybridMultilevel"/>
    <w:tmpl w:val="7B25095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3">
    <w:nsid w:val="7B25095D"/>
    <w:multiLevelType w:val="hybridMultilevel"/>
    <w:tmpl w:val="7B25095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4">
    <w:nsid w:val="7B25095E"/>
    <w:multiLevelType w:val="hybridMultilevel"/>
    <w:tmpl w:val="7B25095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5">
    <w:nsid w:val="7B25095F"/>
    <w:multiLevelType w:val="hybridMultilevel"/>
    <w:tmpl w:val="7B25095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6">
    <w:nsid w:val="7B250960"/>
    <w:multiLevelType w:val="hybridMultilevel"/>
    <w:tmpl w:val="7B25096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7">
    <w:nsid w:val="7B250961"/>
    <w:multiLevelType w:val="hybridMultilevel"/>
    <w:tmpl w:val="7B25096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8">
    <w:nsid w:val="7B250962"/>
    <w:multiLevelType w:val="hybridMultilevel"/>
    <w:tmpl w:val="7B25096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9">
    <w:nsid w:val="7B250963"/>
    <w:multiLevelType w:val="hybridMultilevel"/>
    <w:tmpl w:val="7B25096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0">
    <w:nsid w:val="7B250964"/>
    <w:multiLevelType w:val="hybridMultilevel"/>
    <w:tmpl w:val="7B25096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1">
    <w:nsid w:val="7B250965"/>
    <w:multiLevelType w:val="hybridMultilevel"/>
    <w:tmpl w:val="7B25096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2">
    <w:nsid w:val="7B250966"/>
    <w:multiLevelType w:val="hybridMultilevel"/>
    <w:tmpl w:val="7B25096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3">
    <w:nsid w:val="7B250967"/>
    <w:multiLevelType w:val="hybridMultilevel"/>
    <w:tmpl w:val="7B25096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4">
    <w:nsid w:val="7B250968"/>
    <w:multiLevelType w:val="hybridMultilevel"/>
    <w:tmpl w:val="7B25096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5">
    <w:nsid w:val="7B250969"/>
    <w:multiLevelType w:val="hybridMultilevel"/>
    <w:tmpl w:val="7B25096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6">
    <w:nsid w:val="7B25096A"/>
    <w:multiLevelType w:val="hybridMultilevel"/>
    <w:tmpl w:val="7B25096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7">
    <w:nsid w:val="7B25096B"/>
    <w:multiLevelType w:val="hybridMultilevel"/>
    <w:tmpl w:val="7B25096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8">
    <w:nsid w:val="7B25096C"/>
    <w:multiLevelType w:val="hybridMultilevel"/>
    <w:tmpl w:val="7B25096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9">
    <w:nsid w:val="7B25096D"/>
    <w:multiLevelType w:val="hybridMultilevel"/>
    <w:tmpl w:val="7B25096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0">
    <w:nsid w:val="7B25096E"/>
    <w:multiLevelType w:val="hybridMultilevel"/>
    <w:tmpl w:val="7B25096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1">
    <w:nsid w:val="7B25096F"/>
    <w:multiLevelType w:val="hybridMultilevel"/>
    <w:tmpl w:val="7B25096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2">
    <w:nsid w:val="7B250970"/>
    <w:multiLevelType w:val="hybridMultilevel"/>
    <w:tmpl w:val="7B25097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3">
    <w:nsid w:val="7B250971"/>
    <w:multiLevelType w:val="hybridMultilevel"/>
    <w:tmpl w:val="7B25097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4">
    <w:nsid w:val="7B250972"/>
    <w:multiLevelType w:val="hybridMultilevel"/>
    <w:tmpl w:val="7B25097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5">
    <w:nsid w:val="7B250973"/>
    <w:multiLevelType w:val="hybridMultilevel"/>
    <w:tmpl w:val="7B25097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6">
    <w:nsid w:val="7B250974"/>
    <w:multiLevelType w:val="hybridMultilevel"/>
    <w:tmpl w:val="7B25097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7">
    <w:nsid w:val="7B250975"/>
    <w:multiLevelType w:val="hybridMultilevel"/>
    <w:tmpl w:val="7B25097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8">
    <w:nsid w:val="7B250976"/>
    <w:multiLevelType w:val="hybridMultilevel"/>
    <w:tmpl w:val="7B2509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9">
    <w:nsid w:val="7B250977"/>
    <w:multiLevelType w:val="hybridMultilevel"/>
    <w:tmpl w:val="7B250977"/>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0">
    <w:nsid w:val="7B250978"/>
    <w:multiLevelType w:val="hybridMultilevel"/>
    <w:tmpl w:val="7B2509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1">
    <w:nsid w:val="7B250979"/>
    <w:multiLevelType w:val="hybridMultilevel"/>
    <w:tmpl w:val="7B25097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2">
    <w:nsid w:val="7B25097A"/>
    <w:multiLevelType w:val="hybridMultilevel"/>
    <w:tmpl w:val="7B25097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3">
    <w:nsid w:val="7B25097B"/>
    <w:multiLevelType w:val="hybridMultilevel"/>
    <w:tmpl w:val="7B25097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4">
    <w:nsid w:val="7B25097C"/>
    <w:multiLevelType w:val="hybridMultilevel"/>
    <w:tmpl w:val="7B25097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5">
    <w:nsid w:val="7B25097D"/>
    <w:multiLevelType w:val="hybridMultilevel"/>
    <w:tmpl w:val="7B25097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6">
    <w:nsid w:val="7B25097E"/>
    <w:multiLevelType w:val="hybridMultilevel"/>
    <w:tmpl w:val="7B25097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7">
    <w:nsid w:val="7B25097F"/>
    <w:multiLevelType w:val="multilevel"/>
    <w:tmpl w:val="7B25097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8">
    <w:nsid w:val="7B250980"/>
    <w:multiLevelType w:val="multilevel"/>
    <w:tmpl w:val="7B25098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9">
    <w:nsid w:val="7B250981"/>
    <w:multiLevelType w:val="hybridMultilevel"/>
    <w:tmpl w:val="7B25098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0">
    <w:nsid w:val="7B250982"/>
    <w:multiLevelType w:val="hybridMultilevel"/>
    <w:tmpl w:val="7B25098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1">
    <w:nsid w:val="7B250983"/>
    <w:multiLevelType w:val="hybridMultilevel"/>
    <w:tmpl w:val="7B25098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2">
    <w:nsid w:val="7B250984"/>
    <w:multiLevelType w:val="hybridMultilevel"/>
    <w:tmpl w:val="7B25098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3">
    <w:nsid w:val="7B250985"/>
    <w:multiLevelType w:val="multilevel"/>
    <w:tmpl w:val="7B25098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4">
    <w:nsid w:val="7B250986"/>
    <w:multiLevelType w:val="hybridMultilevel"/>
    <w:tmpl w:val="7B25098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5">
    <w:nsid w:val="7B250987"/>
    <w:multiLevelType w:val="hybridMultilevel"/>
    <w:tmpl w:val="7B25098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6">
    <w:nsid w:val="7B250988"/>
    <w:multiLevelType w:val="hybridMultilevel"/>
    <w:tmpl w:val="7B25098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7">
    <w:nsid w:val="7B250989"/>
    <w:multiLevelType w:val="hybridMultilevel"/>
    <w:tmpl w:val="7B25098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8">
    <w:nsid w:val="7B25098A"/>
    <w:multiLevelType w:val="hybridMultilevel"/>
    <w:tmpl w:val="7B25098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9">
    <w:nsid w:val="7B25098B"/>
    <w:multiLevelType w:val="multilevel"/>
    <w:tmpl w:val="7B25098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0">
    <w:nsid w:val="7B25098C"/>
    <w:multiLevelType w:val="hybridMultilevel"/>
    <w:tmpl w:val="7B25098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1">
    <w:nsid w:val="7B25098D"/>
    <w:multiLevelType w:val="hybridMultilevel"/>
    <w:tmpl w:val="7B25098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2">
    <w:nsid w:val="7B25098E"/>
    <w:multiLevelType w:val="hybridMultilevel"/>
    <w:tmpl w:val="7B25098E"/>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3">
    <w:nsid w:val="7B25098F"/>
    <w:multiLevelType w:val="hybridMultilevel"/>
    <w:tmpl w:val="7B25098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4">
    <w:nsid w:val="7B250990"/>
    <w:multiLevelType w:val="hybridMultilevel"/>
    <w:tmpl w:val="7B25099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5">
    <w:nsid w:val="7B250991"/>
    <w:multiLevelType w:val="hybridMultilevel"/>
    <w:tmpl w:val="7B25099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6">
    <w:nsid w:val="7B250992"/>
    <w:multiLevelType w:val="hybridMultilevel"/>
    <w:tmpl w:val="7B25099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7">
    <w:nsid w:val="7B250993"/>
    <w:multiLevelType w:val="hybridMultilevel"/>
    <w:tmpl w:val="7B25099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8">
    <w:nsid w:val="7B250994"/>
    <w:multiLevelType w:val="hybridMultilevel"/>
    <w:tmpl w:val="7B25099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9">
    <w:nsid w:val="7B250995"/>
    <w:multiLevelType w:val="hybridMultilevel"/>
    <w:tmpl w:val="7B25099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0">
    <w:nsid w:val="7B250996"/>
    <w:multiLevelType w:val="hybridMultilevel"/>
    <w:tmpl w:val="7B25099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1">
    <w:nsid w:val="7B250997"/>
    <w:multiLevelType w:val="hybridMultilevel"/>
    <w:tmpl w:val="7B25099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2">
    <w:nsid w:val="7B250998"/>
    <w:multiLevelType w:val="hybridMultilevel"/>
    <w:tmpl w:val="7B25099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3">
    <w:nsid w:val="7B250999"/>
    <w:multiLevelType w:val="hybridMultilevel"/>
    <w:tmpl w:val="7B25099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4">
    <w:nsid w:val="7B25099A"/>
    <w:multiLevelType w:val="hybridMultilevel"/>
    <w:tmpl w:val="7B25099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5">
    <w:nsid w:val="7B25099B"/>
    <w:multiLevelType w:val="hybridMultilevel"/>
    <w:tmpl w:val="7B25099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6">
    <w:nsid w:val="7B25099C"/>
    <w:multiLevelType w:val="hybridMultilevel"/>
    <w:tmpl w:val="7B25099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7">
    <w:nsid w:val="7B25099D"/>
    <w:multiLevelType w:val="hybridMultilevel"/>
    <w:tmpl w:val="7B25099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8">
    <w:nsid w:val="7B25099E"/>
    <w:multiLevelType w:val="hybridMultilevel"/>
    <w:tmpl w:val="7B25099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9">
    <w:nsid w:val="7B25099F"/>
    <w:multiLevelType w:val="hybridMultilevel"/>
    <w:tmpl w:val="7B25099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0">
    <w:nsid w:val="7B2509A0"/>
    <w:multiLevelType w:val="hybridMultilevel"/>
    <w:tmpl w:val="7B2509A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1">
    <w:nsid w:val="7B2509A1"/>
    <w:multiLevelType w:val="hybridMultilevel"/>
    <w:tmpl w:val="7B2509A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2">
    <w:nsid w:val="7B2509A2"/>
    <w:multiLevelType w:val="hybridMultilevel"/>
    <w:tmpl w:val="7B2509A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3">
    <w:nsid w:val="7B2509A3"/>
    <w:multiLevelType w:val="hybridMultilevel"/>
    <w:tmpl w:val="7B2509A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4">
    <w:nsid w:val="7B2509A4"/>
    <w:multiLevelType w:val="hybridMultilevel"/>
    <w:tmpl w:val="7B2509A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5">
    <w:nsid w:val="7B2509A5"/>
    <w:multiLevelType w:val="hybridMultilevel"/>
    <w:tmpl w:val="7B2509A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6">
    <w:nsid w:val="7B2509A6"/>
    <w:multiLevelType w:val="hybridMultilevel"/>
    <w:tmpl w:val="7B2509A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7">
    <w:nsid w:val="7B2509A7"/>
    <w:multiLevelType w:val="hybridMultilevel"/>
    <w:tmpl w:val="7B2509A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8">
    <w:nsid w:val="7B2509A8"/>
    <w:multiLevelType w:val="hybridMultilevel"/>
    <w:tmpl w:val="7B2509A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9">
    <w:nsid w:val="7B2509A9"/>
    <w:multiLevelType w:val="multilevel"/>
    <w:tmpl w:val="7B2509A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0">
    <w:nsid w:val="7B2509AA"/>
    <w:multiLevelType w:val="hybridMultilevel"/>
    <w:tmpl w:val="7B2509A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1">
    <w:nsid w:val="7B2509AB"/>
    <w:multiLevelType w:val="hybridMultilevel"/>
    <w:tmpl w:val="7B2509A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2">
    <w:nsid w:val="7B2509AC"/>
    <w:multiLevelType w:val="hybridMultilevel"/>
    <w:tmpl w:val="7B2509A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3">
    <w:nsid w:val="7B2509AD"/>
    <w:multiLevelType w:val="hybridMultilevel"/>
    <w:tmpl w:val="7B2509A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4">
    <w:nsid w:val="7B2509AE"/>
    <w:multiLevelType w:val="hybridMultilevel"/>
    <w:tmpl w:val="7B2509A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5">
    <w:nsid w:val="7B2509AF"/>
    <w:multiLevelType w:val="multilevel"/>
    <w:tmpl w:val="7B2509A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6">
    <w:nsid w:val="7B2509B0"/>
    <w:multiLevelType w:val="hybridMultilevel"/>
    <w:tmpl w:val="7B2509B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7">
    <w:nsid w:val="7B2509B1"/>
    <w:multiLevelType w:val="hybridMultilevel"/>
    <w:tmpl w:val="7B2509B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8">
    <w:nsid w:val="7B2509B2"/>
    <w:multiLevelType w:val="hybridMultilevel"/>
    <w:tmpl w:val="7B2509B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9">
    <w:nsid w:val="7B2509B3"/>
    <w:multiLevelType w:val="hybridMultilevel"/>
    <w:tmpl w:val="7B2509B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0">
    <w:nsid w:val="7B2509B4"/>
    <w:multiLevelType w:val="hybridMultilevel"/>
    <w:tmpl w:val="7B2509B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1">
    <w:nsid w:val="7B2509B5"/>
    <w:multiLevelType w:val="hybridMultilevel"/>
    <w:tmpl w:val="7B2509B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2">
    <w:nsid w:val="7B2509B6"/>
    <w:multiLevelType w:val="hybridMultilevel"/>
    <w:tmpl w:val="7B2509B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3">
    <w:nsid w:val="7B2509B7"/>
    <w:multiLevelType w:val="hybridMultilevel"/>
    <w:tmpl w:val="7B2509B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4">
    <w:nsid w:val="7B2509B8"/>
    <w:multiLevelType w:val="hybridMultilevel"/>
    <w:tmpl w:val="7B2509B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5">
    <w:nsid w:val="7B2509B9"/>
    <w:multiLevelType w:val="hybridMultilevel"/>
    <w:tmpl w:val="7B2509B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6">
    <w:nsid w:val="7B2509BA"/>
    <w:multiLevelType w:val="multilevel"/>
    <w:tmpl w:val="7B2509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7">
    <w:nsid w:val="7B2509BB"/>
    <w:multiLevelType w:val="hybridMultilevel"/>
    <w:tmpl w:val="7B2509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8">
    <w:nsid w:val="7B2509BC"/>
    <w:multiLevelType w:val="hybridMultilevel"/>
    <w:tmpl w:val="7B2509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9">
    <w:nsid w:val="7B2509BD"/>
    <w:multiLevelType w:val="hybridMultilevel"/>
    <w:tmpl w:val="7B2509B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0">
    <w:nsid w:val="7B2509BE"/>
    <w:multiLevelType w:val="hybridMultilevel"/>
    <w:tmpl w:val="7B2509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1">
    <w:nsid w:val="7B2509BF"/>
    <w:multiLevelType w:val="hybridMultilevel"/>
    <w:tmpl w:val="7B2509BF"/>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2">
    <w:nsid w:val="7B2509C0"/>
    <w:multiLevelType w:val="hybridMultilevel"/>
    <w:tmpl w:val="7B2509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3">
    <w:nsid w:val="7B2509C1"/>
    <w:multiLevelType w:val="hybridMultilevel"/>
    <w:tmpl w:val="7B2509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4">
    <w:nsid w:val="7B2509C2"/>
    <w:multiLevelType w:val="hybridMultilevel"/>
    <w:tmpl w:val="7B2509C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5">
    <w:nsid w:val="7B2509C3"/>
    <w:multiLevelType w:val="hybridMultilevel"/>
    <w:tmpl w:val="7B2509C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6">
    <w:nsid w:val="7B2509C4"/>
    <w:multiLevelType w:val="multilevel"/>
    <w:tmpl w:val="7B2509C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7">
    <w:nsid w:val="7B2509C5"/>
    <w:multiLevelType w:val="hybridMultilevel"/>
    <w:tmpl w:val="7B2509C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8">
    <w:nsid w:val="7B2509C6"/>
    <w:multiLevelType w:val="hybridMultilevel"/>
    <w:tmpl w:val="7B2509C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9">
    <w:nsid w:val="7B2509C7"/>
    <w:multiLevelType w:val="hybridMultilevel"/>
    <w:tmpl w:val="7B2509C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0">
    <w:nsid w:val="7B2509C8"/>
    <w:multiLevelType w:val="hybridMultilevel"/>
    <w:tmpl w:val="7B2509C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1">
    <w:nsid w:val="7B2509C9"/>
    <w:multiLevelType w:val="hybridMultilevel"/>
    <w:tmpl w:val="7B2509C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2">
    <w:nsid w:val="7B2509CA"/>
    <w:multiLevelType w:val="hybridMultilevel"/>
    <w:tmpl w:val="7B2509CA"/>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3">
    <w:nsid w:val="7B2509CB"/>
    <w:multiLevelType w:val="hybridMultilevel"/>
    <w:tmpl w:val="7B2509CB"/>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4">
    <w:nsid w:val="7B2509CC"/>
    <w:multiLevelType w:val="hybridMultilevel"/>
    <w:tmpl w:val="7B2509CC"/>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5">
    <w:nsid w:val="7B2509CD"/>
    <w:multiLevelType w:val="hybridMultilevel"/>
    <w:tmpl w:val="7B2509CD"/>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6">
    <w:nsid w:val="7B2509CE"/>
    <w:multiLevelType w:val="hybridMultilevel"/>
    <w:tmpl w:val="7B2509C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7">
    <w:nsid w:val="7B2509CF"/>
    <w:multiLevelType w:val="hybridMultilevel"/>
    <w:tmpl w:val="7B2509C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8">
    <w:nsid w:val="7B2509D0"/>
    <w:multiLevelType w:val="hybridMultilevel"/>
    <w:tmpl w:val="7B2509D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9">
    <w:nsid w:val="7B2509D1"/>
    <w:multiLevelType w:val="hybridMultilevel"/>
    <w:tmpl w:val="7B2509D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0">
    <w:nsid w:val="7B2509D2"/>
    <w:multiLevelType w:val="multilevel"/>
    <w:tmpl w:val="7B2509D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1">
    <w:nsid w:val="7B2509D3"/>
    <w:multiLevelType w:val="hybridMultilevel"/>
    <w:tmpl w:val="7B2509D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2">
    <w:nsid w:val="7B2509D4"/>
    <w:multiLevelType w:val="hybridMultilevel"/>
    <w:tmpl w:val="7B2509D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3">
    <w:nsid w:val="7B2509D5"/>
    <w:multiLevelType w:val="hybridMultilevel"/>
    <w:tmpl w:val="7B2509D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4">
    <w:nsid w:val="7B2509D6"/>
    <w:multiLevelType w:val="hybridMultilevel"/>
    <w:tmpl w:val="7B2509D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5">
    <w:nsid w:val="7B2509D7"/>
    <w:multiLevelType w:val="hybridMultilevel"/>
    <w:tmpl w:val="7B2509D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6">
    <w:nsid w:val="7B2509D8"/>
    <w:multiLevelType w:val="hybridMultilevel"/>
    <w:tmpl w:val="7B2509D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7">
    <w:nsid w:val="7B2509D9"/>
    <w:multiLevelType w:val="hybridMultilevel"/>
    <w:tmpl w:val="7B2509D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8">
    <w:nsid w:val="7B2509DA"/>
    <w:multiLevelType w:val="hybridMultilevel"/>
    <w:tmpl w:val="7B2509D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9">
    <w:nsid w:val="7B2509DB"/>
    <w:multiLevelType w:val="hybridMultilevel"/>
    <w:tmpl w:val="7B2509D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0">
    <w:nsid w:val="7B2509DC"/>
    <w:multiLevelType w:val="hybridMultilevel"/>
    <w:tmpl w:val="7B2509D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1">
    <w:nsid w:val="7B2509DD"/>
    <w:multiLevelType w:val="hybridMultilevel"/>
    <w:tmpl w:val="7B2509D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2">
    <w:nsid w:val="7B2509DE"/>
    <w:multiLevelType w:val="hybridMultilevel"/>
    <w:tmpl w:val="7B2509D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3">
    <w:nsid w:val="7B2509DF"/>
    <w:multiLevelType w:val="hybridMultilevel"/>
    <w:tmpl w:val="7B2509D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4">
    <w:nsid w:val="7B2509E0"/>
    <w:multiLevelType w:val="hybridMultilevel"/>
    <w:tmpl w:val="7B2509E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5">
    <w:nsid w:val="7B2509E1"/>
    <w:multiLevelType w:val="multilevel"/>
    <w:tmpl w:val="7B2509E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6">
    <w:nsid w:val="7B2509E2"/>
    <w:multiLevelType w:val="hybridMultilevel"/>
    <w:tmpl w:val="7B2509E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7">
    <w:nsid w:val="7B2509E3"/>
    <w:multiLevelType w:val="hybridMultilevel"/>
    <w:tmpl w:val="7B2509E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8">
    <w:nsid w:val="7B2509E4"/>
    <w:multiLevelType w:val="hybridMultilevel"/>
    <w:tmpl w:val="7B2509E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9">
    <w:nsid w:val="7B2509E5"/>
    <w:multiLevelType w:val="hybridMultilevel"/>
    <w:tmpl w:val="7B2509E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0">
    <w:nsid w:val="7B2509E6"/>
    <w:multiLevelType w:val="hybridMultilevel"/>
    <w:tmpl w:val="7B2509E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1">
    <w:nsid w:val="7B2509E7"/>
    <w:multiLevelType w:val="hybridMultilevel"/>
    <w:tmpl w:val="7B2509E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2">
    <w:nsid w:val="7B2509E8"/>
    <w:multiLevelType w:val="hybridMultilevel"/>
    <w:tmpl w:val="7B2509E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3">
    <w:nsid w:val="7B2509E9"/>
    <w:multiLevelType w:val="hybridMultilevel"/>
    <w:tmpl w:val="7B2509E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4">
    <w:nsid w:val="7B2509EA"/>
    <w:multiLevelType w:val="hybridMultilevel"/>
    <w:tmpl w:val="7B2509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5">
    <w:nsid w:val="7B2509EB"/>
    <w:multiLevelType w:val="hybridMultilevel"/>
    <w:tmpl w:val="7B2509E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6">
    <w:nsid w:val="7B2509EC"/>
    <w:multiLevelType w:val="hybridMultilevel"/>
    <w:tmpl w:val="7B2509E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7">
    <w:nsid w:val="7B2509ED"/>
    <w:multiLevelType w:val="hybridMultilevel"/>
    <w:tmpl w:val="7B2509E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8">
    <w:nsid w:val="7B2509EE"/>
    <w:multiLevelType w:val="hybridMultilevel"/>
    <w:tmpl w:val="7B2509E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9">
    <w:nsid w:val="7B2509EF"/>
    <w:multiLevelType w:val="hybridMultilevel"/>
    <w:tmpl w:val="7B2509E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0">
    <w:nsid w:val="7B2509F0"/>
    <w:multiLevelType w:val="hybridMultilevel"/>
    <w:tmpl w:val="7B2509F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1">
    <w:nsid w:val="7B2509F1"/>
    <w:multiLevelType w:val="hybridMultilevel"/>
    <w:tmpl w:val="7B2509F1"/>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2">
    <w:nsid w:val="7B2509F2"/>
    <w:multiLevelType w:val="multilevel"/>
    <w:tmpl w:val="7B2509F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3">
    <w:nsid w:val="7B2509F3"/>
    <w:multiLevelType w:val="multilevel"/>
    <w:tmpl w:val="7B2509F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4">
    <w:nsid w:val="7B2509F4"/>
    <w:multiLevelType w:val="multilevel"/>
    <w:tmpl w:val="7B2509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5">
    <w:nsid w:val="7B2509F5"/>
    <w:multiLevelType w:val="hybridMultilevel"/>
    <w:tmpl w:val="7B2509F5"/>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6">
    <w:nsid w:val="7B2509F6"/>
    <w:multiLevelType w:val="hybridMultilevel"/>
    <w:tmpl w:val="7B2509F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7">
    <w:nsid w:val="7B2509F7"/>
    <w:multiLevelType w:val="hybridMultilevel"/>
    <w:tmpl w:val="7B2509F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8">
    <w:nsid w:val="7B2509F8"/>
    <w:multiLevelType w:val="hybridMultilevel"/>
    <w:tmpl w:val="7B2509F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9">
    <w:nsid w:val="7B2509F9"/>
    <w:multiLevelType w:val="hybridMultilevel"/>
    <w:tmpl w:val="7B2509F9"/>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0">
    <w:nsid w:val="7B2509FA"/>
    <w:multiLevelType w:val="hybridMultilevel"/>
    <w:tmpl w:val="7B2509F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1">
    <w:nsid w:val="7B2509FB"/>
    <w:multiLevelType w:val="hybridMultilevel"/>
    <w:tmpl w:val="7B2509F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2">
    <w:nsid w:val="7B2509FC"/>
    <w:multiLevelType w:val="hybridMultilevel"/>
    <w:tmpl w:val="7B2509F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3">
    <w:nsid w:val="7B2509FD"/>
    <w:multiLevelType w:val="hybridMultilevel"/>
    <w:tmpl w:val="7B2509F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4">
    <w:nsid w:val="7B2509FE"/>
    <w:multiLevelType w:val="hybridMultilevel"/>
    <w:tmpl w:val="7B2509F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5">
    <w:nsid w:val="7B2509FF"/>
    <w:multiLevelType w:val="hybridMultilevel"/>
    <w:tmpl w:val="7B2509F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6">
    <w:nsid w:val="7B250A00"/>
    <w:multiLevelType w:val="hybridMultilevel"/>
    <w:tmpl w:val="7B250A0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7">
    <w:nsid w:val="7B250A01"/>
    <w:multiLevelType w:val="hybridMultilevel"/>
    <w:tmpl w:val="7B250A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8">
    <w:nsid w:val="7B250A02"/>
    <w:multiLevelType w:val="hybridMultilevel"/>
    <w:tmpl w:val="7B250A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9">
    <w:nsid w:val="7B250A03"/>
    <w:multiLevelType w:val="hybridMultilevel"/>
    <w:tmpl w:val="7B250A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0">
    <w:nsid w:val="7B250A04"/>
    <w:multiLevelType w:val="hybridMultilevel"/>
    <w:tmpl w:val="7B250A04"/>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1">
    <w:nsid w:val="7B250A05"/>
    <w:multiLevelType w:val="hybridMultilevel"/>
    <w:tmpl w:val="7B250A05"/>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2">
    <w:nsid w:val="7B250A06"/>
    <w:multiLevelType w:val="hybridMultilevel"/>
    <w:tmpl w:val="7B250A06"/>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3">
    <w:nsid w:val="7B250A07"/>
    <w:multiLevelType w:val="hybridMultilevel"/>
    <w:tmpl w:val="7B250A07"/>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4">
    <w:nsid w:val="7B250A08"/>
    <w:multiLevelType w:val="hybridMultilevel"/>
    <w:tmpl w:val="7B250A08"/>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5">
    <w:nsid w:val="7B250A09"/>
    <w:multiLevelType w:val="hybridMultilevel"/>
    <w:tmpl w:val="7B250A0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6">
    <w:nsid w:val="7B250A0A"/>
    <w:multiLevelType w:val="hybridMultilevel"/>
    <w:tmpl w:val="7B250A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7">
    <w:nsid w:val="7B250A0B"/>
    <w:multiLevelType w:val="hybridMultilevel"/>
    <w:tmpl w:val="7B250A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8">
    <w:nsid w:val="7B250A0C"/>
    <w:multiLevelType w:val="hybridMultilevel"/>
    <w:tmpl w:val="7B250A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9">
    <w:nsid w:val="7B250A0D"/>
    <w:multiLevelType w:val="hybridMultilevel"/>
    <w:tmpl w:val="7B250A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0">
    <w:nsid w:val="7B250A0E"/>
    <w:multiLevelType w:val="hybridMultilevel"/>
    <w:tmpl w:val="7B250A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1">
    <w:nsid w:val="7B250A0F"/>
    <w:multiLevelType w:val="hybridMultilevel"/>
    <w:tmpl w:val="7B250A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2">
    <w:nsid w:val="7B250A10"/>
    <w:multiLevelType w:val="hybridMultilevel"/>
    <w:tmpl w:val="7B250A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3">
    <w:nsid w:val="7B250A11"/>
    <w:multiLevelType w:val="hybridMultilevel"/>
    <w:tmpl w:val="7B250A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4">
    <w:nsid w:val="7B250A12"/>
    <w:multiLevelType w:val="hybridMultilevel"/>
    <w:tmpl w:val="7B250A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5">
    <w:nsid w:val="7B250A13"/>
    <w:multiLevelType w:val="hybridMultilevel"/>
    <w:tmpl w:val="7B250A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6">
    <w:nsid w:val="7B250A14"/>
    <w:multiLevelType w:val="hybridMultilevel"/>
    <w:tmpl w:val="7B250A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7">
    <w:nsid w:val="7B250A15"/>
    <w:multiLevelType w:val="hybridMultilevel"/>
    <w:tmpl w:val="7B250A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8">
    <w:nsid w:val="7B250A16"/>
    <w:multiLevelType w:val="hybridMultilevel"/>
    <w:tmpl w:val="7B250A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9">
    <w:nsid w:val="7B250A17"/>
    <w:multiLevelType w:val="hybridMultilevel"/>
    <w:tmpl w:val="7B250A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0">
    <w:nsid w:val="7B250A18"/>
    <w:multiLevelType w:val="hybridMultilevel"/>
    <w:tmpl w:val="7B250A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1">
    <w:nsid w:val="7B250A19"/>
    <w:multiLevelType w:val="hybridMultilevel"/>
    <w:tmpl w:val="7B250A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2">
    <w:nsid w:val="7B250A1A"/>
    <w:multiLevelType w:val="hybridMultilevel"/>
    <w:tmpl w:val="7B250A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3">
    <w:nsid w:val="7B250A1B"/>
    <w:multiLevelType w:val="hybridMultilevel"/>
    <w:tmpl w:val="7B250A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4">
    <w:nsid w:val="7B250A1C"/>
    <w:multiLevelType w:val="multilevel"/>
    <w:tmpl w:val="7B250A1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5">
    <w:nsid w:val="7B250A1D"/>
    <w:multiLevelType w:val="multilevel"/>
    <w:tmpl w:val="7B250A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6">
    <w:nsid w:val="7B250A1E"/>
    <w:multiLevelType w:val="hybridMultilevel"/>
    <w:tmpl w:val="7B250A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7">
    <w:nsid w:val="7B250A1F"/>
    <w:multiLevelType w:val="multilevel"/>
    <w:tmpl w:val="7B250A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8">
    <w:nsid w:val="7B250A20"/>
    <w:multiLevelType w:val="hybridMultilevel"/>
    <w:tmpl w:val="7B250A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9">
    <w:nsid w:val="7B250A21"/>
    <w:multiLevelType w:val="hybridMultilevel"/>
    <w:tmpl w:val="7B250A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0">
    <w:nsid w:val="7B250A22"/>
    <w:multiLevelType w:val="hybridMultilevel"/>
    <w:tmpl w:val="7B250A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1">
    <w:nsid w:val="7B250A23"/>
    <w:multiLevelType w:val="hybridMultilevel"/>
    <w:tmpl w:val="7B250A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2">
    <w:nsid w:val="7B250A24"/>
    <w:multiLevelType w:val="hybridMultilevel"/>
    <w:tmpl w:val="7B250A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3">
    <w:nsid w:val="7B250A25"/>
    <w:multiLevelType w:val="hybridMultilevel"/>
    <w:tmpl w:val="7B250A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4">
    <w:nsid w:val="7B250A26"/>
    <w:multiLevelType w:val="hybridMultilevel"/>
    <w:tmpl w:val="7B250A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5">
    <w:nsid w:val="7B250A27"/>
    <w:multiLevelType w:val="hybridMultilevel"/>
    <w:tmpl w:val="7B250A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6">
    <w:nsid w:val="7B250A28"/>
    <w:multiLevelType w:val="hybridMultilevel"/>
    <w:tmpl w:val="7B250A2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7">
    <w:nsid w:val="7B250A29"/>
    <w:multiLevelType w:val="hybridMultilevel"/>
    <w:tmpl w:val="7B250A29"/>
    <w:lvl w:ilvl="0">
      <w:start w:val="1"/>
      <w:numFmt w:val="bullet"/>
      <w:lvlText w:val=""/>
      <w:lvlJc w:val="left"/>
      <w:pPr>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8">
    <w:nsid w:val="7B250A2A"/>
    <w:multiLevelType w:val="multilevel"/>
    <w:tmpl w:val="7B250A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9">
    <w:nsid w:val="7B250A2B"/>
    <w:multiLevelType w:val="multilevel"/>
    <w:tmpl w:val="7B250A2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0">
    <w:nsid w:val="7B250A2C"/>
    <w:multiLevelType w:val="multilevel"/>
    <w:tmpl w:val="7B250A2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1">
    <w:nsid w:val="7B250A2D"/>
    <w:multiLevelType w:val="hybridMultilevel"/>
    <w:tmpl w:val="7B250A2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2">
    <w:nsid w:val="7B250A2E"/>
    <w:multiLevelType w:val="hybridMultilevel"/>
    <w:tmpl w:val="7B250A2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3">
    <w:nsid w:val="7B250A2F"/>
    <w:multiLevelType w:val="hybridMultilevel"/>
    <w:tmpl w:val="7B250A2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4">
    <w:nsid w:val="7B250A30"/>
    <w:multiLevelType w:val="hybridMultilevel"/>
    <w:tmpl w:val="7B250A3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5">
    <w:nsid w:val="7B250A31"/>
    <w:multiLevelType w:val="hybridMultilevel"/>
    <w:tmpl w:val="7B250A3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6">
    <w:nsid w:val="7B250A32"/>
    <w:multiLevelType w:val="hybridMultilevel"/>
    <w:tmpl w:val="7B250A3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7">
    <w:nsid w:val="7B250A33"/>
    <w:multiLevelType w:val="hybridMultilevel"/>
    <w:tmpl w:val="7B250A3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8">
    <w:nsid w:val="7B250A34"/>
    <w:multiLevelType w:val="hybridMultilevel"/>
    <w:tmpl w:val="7B250A3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9">
    <w:nsid w:val="7B250A35"/>
    <w:multiLevelType w:val="hybridMultilevel"/>
    <w:tmpl w:val="7B250A3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0">
    <w:nsid w:val="7B250A36"/>
    <w:multiLevelType w:val="hybridMultilevel"/>
    <w:tmpl w:val="7B250A3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1">
    <w:nsid w:val="7B250A37"/>
    <w:multiLevelType w:val="hybridMultilevel"/>
    <w:tmpl w:val="7B250A3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2">
    <w:nsid w:val="7B250A38"/>
    <w:multiLevelType w:val="hybridMultilevel"/>
    <w:tmpl w:val="7B250A3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3">
    <w:nsid w:val="7B250A39"/>
    <w:multiLevelType w:val="hybridMultilevel"/>
    <w:tmpl w:val="7B250A3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4">
    <w:nsid w:val="7B250A3A"/>
    <w:multiLevelType w:val="hybridMultilevel"/>
    <w:tmpl w:val="7B250A3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5">
    <w:nsid w:val="7B250A3B"/>
    <w:multiLevelType w:val="hybridMultilevel"/>
    <w:tmpl w:val="7B250A3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6">
    <w:nsid w:val="7B250A3C"/>
    <w:multiLevelType w:val="hybridMultilevel"/>
    <w:tmpl w:val="7B250A3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7">
    <w:nsid w:val="7B250A3D"/>
    <w:multiLevelType w:val="hybridMultilevel"/>
    <w:tmpl w:val="7B250A3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8">
    <w:nsid w:val="7B250A3E"/>
    <w:multiLevelType w:val="hybridMultilevel"/>
    <w:tmpl w:val="7B250A3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9">
    <w:nsid w:val="7B250A3F"/>
    <w:multiLevelType w:val="hybridMultilevel"/>
    <w:tmpl w:val="7B250A3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0">
    <w:nsid w:val="7B250A40"/>
    <w:multiLevelType w:val="hybridMultilevel"/>
    <w:tmpl w:val="7B250A4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1">
    <w:nsid w:val="7B250A41"/>
    <w:multiLevelType w:val="hybridMultilevel"/>
    <w:tmpl w:val="7B250A4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2">
    <w:nsid w:val="7B250A42"/>
    <w:multiLevelType w:val="hybridMultilevel"/>
    <w:tmpl w:val="7B250A4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3">
    <w:nsid w:val="7B250A43"/>
    <w:multiLevelType w:val="hybridMultilevel"/>
    <w:tmpl w:val="7B250A4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4">
    <w:nsid w:val="7B250A44"/>
    <w:multiLevelType w:val="hybridMultilevel"/>
    <w:tmpl w:val="7B250A4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5">
    <w:nsid w:val="7B250A45"/>
    <w:multiLevelType w:val="multilevel"/>
    <w:tmpl w:val="7B250A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6">
    <w:nsid w:val="7B250A46"/>
    <w:multiLevelType w:val="hybridMultilevel"/>
    <w:tmpl w:val="7B250A4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7">
    <w:nsid w:val="7B250A47"/>
    <w:multiLevelType w:val="hybridMultilevel"/>
    <w:tmpl w:val="7B250A4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8">
    <w:nsid w:val="7B250A48"/>
    <w:multiLevelType w:val="hybridMultilevel"/>
    <w:tmpl w:val="7B250A4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9">
    <w:nsid w:val="7B250A49"/>
    <w:multiLevelType w:val="hybridMultilevel"/>
    <w:tmpl w:val="7B250A4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0">
    <w:nsid w:val="7B250A4A"/>
    <w:multiLevelType w:val="hybridMultilevel"/>
    <w:tmpl w:val="7B250A4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1">
    <w:nsid w:val="7B250A4B"/>
    <w:multiLevelType w:val="hybridMultilevel"/>
    <w:tmpl w:val="7B250A4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2">
    <w:nsid w:val="7B250A4C"/>
    <w:multiLevelType w:val="hybridMultilevel"/>
    <w:tmpl w:val="7B250A4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7"/>
  </w:num>
  <w:num w:numId="13">
    <w:abstractNumId w:val="11"/>
  </w:num>
  <w:num w:numId="14">
    <w:abstractNumId w:val="16"/>
  </w:num>
  <w:num w:numId="15">
    <w:abstractNumId w:val="14"/>
  </w:num>
  <w:num w:numId="16">
    <w:abstractNumId w:val="25"/>
  </w:num>
  <w:num w:numId="17">
    <w:abstractNumId w:val="31"/>
  </w:num>
  <w:num w:numId="18">
    <w:abstractNumId w:val="10"/>
  </w:num>
  <w:num w:numId="19">
    <w:abstractNumId w:val="13"/>
  </w:num>
  <w:num w:numId="20">
    <w:abstractNumId w:val="29"/>
  </w:num>
  <w:num w:numId="21">
    <w:abstractNumId w:val="23"/>
  </w:num>
  <w:num w:numId="22">
    <w:abstractNumId w:val="32"/>
  </w:num>
  <w:num w:numId="23">
    <w:abstractNumId w:val="28"/>
  </w:num>
  <w:num w:numId="24">
    <w:abstractNumId w:val="30"/>
  </w:num>
  <w:num w:numId="25">
    <w:abstractNumId w:val="21"/>
  </w:num>
  <w:num w:numId="26">
    <w:abstractNumId w:val="24"/>
  </w:num>
  <w:num w:numId="27">
    <w:abstractNumId w:val="17"/>
  </w:num>
  <w:num w:numId="28">
    <w:abstractNumId w:val="18"/>
  </w:num>
  <w:num w:numId="29">
    <w:abstractNumId w:val="15"/>
  </w:num>
  <w:num w:numId="30">
    <w:abstractNumId w:val="12"/>
  </w:num>
  <w:num w:numId="31">
    <w:abstractNumId w:val="20"/>
  </w:num>
  <w:num w:numId="32">
    <w:abstractNumId w:val="22"/>
  </w:num>
  <w:num w:numId="33">
    <w:abstractNumId w:val="26"/>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337"/>
  </w:num>
  <w:num w:numId="339">
    <w:abstractNumId w:val="338"/>
  </w:num>
  <w:num w:numId="340">
    <w:abstractNumId w:val="339"/>
  </w:num>
  <w:num w:numId="341">
    <w:abstractNumId w:val="340"/>
  </w:num>
  <w:num w:numId="342">
    <w:abstractNumId w:val="341"/>
  </w:num>
  <w:num w:numId="343">
    <w:abstractNumId w:val="342"/>
  </w:num>
  <w:num w:numId="344">
    <w:abstractNumId w:val="343"/>
  </w:num>
  <w:num w:numId="345">
    <w:abstractNumId w:val="344"/>
  </w:num>
  <w:num w:numId="346">
    <w:abstractNumId w:val="345"/>
  </w:num>
  <w:num w:numId="347">
    <w:abstractNumId w:val="346"/>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356"/>
  </w:num>
  <w:num w:numId="358">
    <w:abstractNumId w:val="357"/>
  </w:num>
  <w:num w:numId="359">
    <w:abstractNumId w:val="358"/>
  </w:num>
  <w:num w:numId="360">
    <w:abstractNumId w:val="359"/>
  </w:num>
  <w:num w:numId="361">
    <w:abstractNumId w:val="360"/>
  </w:num>
  <w:num w:numId="362">
    <w:abstractNumId w:val="361"/>
  </w:num>
  <w:num w:numId="363">
    <w:abstractNumId w:val="362"/>
  </w:num>
  <w:num w:numId="364">
    <w:abstractNumId w:val="363"/>
  </w:num>
  <w:num w:numId="365">
    <w:abstractNumId w:val="364"/>
  </w:num>
  <w:num w:numId="366">
    <w:abstractNumId w:val="365"/>
  </w:num>
  <w:num w:numId="367">
    <w:abstractNumId w:val="366"/>
  </w:num>
  <w:num w:numId="368">
    <w:abstractNumId w:val="367"/>
  </w:num>
  <w:num w:numId="369">
    <w:abstractNumId w:val="368"/>
  </w:num>
  <w:num w:numId="370">
    <w:abstractNumId w:val="369"/>
  </w:num>
  <w:num w:numId="371">
    <w:abstractNumId w:val="370"/>
  </w:num>
  <w:num w:numId="372">
    <w:abstractNumId w:val="371"/>
  </w:num>
  <w:num w:numId="373">
    <w:abstractNumId w:val="372"/>
  </w:num>
  <w:num w:numId="374">
    <w:abstractNumId w:val="373"/>
  </w:num>
  <w:num w:numId="375">
    <w:abstractNumId w:val="374"/>
  </w:num>
  <w:num w:numId="376">
    <w:abstractNumId w:val="375"/>
  </w:num>
  <w:num w:numId="377">
    <w:abstractNumId w:val="376"/>
  </w:num>
  <w:num w:numId="378">
    <w:abstractNumId w:val="377"/>
  </w:num>
  <w:num w:numId="379">
    <w:abstractNumId w:val="378"/>
  </w:num>
  <w:num w:numId="380">
    <w:abstractNumId w:val="379"/>
  </w:num>
  <w:num w:numId="381">
    <w:abstractNumId w:val="380"/>
  </w:num>
  <w:num w:numId="382">
    <w:abstractNumId w:val="381"/>
  </w:num>
  <w:num w:numId="383">
    <w:abstractNumId w:val="382"/>
  </w:num>
  <w:num w:numId="384">
    <w:abstractNumId w:val="383"/>
  </w:num>
  <w:num w:numId="385">
    <w:abstractNumId w:val="384"/>
  </w:num>
  <w:num w:numId="386">
    <w:abstractNumId w:val="385"/>
  </w:num>
  <w:num w:numId="387">
    <w:abstractNumId w:val="386"/>
  </w:num>
  <w:num w:numId="388">
    <w:abstractNumId w:val="387"/>
  </w:num>
  <w:num w:numId="389">
    <w:abstractNumId w:val="388"/>
  </w:num>
  <w:num w:numId="390">
    <w:abstractNumId w:val="389"/>
  </w:num>
  <w:num w:numId="391">
    <w:abstractNumId w:val="390"/>
  </w:num>
  <w:num w:numId="392">
    <w:abstractNumId w:val="391"/>
  </w:num>
  <w:num w:numId="393">
    <w:abstractNumId w:val="392"/>
  </w:num>
  <w:num w:numId="394">
    <w:abstractNumId w:val="393"/>
  </w:num>
  <w:num w:numId="395">
    <w:abstractNumId w:val="394"/>
  </w:num>
  <w:num w:numId="396">
    <w:abstractNumId w:val="395"/>
  </w:num>
  <w:num w:numId="397">
    <w:abstractNumId w:val="396"/>
  </w:num>
  <w:num w:numId="398">
    <w:abstractNumId w:val="397"/>
  </w:num>
  <w:num w:numId="399">
    <w:abstractNumId w:val="398"/>
  </w:num>
  <w:num w:numId="400">
    <w:abstractNumId w:val="399"/>
  </w:num>
  <w:num w:numId="401">
    <w:abstractNumId w:val="400"/>
  </w:num>
  <w:num w:numId="402">
    <w:abstractNumId w:val="401"/>
  </w:num>
  <w:num w:numId="403">
    <w:abstractNumId w:val="402"/>
  </w:num>
  <w:num w:numId="404">
    <w:abstractNumId w:val="403"/>
  </w:num>
  <w:num w:numId="405">
    <w:abstractNumId w:val="404"/>
  </w:num>
  <w:num w:numId="406">
    <w:abstractNumId w:val="405"/>
  </w:num>
  <w:num w:numId="407">
    <w:abstractNumId w:val="406"/>
  </w:num>
  <w:num w:numId="408">
    <w:abstractNumId w:val="407"/>
  </w:num>
  <w:num w:numId="409">
    <w:abstractNumId w:val="408"/>
  </w:num>
  <w:num w:numId="410">
    <w:abstractNumId w:val="409"/>
  </w:num>
  <w:num w:numId="411">
    <w:abstractNumId w:val="410"/>
  </w:num>
  <w:num w:numId="412">
    <w:abstractNumId w:val="411"/>
  </w:num>
  <w:num w:numId="413">
    <w:abstractNumId w:val="412"/>
  </w:num>
  <w:num w:numId="414">
    <w:abstractNumId w:val="413"/>
  </w:num>
  <w:num w:numId="415">
    <w:abstractNumId w:val="414"/>
  </w:num>
  <w:num w:numId="416">
    <w:abstractNumId w:val="415"/>
  </w:num>
  <w:num w:numId="417">
    <w:abstractNumId w:val="416"/>
  </w:num>
  <w:num w:numId="418">
    <w:abstractNumId w:val="417"/>
  </w:num>
  <w:num w:numId="419">
    <w:abstractNumId w:val="418"/>
  </w:num>
  <w:num w:numId="420">
    <w:abstractNumId w:val="419"/>
  </w:num>
  <w:num w:numId="421">
    <w:abstractNumId w:val="420"/>
  </w:num>
  <w:num w:numId="422">
    <w:abstractNumId w:val="421"/>
  </w:num>
  <w:num w:numId="423">
    <w:abstractNumId w:val="422"/>
  </w:num>
  <w:num w:numId="424">
    <w:abstractNumId w:val="423"/>
  </w:num>
  <w:num w:numId="425">
    <w:abstractNumId w:val="424"/>
  </w:num>
  <w:num w:numId="426">
    <w:abstractNumId w:val="425"/>
  </w:num>
  <w:num w:numId="427">
    <w:abstractNumId w:val="426"/>
  </w:num>
  <w:num w:numId="428">
    <w:abstractNumId w:val="427"/>
  </w:num>
  <w:num w:numId="429">
    <w:abstractNumId w:val="428"/>
  </w:num>
  <w:num w:numId="430">
    <w:abstractNumId w:val="429"/>
  </w:num>
  <w:num w:numId="431">
    <w:abstractNumId w:val="430"/>
  </w:num>
  <w:num w:numId="432">
    <w:abstractNumId w:val="431"/>
  </w:num>
  <w:num w:numId="433">
    <w:abstractNumId w:val="432"/>
  </w:num>
  <w:num w:numId="434">
    <w:abstractNumId w:val="433"/>
  </w:num>
  <w:num w:numId="435">
    <w:abstractNumId w:val="434"/>
  </w:num>
  <w:num w:numId="436">
    <w:abstractNumId w:val="435"/>
  </w:num>
  <w:num w:numId="437">
    <w:abstractNumId w:val="436"/>
  </w:num>
  <w:num w:numId="438">
    <w:abstractNumId w:val="437"/>
  </w:num>
  <w:num w:numId="439">
    <w:abstractNumId w:val="438"/>
  </w:num>
  <w:num w:numId="440">
    <w:abstractNumId w:val="439"/>
  </w:num>
  <w:num w:numId="441">
    <w:abstractNumId w:val="440"/>
  </w:num>
  <w:num w:numId="442">
    <w:abstractNumId w:val="441"/>
  </w:num>
  <w:num w:numId="443">
    <w:abstractNumId w:val="442"/>
  </w:num>
  <w:num w:numId="444">
    <w:abstractNumId w:val="443"/>
  </w:num>
  <w:num w:numId="445">
    <w:abstractNumId w:val="444"/>
  </w:num>
  <w:num w:numId="446">
    <w:abstractNumId w:val="445"/>
  </w:num>
  <w:num w:numId="447">
    <w:abstractNumId w:val="446"/>
  </w:num>
  <w:num w:numId="448">
    <w:abstractNumId w:val="447"/>
  </w:num>
  <w:num w:numId="449">
    <w:abstractNumId w:val="448"/>
  </w:num>
  <w:num w:numId="450">
    <w:abstractNumId w:val="449"/>
  </w:num>
  <w:num w:numId="451">
    <w:abstractNumId w:val="450"/>
  </w:num>
  <w:num w:numId="452">
    <w:abstractNumId w:val="451"/>
  </w:num>
  <w:num w:numId="453">
    <w:abstractNumId w:val="452"/>
  </w:num>
  <w:num w:numId="454">
    <w:abstractNumId w:val="453"/>
  </w:num>
  <w:num w:numId="455">
    <w:abstractNumId w:val="454"/>
  </w:num>
  <w:num w:numId="456">
    <w:abstractNumId w:val="455"/>
  </w:num>
  <w:num w:numId="457">
    <w:abstractNumId w:val="456"/>
  </w:num>
  <w:num w:numId="458">
    <w:abstractNumId w:val="457"/>
  </w:num>
  <w:num w:numId="459">
    <w:abstractNumId w:val="458"/>
  </w:num>
  <w:num w:numId="460">
    <w:abstractNumId w:val="459"/>
  </w:num>
  <w:num w:numId="461">
    <w:abstractNumId w:val="460"/>
  </w:num>
  <w:num w:numId="462">
    <w:abstractNumId w:val="461"/>
  </w:num>
  <w:num w:numId="463">
    <w:abstractNumId w:val="462"/>
  </w:num>
  <w:num w:numId="464">
    <w:abstractNumId w:val="463"/>
  </w:num>
  <w:num w:numId="465">
    <w:abstractNumId w:val="464"/>
  </w:num>
  <w:num w:numId="466">
    <w:abstractNumId w:val="465"/>
  </w:num>
  <w:num w:numId="467">
    <w:abstractNumId w:val="466"/>
  </w:num>
  <w:num w:numId="468">
    <w:abstractNumId w:val="467"/>
  </w:num>
  <w:num w:numId="469">
    <w:abstractNumId w:val="468"/>
  </w:num>
  <w:num w:numId="470">
    <w:abstractNumId w:val="469"/>
  </w:num>
  <w:num w:numId="471">
    <w:abstractNumId w:val="470"/>
  </w:num>
  <w:num w:numId="472">
    <w:abstractNumId w:val="471"/>
  </w:num>
  <w:num w:numId="473">
    <w:abstractNumId w:val="472"/>
  </w:num>
  <w:num w:numId="474">
    <w:abstractNumId w:val="473"/>
  </w:num>
  <w:num w:numId="475">
    <w:abstractNumId w:val="474"/>
  </w:num>
  <w:num w:numId="476">
    <w:abstractNumId w:val="475"/>
  </w:num>
  <w:num w:numId="477">
    <w:abstractNumId w:val="476"/>
  </w:num>
  <w:num w:numId="478">
    <w:abstractNumId w:val="477"/>
  </w:num>
  <w:num w:numId="479">
    <w:abstractNumId w:val="478"/>
  </w:num>
  <w:num w:numId="480">
    <w:abstractNumId w:val="479"/>
  </w:num>
  <w:num w:numId="481">
    <w:abstractNumId w:val="480"/>
  </w:num>
  <w:num w:numId="482">
    <w:abstractNumId w:val="481"/>
  </w:num>
  <w:num w:numId="483">
    <w:abstractNumId w:val="482"/>
  </w:num>
  <w:num w:numId="484">
    <w:abstractNumId w:val="483"/>
  </w:num>
  <w:num w:numId="485">
    <w:abstractNumId w:val="484"/>
  </w:num>
  <w:num w:numId="486">
    <w:abstractNumId w:val="485"/>
  </w:num>
  <w:num w:numId="487">
    <w:abstractNumId w:val="486"/>
  </w:num>
  <w:num w:numId="488">
    <w:abstractNumId w:val="487"/>
  </w:num>
  <w:num w:numId="489">
    <w:abstractNumId w:val="488"/>
  </w:num>
  <w:num w:numId="490">
    <w:abstractNumId w:val="489"/>
  </w:num>
  <w:num w:numId="491">
    <w:abstractNumId w:val="490"/>
  </w:num>
  <w:num w:numId="492">
    <w:abstractNumId w:val="491"/>
  </w:num>
  <w:num w:numId="493">
    <w:abstractNumId w:val="492"/>
  </w:num>
  <w:num w:numId="494">
    <w:abstractNumId w:val="493"/>
  </w:num>
  <w:num w:numId="495">
    <w:abstractNumId w:val="494"/>
  </w:num>
  <w:num w:numId="496">
    <w:abstractNumId w:val="495"/>
  </w:num>
  <w:num w:numId="497">
    <w:abstractNumId w:val="496"/>
  </w:num>
  <w:num w:numId="498">
    <w:abstractNumId w:val="497"/>
  </w:num>
  <w:num w:numId="499">
    <w:abstractNumId w:val="498"/>
  </w:num>
  <w:num w:numId="500">
    <w:abstractNumId w:val="499"/>
  </w:num>
  <w:num w:numId="501">
    <w:abstractNumId w:val="500"/>
  </w:num>
  <w:num w:numId="502">
    <w:abstractNumId w:val="501"/>
  </w:num>
  <w:num w:numId="503">
    <w:abstractNumId w:val="502"/>
  </w:num>
  <w:num w:numId="504">
    <w:abstractNumId w:val="503"/>
  </w:num>
  <w:num w:numId="505">
    <w:abstractNumId w:val="504"/>
  </w:num>
  <w:num w:numId="506">
    <w:abstractNumId w:val="505"/>
  </w:num>
  <w:num w:numId="507">
    <w:abstractNumId w:val="506"/>
  </w:num>
  <w:num w:numId="508">
    <w:abstractNumId w:val="507"/>
  </w:num>
  <w:num w:numId="509">
    <w:abstractNumId w:val="508"/>
  </w:num>
  <w:num w:numId="510">
    <w:abstractNumId w:val="509"/>
  </w:num>
  <w:num w:numId="511">
    <w:abstractNumId w:val="510"/>
  </w:num>
  <w:num w:numId="512">
    <w:abstractNumId w:val="511"/>
  </w:num>
  <w:num w:numId="513">
    <w:abstractNumId w:val="512"/>
  </w:num>
  <w:num w:numId="514">
    <w:abstractNumId w:val="513"/>
  </w:num>
  <w:num w:numId="515">
    <w:abstractNumId w:val="514"/>
  </w:num>
  <w:num w:numId="516">
    <w:abstractNumId w:val="515"/>
  </w:num>
  <w:num w:numId="517">
    <w:abstractNumId w:val="516"/>
  </w:num>
  <w:num w:numId="518">
    <w:abstractNumId w:val="517"/>
  </w:num>
  <w:num w:numId="519">
    <w:abstractNumId w:val="518"/>
  </w:num>
  <w:num w:numId="520">
    <w:abstractNumId w:val="519"/>
  </w:num>
  <w:num w:numId="521">
    <w:abstractNumId w:val="520"/>
  </w:num>
  <w:num w:numId="522">
    <w:abstractNumId w:val="521"/>
  </w:num>
  <w:num w:numId="523">
    <w:abstractNumId w:val="522"/>
  </w:num>
  <w:num w:numId="524">
    <w:abstractNumId w:val="523"/>
  </w:num>
  <w:num w:numId="525">
    <w:abstractNumId w:val="524"/>
  </w:num>
  <w:num w:numId="526">
    <w:abstractNumId w:val="525"/>
  </w:num>
  <w:num w:numId="527">
    <w:abstractNumId w:val="526"/>
  </w:num>
  <w:num w:numId="528">
    <w:abstractNumId w:val="527"/>
  </w:num>
  <w:num w:numId="529">
    <w:abstractNumId w:val="528"/>
  </w:num>
  <w:num w:numId="530">
    <w:abstractNumId w:val="529"/>
  </w:num>
  <w:num w:numId="531">
    <w:abstractNumId w:val="530"/>
  </w:num>
  <w:num w:numId="532">
    <w:abstractNumId w:val="531"/>
  </w:num>
  <w:num w:numId="533">
    <w:abstractNumId w:val="532"/>
  </w:num>
  <w:num w:numId="534">
    <w:abstractNumId w:val="533"/>
  </w:num>
  <w:num w:numId="535">
    <w:abstractNumId w:val="534"/>
  </w:num>
  <w:num w:numId="536">
    <w:abstractNumId w:val="535"/>
  </w:num>
  <w:num w:numId="537">
    <w:abstractNumId w:val="536"/>
  </w:num>
  <w:num w:numId="538">
    <w:abstractNumId w:val="537"/>
  </w:num>
  <w:num w:numId="539">
    <w:abstractNumId w:val="538"/>
  </w:num>
  <w:num w:numId="540">
    <w:abstractNumId w:val="539"/>
  </w:num>
  <w:num w:numId="541">
    <w:abstractNumId w:val="540"/>
  </w:num>
  <w:num w:numId="542">
    <w:abstractNumId w:val="541"/>
  </w:num>
  <w:num w:numId="543">
    <w:abstractNumId w:val="542"/>
  </w:num>
  <w:num w:numId="544">
    <w:abstractNumId w:val="543"/>
  </w:num>
  <w:num w:numId="545">
    <w:abstractNumId w:val="544"/>
  </w:num>
  <w:num w:numId="546">
    <w:abstractNumId w:val="545"/>
  </w:num>
  <w:num w:numId="547">
    <w:abstractNumId w:val="546"/>
  </w:num>
  <w:num w:numId="548">
    <w:abstractNumId w:val="547"/>
  </w:num>
  <w:num w:numId="549">
    <w:abstractNumId w:val="548"/>
  </w:num>
  <w:num w:numId="550">
    <w:abstractNumId w:val="549"/>
  </w:num>
  <w:num w:numId="551">
    <w:abstractNumId w:val="550"/>
  </w:num>
  <w:num w:numId="552">
    <w:abstractNumId w:val="551"/>
  </w:num>
  <w:num w:numId="553">
    <w:abstractNumId w:val="552"/>
  </w:num>
  <w:num w:numId="554">
    <w:abstractNumId w:val="553"/>
  </w:num>
  <w:num w:numId="555">
    <w:abstractNumId w:val="554"/>
  </w:num>
  <w:num w:numId="556">
    <w:abstractNumId w:val="555"/>
  </w:num>
  <w:num w:numId="557">
    <w:abstractNumId w:val="556"/>
  </w:num>
  <w:num w:numId="558">
    <w:abstractNumId w:val="557"/>
  </w:num>
  <w:num w:numId="559">
    <w:abstractNumId w:val="558"/>
  </w:num>
  <w:num w:numId="560">
    <w:abstractNumId w:val="559"/>
  </w:num>
  <w:num w:numId="561">
    <w:abstractNumId w:val="560"/>
  </w:num>
  <w:num w:numId="562">
    <w:abstractNumId w:val="561"/>
  </w:num>
  <w:num w:numId="563">
    <w:abstractNumId w:val="562"/>
  </w:num>
  <w:num w:numId="564">
    <w:abstractNumId w:val="563"/>
  </w:num>
  <w:num w:numId="565">
    <w:abstractNumId w:val="564"/>
  </w:num>
  <w:num w:numId="566">
    <w:abstractNumId w:val="565"/>
  </w:num>
  <w:num w:numId="567">
    <w:abstractNumId w:val="566"/>
  </w:num>
  <w:num w:numId="568">
    <w:abstractNumId w:val="567"/>
  </w:num>
  <w:num w:numId="569">
    <w:abstractNumId w:val="568"/>
  </w:num>
  <w:num w:numId="570">
    <w:abstractNumId w:val="569"/>
  </w:num>
  <w:num w:numId="571">
    <w:abstractNumId w:val="570"/>
  </w:num>
  <w:num w:numId="572">
    <w:abstractNumId w:val="571"/>
  </w:num>
  <w:num w:numId="573">
    <w:abstractNumId w:val="572"/>
  </w:num>
  <w:num w:numId="574">
    <w:abstractNumId w:val="573"/>
  </w:num>
  <w:num w:numId="575">
    <w:abstractNumId w:val="574"/>
  </w:num>
  <w:num w:numId="576">
    <w:abstractNumId w:val="575"/>
  </w:num>
  <w:num w:numId="577">
    <w:abstractNumId w:val="576"/>
  </w:num>
  <w:num w:numId="578">
    <w:abstractNumId w:val="577"/>
  </w:num>
  <w:num w:numId="579">
    <w:abstractNumId w:val="578"/>
  </w:num>
  <w:num w:numId="580">
    <w:abstractNumId w:val="579"/>
  </w:num>
  <w:num w:numId="581">
    <w:abstractNumId w:val="580"/>
  </w:num>
  <w:num w:numId="582">
    <w:abstractNumId w:val="581"/>
  </w:num>
  <w:num w:numId="583">
    <w:abstractNumId w:val="582"/>
  </w:num>
  <w:num w:numId="584">
    <w:abstractNumId w:val="583"/>
  </w:num>
  <w:num w:numId="585">
    <w:abstractNumId w:val="584"/>
  </w:num>
  <w:num w:numId="586">
    <w:abstractNumId w:val="585"/>
  </w:num>
  <w:num w:numId="587">
    <w:abstractNumId w:val="586"/>
  </w:num>
  <w:num w:numId="588">
    <w:abstractNumId w:val="587"/>
  </w:num>
  <w:num w:numId="589">
    <w:abstractNumId w:val="588"/>
  </w:num>
  <w:num w:numId="590">
    <w:abstractNumId w:val="589"/>
  </w:num>
  <w:num w:numId="591">
    <w:abstractNumId w:val="590"/>
  </w:num>
  <w:num w:numId="592">
    <w:abstractNumId w:val="591"/>
  </w:num>
  <w:num w:numId="593">
    <w:abstractNumId w:val="592"/>
  </w:num>
  <w:num w:numId="594">
    <w:abstractNumId w:val="593"/>
  </w:num>
  <w:num w:numId="595">
    <w:abstractNumId w:val="594"/>
  </w:num>
  <w:num w:numId="596">
    <w:abstractNumId w:val="595"/>
  </w:num>
  <w:num w:numId="597">
    <w:abstractNumId w:val="596"/>
  </w:num>
  <w:num w:numId="598">
    <w:abstractNumId w:val="597"/>
  </w:num>
  <w:num w:numId="599">
    <w:abstractNumId w:val="598"/>
  </w:num>
  <w:num w:numId="600">
    <w:abstractNumId w:val="599"/>
  </w:num>
  <w:num w:numId="601">
    <w:abstractNumId w:val="600"/>
  </w:num>
  <w:num w:numId="602">
    <w:abstractNumId w:val="601"/>
  </w:num>
  <w:num w:numId="603">
    <w:abstractNumId w:val="602"/>
  </w:num>
  <w:num w:numId="604">
    <w:abstractNumId w:val="603"/>
  </w:num>
  <w:num w:numId="605">
    <w:abstractNumId w:val="604"/>
  </w:num>
  <w:num w:numId="606">
    <w:abstractNumId w:val="605"/>
  </w:num>
  <w:num w:numId="607">
    <w:abstractNumId w:val="606"/>
  </w:num>
  <w:num w:numId="608">
    <w:abstractNumId w:val="607"/>
  </w:num>
  <w:num w:numId="609">
    <w:abstractNumId w:val="608"/>
  </w:num>
  <w:num w:numId="610">
    <w:abstractNumId w:val="609"/>
  </w:num>
  <w:num w:numId="611">
    <w:abstractNumId w:val="610"/>
  </w:num>
  <w:num w:numId="612">
    <w:abstractNumId w:val="611"/>
  </w:num>
  <w:num w:numId="613">
    <w:abstractNumId w:val="612"/>
  </w:num>
  <w:num w:numId="614">
    <w:abstractNumId w:val="613"/>
  </w:num>
  <w:num w:numId="615">
    <w:abstractNumId w:val="614"/>
  </w:num>
  <w:num w:numId="616">
    <w:abstractNumId w:val="615"/>
  </w:num>
  <w:num w:numId="617">
    <w:abstractNumId w:val="616"/>
  </w:num>
  <w:num w:numId="618">
    <w:abstractNumId w:val="617"/>
  </w:num>
  <w:num w:numId="619">
    <w:abstractNumId w:val="618"/>
  </w:num>
  <w:num w:numId="620">
    <w:abstractNumId w:val="619"/>
  </w:num>
  <w:num w:numId="621">
    <w:abstractNumId w:val="620"/>
  </w:num>
  <w:num w:numId="622">
    <w:abstractNumId w:val="621"/>
  </w:num>
  <w:num w:numId="623">
    <w:abstractNumId w:val="622"/>
  </w:num>
  <w:num w:numId="624">
    <w:abstractNumId w:val="623"/>
  </w:num>
  <w:num w:numId="625">
    <w:abstractNumId w:val="624"/>
  </w:num>
  <w:num w:numId="626">
    <w:abstractNumId w:val="625"/>
  </w:num>
  <w:num w:numId="627">
    <w:abstractNumId w:val="626"/>
  </w:num>
  <w:num w:numId="628">
    <w:abstractNumId w:val="627"/>
  </w:num>
  <w:num w:numId="629">
    <w:abstractNumId w:val="628"/>
  </w:num>
  <w:num w:numId="630">
    <w:abstractNumId w:val="629"/>
  </w:num>
  <w:num w:numId="631">
    <w:abstractNumId w:val="630"/>
  </w:num>
  <w:num w:numId="632">
    <w:abstractNumId w:val="631"/>
  </w:num>
  <w:num w:numId="633">
    <w:abstractNumId w:val="632"/>
  </w:num>
  <w:num w:numId="634">
    <w:abstractNumId w:val="633"/>
  </w:num>
  <w:num w:numId="635">
    <w:abstractNumId w:val="634"/>
  </w:num>
  <w:num w:numId="636">
    <w:abstractNumId w:val="635"/>
  </w:num>
  <w:num w:numId="637">
    <w:abstractNumId w:val="636"/>
  </w:num>
  <w:num w:numId="638">
    <w:abstractNumId w:val="637"/>
  </w:num>
  <w:num w:numId="639">
    <w:abstractNumId w:val="638"/>
  </w:num>
  <w:num w:numId="640">
    <w:abstractNumId w:val="639"/>
  </w:num>
  <w:num w:numId="641">
    <w:abstractNumId w:val="640"/>
  </w:num>
  <w:num w:numId="642">
    <w:abstractNumId w:val="641"/>
  </w:num>
  <w:num w:numId="643">
    <w:abstractNumId w:val="642"/>
  </w:num>
  <w:num w:numId="644">
    <w:abstractNumId w:val="643"/>
  </w:num>
  <w:num w:numId="645">
    <w:abstractNumId w:val="644"/>
  </w:num>
  <w:num w:numId="646">
    <w:abstractNumId w:val="645"/>
  </w:num>
  <w:num w:numId="647">
    <w:abstractNumId w:val="646"/>
  </w:num>
  <w:num w:numId="648">
    <w:abstractNumId w:val="647"/>
  </w:num>
  <w:num w:numId="649">
    <w:abstractNumId w:val="648"/>
  </w:num>
  <w:num w:numId="650">
    <w:abstractNumId w:val="649"/>
  </w:num>
  <w:num w:numId="651">
    <w:abstractNumId w:val="650"/>
  </w:num>
  <w:num w:numId="652">
    <w:abstractNumId w:val="651"/>
  </w:num>
  <w:num w:numId="653">
    <w:abstractNumId w:val="652"/>
  </w:num>
  <w:num w:numId="654">
    <w:abstractNumId w:val="653"/>
  </w:num>
  <w:num w:numId="655">
    <w:abstractNumId w:val="654"/>
  </w:num>
  <w:num w:numId="656">
    <w:abstractNumId w:val="655"/>
  </w:num>
  <w:num w:numId="657">
    <w:abstractNumId w:val="656"/>
  </w:num>
  <w:num w:numId="658">
    <w:abstractNumId w:val="657"/>
  </w:num>
  <w:num w:numId="659">
    <w:abstractNumId w:val="658"/>
  </w:num>
  <w:num w:numId="660">
    <w:abstractNumId w:val="659"/>
  </w:num>
  <w:num w:numId="661">
    <w:abstractNumId w:val="660"/>
  </w:num>
  <w:num w:numId="662">
    <w:abstractNumId w:val="661"/>
  </w:num>
  <w:num w:numId="663">
    <w:abstractNumId w:val="662"/>
  </w:num>
  <w:num w:numId="664">
    <w:abstractNumId w:val="663"/>
  </w:num>
  <w:num w:numId="665">
    <w:abstractNumId w:val="664"/>
  </w:num>
  <w:num w:numId="666">
    <w:abstractNumId w:val="665"/>
  </w:num>
  <w:num w:numId="667">
    <w:abstractNumId w:val="666"/>
  </w:num>
  <w:num w:numId="668">
    <w:abstractNumId w:val="667"/>
  </w:num>
  <w:num w:numId="669">
    <w:abstractNumId w:val="668"/>
  </w:num>
  <w:num w:numId="670">
    <w:abstractNumId w:val="669"/>
  </w:num>
  <w:num w:numId="671">
    <w:abstractNumId w:val="670"/>
  </w:num>
  <w:num w:numId="672">
    <w:abstractNumId w:val="671"/>
  </w:num>
  <w:num w:numId="673">
    <w:abstractNumId w:val="672"/>
  </w:num>
  <w:num w:numId="674">
    <w:abstractNumId w:val="673"/>
  </w:num>
  <w:num w:numId="675">
    <w:abstractNumId w:val="674"/>
  </w:num>
  <w:num w:numId="676">
    <w:abstractNumId w:val="675"/>
  </w:num>
  <w:num w:numId="677">
    <w:abstractNumId w:val="676"/>
  </w:num>
  <w:num w:numId="678">
    <w:abstractNumId w:val="677"/>
  </w:num>
  <w:num w:numId="679">
    <w:abstractNumId w:val="678"/>
  </w:num>
  <w:num w:numId="680">
    <w:abstractNumId w:val="679"/>
  </w:num>
  <w:num w:numId="681">
    <w:abstractNumId w:val="680"/>
  </w:num>
  <w:num w:numId="682">
    <w:abstractNumId w:val="681"/>
  </w:num>
  <w:num w:numId="683">
    <w:abstractNumId w:val="682"/>
  </w:num>
  <w:num w:numId="684">
    <w:abstractNumId w:val="683"/>
  </w:num>
  <w:num w:numId="685">
    <w:abstractNumId w:val="684"/>
  </w:num>
  <w:num w:numId="686">
    <w:abstractNumId w:val="685"/>
  </w:num>
  <w:num w:numId="687">
    <w:abstractNumId w:val="686"/>
  </w:num>
  <w:num w:numId="688">
    <w:abstractNumId w:val="687"/>
  </w:num>
  <w:num w:numId="689">
    <w:abstractNumId w:val="688"/>
  </w:num>
  <w:num w:numId="690">
    <w:abstractNumId w:val="689"/>
  </w:num>
  <w:num w:numId="691">
    <w:abstractNumId w:val="690"/>
  </w:num>
  <w:num w:numId="692">
    <w:abstractNumId w:val="691"/>
  </w:num>
  <w:num w:numId="693">
    <w:abstractNumId w:val="692"/>
  </w:num>
  <w:num w:numId="694">
    <w:abstractNumId w:val="693"/>
  </w:num>
  <w:num w:numId="695">
    <w:abstractNumId w:val="694"/>
  </w:num>
  <w:num w:numId="696">
    <w:abstractNumId w:val="695"/>
  </w:num>
  <w:num w:numId="697">
    <w:abstractNumId w:val="696"/>
  </w:num>
  <w:num w:numId="698">
    <w:abstractNumId w:val="697"/>
  </w:num>
  <w:num w:numId="699">
    <w:abstractNumId w:val="698"/>
  </w:num>
  <w:num w:numId="700">
    <w:abstractNumId w:val="699"/>
  </w:num>
  <w:num w:numId="701">
    <w:abstractNumId w:val="700"/>
  </w:num>
  <w:num w:numId="702">
    <w:abstractNumId w:val="701"/>
  </w:num>
  <w:num w:numId="703">
    <w:abstractNumId w:val="702"/>
  </w:num>
  <w:num w:numId="704">
    <w:abstractNumId w:val="703"/>
  </w:num>
  <w:num w:numId="705">
    <w:abstractNumId w:val="704"/>
  </w:num>
  <w:num w:numId="706">
    <w:abstractNumId w:val="705"/>
  </w:num>
  <w:num w:numId="707">
    <w:abstractNumId w:val="706"/>
  </w:num>
  <w:num w:numId="708">
    <w:abstractNumId w:val="707"/>
  </w:num>
  <w:num w:numId="709">
    <w:abstractNumId w:val="708"/>
  </w:num>
  <w:num w:numId="710">
    <w:abstractNumId w:val="709"/>
  </w:num>
  <w:num w:numId="711">
    <w:abstractNumId w:val="710"/>
  </w:num>
  <w:num w:numId="712">
    <w:abstractNumId w:val="711"/>
  </w:num>
  <w:num w:numId="713">
    <w:abstractNumId w:val="712"/>
  </w:num>
  <w:num w:numId="714">
    <w:abstractNumId w:val="713"/>
  </w:num>
  <w:num w:numId="715">
    <w:abstractNumId w:val="714"/>
  </w:num>
  <w:num w:numId="716">
    <w:abstractNumId w:val="715"/>
  </w:num>
  <w:num w:numId="717">
    <w:abstractNumId w:val="716"/>
  </w:num>
  <w:num w:numId="718">
    <w:abstractNumId w:val="717"/>
  </w:num>
  <w:num w:numId="719">
    <w:abstractNumId w:val="718"/>
  </w:num>
  <w:num w:numId="720">
    <w:abstractNumId w:val="719"/>
  </w:num>
  <w:num w:numId="721">
    <w:abstractNumId w:val="720"/>
  </w:num>
  <w:num w:numId="722">
    <w:abstractNumId w:val="721"/>
  </w:num>
  <w:num w:numId="723">
    <w:abstractNumId w:val="722"/>
  </w:num>
  <w:num w:numId="724">
    <w:abstractNumId w:val="723"/>
  </w:num>
  <w:num w:numId="725">
    <w:abstractNumId w:val="724"/>
  </w:num>
  <w:num w:numId="726">
    <w:abstractNumId w:val="725"/>
  </w:num>
  <w:num w:numId="727">
    <w:abstractNumId w:val="726"/>
  </w:num>
  <w:num w:numId="728">
    <w:abstractNumId w:val="727"/>
  </w:num>
  <w:num w:numId="729">
    <w:abstractNumId w:val="728"/>
  </w:num>
  <w:num w:numId="730">
    <w:abstractNumId w:val="729"/>
  </w:num>
  <w:num w:numId="731">
    <w:abstractNumId w:val="730"/>
  </w:num>
  <w:num w:numId="732">
    <w:abstractNumId w:val="731"/>
  </w:num>
  <w:num w:numId="733">
    <w:abstractNumId w:val="732"/>
  </w:num>
  <w:num w:numId="734">
    <w:abstractNumId w:val="733"/>
  </w:num>
  <w:num w:numId="735">
    <w:abstractNumId w:val="734"/>
  </w:num>
  <w:num w:numId="736">
    <w:abstractNumId w:val="735"/>
  </w:num>
  <w:num w:numId="737">
    <w:abstractNumId w:val="736"/>
  </w:num>
  <w:num w:numId="738">
    <w:abstractNumId w:val="737"/>
  </w:num>
  <w:num w:numId="739">
    <w:abstractNumId w:val="738"/>
  </w:num>
  <w:num w:numId="740">
    <w:abstractNumId w:val="739"/>
  </w:num>
  <w:num w:numId="741">
    <w:abstractNumId w:val="740"/>
  </w:num>
  <w:num w:numId="742">
    <w:abstractNumId w:val="741"/>
  </w:num>
  <w:num w:numId="743">
    <w:abstractNumId w:val="742"/>
  </w:num>
  <w:num w:numId="744">
    <w:abstractNumId w:val="743"/>
  </w:num>
  <w:num w:numId="745">
    <w:abstractNumId w:val="744"/>
  </w:num>
  <w:num w:numId="746">
    <w:abstractNumId w:val="745"/>
  </w:num>
  <w:num w:numId="747">
    <w:abstractNumId w:val="746"/>
  </w:num>
  <w:num w:numId="748">
    <w:abstractNumId w:val="747"/>
  </w:num>
  <w:num w:numId="749">
    <w:abstractNumId w:val="748"/>
  </w:num>
  <w:num w:numId="750">
    <w:abstractNumId w:val="749"/>
  </w:num>
  <w:num w:numId="751">
    <w:abstractNumId w:val="750"/>
  </w:num>
  <w:num w:numId="752">
    <w:abstractNumId w:val="751"/>
  </w:num>
  <w:num w:numId="753">
    <w:abstractNumId w:val="752"/>
  </w:num>
  <w:num w:numId="754">
    <w:abstractNumId w:val="753"/>
  </w:num>
  <w:num w:numId="755">
    <w:abstractNumId w:val="754"/>
  </w:num>
  <w:num w:numId="756">
    <w:abstractNumId w:val="755"/>
  </w:num>
  <w:num w:numId="757">
    <w:abstractNumId w:val="756"/>
  </w:num>
  <w:num w:numId="758">
    <w:abstractNumId w:val="757"/>
  </w:num>
  <w:num w:numId="759">
    <w:abstractNumId w:val="758"/>
  </w:num>
  <w:num w:numId="760">
    <w:abstractNumId w:val="759"/>
  </w:num>
  <w:num w:numId="761">
    <w:abstractNumId w:val="760"/>
  </w:num>
  <w:num w:numId="762">
    <w:abstractNumId w:val="761"/>
  </w:num>
  <w:num w:numId="763">
    <w:abstractNumId w:val="762"/>
  </w:num>
  <w:num w:numId="764">
    <w:abstractNumId w:val="763"/>
  </w:num>
  <w:num w:numId="765">
    <w:abstractNumId w:val="764"/>
  </w:num>
  <w:num w:numId="766">
    <w:abstractNumId w:val="765"/>
  </w:num>
  <w:num w:numId="767">
    <w:abstractNumId w:val="766"/>
  </w:num>
  <w:num w:numId="768">
    <w:abstractNumId w:val="767"/>
  </w:num>
  <w:num w:numId="769">
    <w:abstractNumId w:val="768"/>
  </w:num>
  <w:num w:numId="770">
    <w:abstractNumId w:val="769"/>
  </w:num>
  <w:num w:numId="771">
    <w:abstractNumId w:val="770"/>
  </w:num>
  <w:num w:numId="772">
    <w:abstractNumId w:val="771"/>
  </w:num>
  <w:num w:numId="773">
    <w:abstractNumId w:val="772"/>
  </w:num>
  <w:num w:numId="774">
    <w:abstractNumId w:val="773"/>
  </w:num>
  <w:num w:numId="775">
    <w:abstractNumId w:val="774"/>
  </w:num>
  <w:num w:numId="776">
    <w:abstractNumId w:val="775"/>
  </w:num>
  <w:num w:numId="777">
    <w:abstractNumId w:val="776"/>
  </w:num>
  <w:num w:numId="778">
    <w:abstractNumId w:val="777"/>
  </w:num>
  <w:num w:numId="779">
    <w:abstractNumId w:val="778"/>
  </w:num>
  <w:num w:numId="780">
    <w:abstractNumId w:val="779"/>
  </w:num>
  <w:num w:numId="781">
    <w:abstractNumId w:val="780"/>
  </w:num>
  <w:num w:numId="782">
    <w:abstractNumId w:val="781"/>
  </w:num>
  <w:num w:numId="783">
    <w:abstractNumId w:val="782"/>
  </w:num>
  <w:num w:numId="784">
    <w:abstractNumId w:val="783"/>
  </w:num>
  <w:num w:numId="785">
    <w:abstractNumId w:val="784"/>
  </w:num>
  <w:num w:numId="786">
    <w:abstractNumId w:val="785"/>
  </w:num>
  <w:num w:numId="787">
    <w:abstractNumId w:val="786"/>
  </w:num>
  <w:num w:numId="788">
    <w:abstractNumId w:val="787"/>
  </w:num>
  <w:num w:numId="789">
    <w:abstractNumId w:val="788"/>
  </w:num>
  <w:num w:numId="790">
    <w:abstractNumId w:val="789"/>
  </w:num>
  <w:num w:numId="791">
    <w:abstractNumId w:val="790"/>
  </w:num>
  <w:num w:numId="792">
    <w:abstractNumId w:val="791"/>
  </w:num>
  <w:num w:numId="793">
    <w:abstractNumId w:val="792"/>
  </w:num>
  <w:num w:numId="794">
    <w:abstractNumId w:val="793"/>
  </w:num>
  <w:num w:numId="795">
    <w:abstractNumId w:val="794"/>
  </w:num>
  <w:num w:numId="796">
    <w:abstractNumId w:val="795"/>
  </w:num>
  <w:num w:numId="797">
    <w:abstractNumId w:val="796"/>
  </w:num>
  <w:num w:numId="798">
    <w:abstractNumId w:val="797"/>
  </w:num>
  <w:num w:numId="799">
    <w:abstractNumId w:val="798"/>
  </w:num>
  <w:num w:numId="800">
    <w:abstractNumId w:val="799"/>
  </w:num>
  <w:num w:numId="801">
    <w:abstractNumId w:val="800"/>
  </w:num>
  <w:num w:numId="802">
    <w:abstractNumId w:val="801"/>
  </w:num>
  <w:num w:numId="803">
    <w:abstractNumId w:val="802"/>
  </w:num>
  <w:num w:numId="804">
    <w:abstractNumId w:val="803"/>
  </w:num>
  <w:num w:numId="805">
    <w:abstractNumId w:val="804"/>
  </w:num>
  <w:num w:numId="806">
    <w:abstractNumId w:val="805"/>
  </w:num>
  <w:num w:numId="807">
    <w:abstractNumId w:val="806"/>
  </w:num>
  <w:num w:numId="808">
    <w:abstractNumId w:val="807"/>
  </w:num>
  <w:num w:numId="809">
    <w:abstractNumId w:val="808"/>
  </w:num>
  <w:num w:numId="810">
    <w:abstractNumId w:val="809"/>
  </w:num>
  <w:num w:numId="811">
    <w:abstractNumId w:val="810"/>
  </w:num>
  <w:num w:numId="812">
    <w:abstractNumId w:val="811"/>
  </w:num>
  <w:num w:numId="813">
    <w:abstractNumId w:val="812"/>
  </w:num>
  <w:num w:numId="814">
    <w:abstractNumId w:val="813"/>
  </w:num>
  <w:num w:numId="815">
    <w:abstractNumId w:val="814"/>
  </w:num>
  <w:num w:numId="816">
    <w:abstractNumId w:val="815"/>
  </w:num>
  <w:num w:numId="817">
    <w:abstractNumId w:val="816"/>
  </w:num>
  <w:num w:numId="818">
    <w:abstractNumId w:val="817"/>
  </w:num>
  <w:num w:numId="819">
    <w:abstractNumId w:val="818"/>
  </w:num>
  <w:num w:numId="820">
    <w:abstractNumId w:val="819"/>
  </w:num>
  <w:num w:numId="821">
    <w:abstractNumId w:val="820"/>
  </w:num>
  <w:num w:numId="822">
    <w:abstractNumId w:val="821"/>
  </w:num>
  <w:num w:numId="823">
    <w:abstractNumId w:val="822"/>
  </w:num>
  <w:num w:numId="824">
    <w:abstractNumId w:val="823"/>
  </w:num>
  <w:num w:numId="825">
    <w:abstractNumId w:val="824"/>
  </w:num>
  <w:num w:numId="826">
    <w:abstractNumId w:val="825"/>
  </w:num>
  <w:num w:numId="827">
    <w:abstractNumId w:val="826"/>
  </w:num>
  <w:num w:numId="828">
    <w:abstractNumId w:val="827"/>
  </w:num>
  <w:num w:numId="829">
    <w:abstractNumId w:val="828"/>
  </w:num>
  <w:num w:numId="830">
    <w:abstractNumId w:val="829"/>
  </w:num>
  <w:num w:numId="831">
    <w:abstractNumId w:val="830"/>
  </w:num>
  <w:num w:numId="832">
    <w:abstractNumId w:val="831"/>
  </w:num>
  <w:num w:numId="833">
    <w:abstractNumId w:val="832"/>
  </w:num>
  <w:num w:numId="834">
    <w:abstractNumId w:val="833"/>
  </w:num>
  <w:num w:numId="835">
    <w:abstractNumId w:val="834"/>
  </w:num>
  <w:num w:numId="836">
    <w:abstractNumId w:val="835"/>
  </w:num>
  <w:num w:numId="837">
    <w:abstractNumId w:val="836"/>
  </w:num>
  <w:num w:numId="838">
    <w:abstractNumId w:val="837"/>
  </w:num>
  <w:num w:numId="839">
    <w:abstractNumId w:val="838"/>
  </w:num>
  <w:num w:numId="840">
    <w:abstractNumId w:val="839"/>
  </w:num>
  <w:num w:numId="841">
    <w:abstractNumId w:val="840"/>
  </w:num>
  <w:num w:numId="842">
    <w:abstractNumId w:val="841"/>
  </w:num>
  <w:num w:numId="843">
    <w:abstractNumId w:val="842"/>
  </w:num>
  <w:num w:numId="844">
    <w:abstractNumId w:val="843"/>
  </w:num>
  <w:num w:numId="845">
    <w:abstractNumId w:val="844"/>
  </w:num>
  <w:num w:numId="846">
    <w:abstractNumId w:val="845"/>
  </w:num>
  <w:num w:numId="847">
    <w:abstractNumId w:val="846"/>
  </w:num>
  <w:num w:numId="848">
    <w:abstractNumId w:val="847"/>
  </w:num>
  <w:num w:numId="849">
    <w:abstractNumId w:val="848"/>
  </w:num>
  <w:num w:numId="850">
    <w:abstractNumId w:val="849"/>
  </w:num>
  <w:num w:numId="851">
    <w:abstractNumId w:val="850"/>
  </w:num>
  <w:num w:numId="852">
    <w:abstractNumId w:val="851"/>
  </w:num>
  <w:num w:numId="853">
    <w:abstractNumId w:val="852"/>
  </w:num>
  <w:num w:numId="854">
    <w:abstractNumId w:val="853"/>
  </w:num>
  <w:num w:numId="855">
    <w:abstractNumId w:val="854"/>
  </w:num>
  <w:num w:numId="856">
    <w:abstractNumId w:val="855"/>
  </w:num>
  <w:num w:numId="857">
    <w:abstractNumId w:val="856"/>
  </w:num>
  <w:num w:numId="858">
    <w:abstractNumId w:val="857"/>
  </w:num>
  <w:num w:numId="859">
    <w:abstractNumId w:val="858"/>
  </w:num>
  <w:num w:numId="860">
    <w:abstractNumId w:val="859"/>
  </w:num>
  <w:num w:numId="861">
    <w:abstractNumId w:val="860"/>
  </w:num>
  <w:num w:numId="862">
    <w:abstractNumId w:val="861"/>
  </w:num>
  <w:num w:numId="863">
    <w:abstractNumId w:val="862"/>
  </w:num>
  <w:num w:numId="864">
    <w:abstractNumId w:val="863"/>
  </w:num>
  <w:num w:numId="865">
    <w:abstractNumId w:val="864"/>
  </w:num>
  <w:num w:numId="866">
    <w:abstractNumId w:val="865"/>
  </w:num>
  <w:num w:numId="867">
    <w:abstractNumId w:val="866"/>
  </w:num>
  <w:num w:numId="868">
    <w:abstractNumId w:val="867"/>
  </w:num>
  <w:num w:numId="869">
    <w:abstractNumId w:val="868"/>
  </w:num>
  <w:num w:numId="870">
    <w:abstractNumId w:val="869"/>
  </w:num>
  <w:num w:numId="871">
    <w:abstractNumId w:val="870"/>
  </w:num>
  <w:num w:numId="872">
    <w:abstractNumId w:val="871"/>
  </w:num>
  <w:num w:numId="873">
    <w:abstractNumId w:val="872"/>
  </w:num>
  <w:num w:numId="874">
    <w:abstractNumId w:val="873"/>
  </w:num>
  <w:num w:numId="875">
    <w:abstractNumId w:val="874"/>
  </w:num>
  <w:num w:numId="876">
    <w:abstractNumId w:val="875"/>
  </w:num>
  <w:num w:numId="877">
    <w:abstractNumId w:val="876"/>
  </w:num>
  <w:num w:numId="878">
    <w:abstractNumId w:val="877"/>
  </w:num>
  <w:num w:numId="879">
    <w:abstractNumId w:val="878"/>
  </w:num>
  <w:num w:numId="880">
    <w:abstractNumId w:val="879"/>
  </w:num>
  <w:num w:numId="881">
    <w:abstractNumId w:val="880"/>
  </w:num>
  <w:num w:numId="882">
    <w:abstractNumId w:val="881"/>
  </w:num>
  <w:num w:numId="883">
    <w:abstractNumId w:val="882"/>
  </w:num>
  <w:num w:numId="884">
    <w:abstractNumId w:val="883"/>
  </w:num>
  <w:num w:numId="885">
    <w:abstractNumId w:val="884"/>
  </w:num>
  <w:num w:numId="886">
    <w:abstractNumId w:val="885"/>
  </w:num>
  <w:num w:numId="887">
    <w:abstractNumId w:val="886"/>
  </w:num>
  <w:num w:numId="888">
    <w:abstractNumId w:val="887"/>
  </w:num>
  <w:num w:numId="889">
    <w:abstractNumId w:val="888"/>
  </w:num>
  <w:num w:numId="890">
    <w:abstractNumId w:val="889"/>
  </w:num>
  <w:num w:numId="891">
    <w:abstractNumId w:val="890"/>
  </w:num>
  <w:num w:numId="892">
    <w:abstractNumId w:val="891"/>
  </w:num>
  <w:num w:numId="893">
    <w:abstractNumId w:val="892"/>
  </w:num>
  <w:num w:numId="894">
    <w:abstractNumId w:val="893"/>
  </w:num>
  <w:num w:numId="895">
    <w:abstractNumId w:val="894"/>
  </w:num>
  <w:num w:numId="896">
    <w:abstractNumId w:val="895"/>
  </w:num>
  <w:num w:numId="897">
    <w:abstractNumId w:val="896"/>
  </w:num>
  <w:num w:numId="898">
    <w:abstractNumId w:val="897"/>
  </w:num>
  <w:num w:numId="899">
    <w:abstractNumId w:val="898"/>
  </w:num>
  <w:num w:numId="900">
    <w:abstractNumId w:val="899"/>
  </w:num>
  <w:num w:numId="901">
    <w:abstractNumId w:val="900"/>
  </w:num>
  <w:num w:numId="902">
    <w:abstractNumId w:val="901"/>
  </w:num>
  <w:num w:numId="903">
    <w:abstractNumId w:val="902"/>
  </w:num>
  <w:num w:numId="904">
    <w:abstractNumId w:val="903"/>
  </w:num>
  <w:num w:numId="905">
    <w:abstractNumId w:val="904"/>
  </w:num>
  <w:num w:numId="906">
    <w:abstractNumId w:val="905"/>
  </w:num>
  <w:num w:numId="907">
    <w:abstractNumId w:val="906"/>
  </w:num>
  <w:num w:numId="908">
    <w:abstractNumId w:val="907"/>
  </w:num>
  <w:num w:numId="909">
    <w:abstractNumId w:val="908"/>
  </w:num>
  <w:num w:numId="910">
    <w:abstractNumId w:val="909"/>
  </w:num>
  <w:num w:numId="911">
    <w:abstractNumId w:val="910"/>
  </w:num>
  <w:num w:numId="912">
    <w:abstractNumId w:val="911"/>
  </w:num>
  <w:num w:numId="913">
    <w:abstractNumId w:val="912"/>
  </w:num>
  <w:num w:numId="914">
    <w:abstractNumId w:val="913"/>
  </w:num>
  <w:num w:numId="915">
    <w:abstractNumId w:val="914"/>
  </w:num>
  <w:num w:numId="916">
    <w:abstractNumId w:val="915"/>
  </w:num>
  <w:num w:numId="917">
    <w:abstractNumId w:val="916"/>
  </w:num>
  <w:num w:numId="918">
    <w:abstractNumId w:val="917"/>
  </w:num>
  <w:num w:numId="919">
    <w:abstractNumId w:val="918"/>
  </w:num>
  <w:num w:numId="920">
    <w:abstractNumId w:val="919"/>
  </w:num>
  <w:num w:numId="921">
    <w:abstractNumId w:val="920"/>
  </w:num>
  <w:num w:numId="922">
    <w:abstractNumId w:val="921"/>
  </w:num>
  <w:num w:numId="923">
    <w:abstractNumId w:val="922"/>
  </w:num>
  <w:num w:numId="924">
    <w:abstractNumId w:val="923"/>
  </w:num>
  <w:num w:numId="925">
    <w:abstractNumId w:val="924"/>
  </w:num>
  <w:num w:numId="926">
    <w:abstractNumId w:val="925"/>
  </w:num>
  <w:num w:numId="927">
    <w:abstractNumId w:val="926"/>
  </w:num>
  <w:num w:numId="928">
    <w:abstractNumId w:val="927"/>
  </w:num>
  <w:num w:numId="929">
    <w:abstractNumId w:val="928"/>
  </w:num>
  <w:num w:numId="930">
    <w:abstractNumId w:val="929"/>
  </w:num>
  <w:num w:numId="931">
    <w:abstractNumId w:val="930"/>
  </w:num>
  <w:num w:numId="932">
    <w:abstractNumId w:val="931"/>
  </w:num>
  <w:num w:numId="933">
    <w:abstractNumId w:val="932"/>
  </w:num>
  <w:num w:numId="934">
    <w:abstractNumId w:val="933"/>
  </w:num>
  <w:num w:numId="935">
    <w:abstractNumId w:val="934"/>
  </w:num>
  <w:num w:numId="936">
    <w:abstractNumId w:val="935"/>
  </w:num>
  <w:num w:numId="937">
    <w:abstractNumId w:val="936"/>
  </w:num>
  <w:num w:numId="938">
    <w:abstractNumId w:val="937"/>
  </w:num>
  <w:num w:numId="939">
    <w:abstractNumId w:val="938"/>
  </w:num>
  <w:num w:numId="940">
    <w:abstractNumId w:val="939"/>
  </w:num>
  <w:num w:numId="941">
    <w:abstractNumId w:val="940"/>
  </w:num>
  <w:num w:numId="942">
    <w:abstractNumId w:val="941"/>
  </w:num>
  <w:num w:numId="943">
    <w:abstractNumId w:val="942"/>
  </w:num>
  <w:num w:numId="944">
    <w:abstractNumId w:val="943"/>
  </w:num>
  <w:num w:numId="945">
    <w:abstractNumId w:val="944"/>
  </w:num>
  <w:num w:numId="946">
    <w:abstractNumId w:val="945"/>
  </w:num>
  <w:num w:numId="947">
    <w:abstractNumId w:val="946"/>
  </w:num>
  <w:num w:numId="948">
    <w:abstractNumId w:val="947"/>
  </w:num>
  <w:num w:numId="949">
    <w:abstractNumId w:val="948"/>
  </w:num>
  <w:num w:numId="950">
    <w:abstractNumId w:val="949"/>
  </w:num>
  <w:num w:numId="951">
    <w:abstractNumId w:val="950"/>
  </w:num>
  <w:num w:numId="952">
    <w:abstractNumId w:val="951"/>
  </w:num>
  <w:num w:numId="953">
    <w:abstractNumId w:val="9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0" w:formatting="0" w:inkAnnotations="0" w:insDel="0" w:markup="0"/>
  <w:defaultTabStop w:val="28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20"/>
      <w:szCs w:val="24"/>
      <w:lang w:val="en-US" w:eastAsia="en-US" w:bidi="ar-SA"/>
    </w:rPr>
  </w:style>
  <w:style w:type="paragraph" w:styleId="Heading1">
    <w:name w:val="heading 1"/>
    <w:basedOn w:val="Normal"/>
    <w:next w:val="Normal"/>
    <w:uiPriority w:val="9"/>
    <w:qFormat/>
    <w:pPr>
      <w:keepNext/>
      <w:spacing w:before="240" w:after="60"/>
      <w:outlineLvl w:val="0"/>
    </w:pPr>
    <w:rPr>
      <w:rFonts w:ascii="Arial" w:eastAsia="Arial" w:hAnsi="Arial" w:cs="Arial"/>
      <w:b/>
      <w:bCs/>
      <w:kern w:val="32"/>
      <w:sz w:val="32"/>
      <w:szCs w:val="32"/>
    </w:rPr>
  </w:style>
  <w:style w:type="paragraph" w:styleId="Heading2">
    <w:name w:val="heading 2"/>
    <w:basedOn w:val="Normal"/>
    <w:next w:val="Normal"/>
    <w:uiPriority w:val="9"/>
    <w:qFormat/>
    <w:pPr>
      <w:keepNext/>
      <w:spacing w:after="60"/>
      <w:outlineLvl w:val="1"/>
    </w:pPr>
    <w:rPr>
      <w:rFonts w:ascii="Arial" w:eastAsia="Arial" w:hAnsi="Arial" w:cs="Arial"/>
      <w:b/>
      <w:bCs/>
      <w:iCs/>
      <w:sz w:val="28"/>
      <w:szCs w:val="28"/>
    </w:rPr>
  </w:style>
  <w:style w:type="paragraph" w:styleId="Heading3">
    <w:name w:val="heading 3"/>
    <w:basedOn w:val="Normal"/>
    <w:next w:val="Normal"/>
    <w:uiPriority w:val="9"/>
    <w:qFormat/>
    <w:pPr>
      <w:keepNext/>
      <w:spacing w:after="60"/>
      <w:outlineLvl w:val="2"/>
    </w:pPr>
    <w:rPr>
      <w:rFonts w:ascii="Arial" w:eastAsia="Arial" w:hAnsi="Arial" w:cs="Arial"/>
      <w:b/>
      <w:bCs/>
      <w:sz w:val="24"/>
      <w:szCs w:val="26"/>
    </w:rPr>
  </w:style>
  <w:style w:type="paragraph" w:styleId="Heading4">
    <w:name w:val="heading 4"/>
    <w:basedOn w:val="Normal"/>
    <w:next w:val="Normal"/>
    <w:uiPriority w:val="9"/>
    <w:qFormat/>
    <w:pPr>
      <w:keepNext/>
      <w:spacing w:after="60"/>
      <w:outlineLvl w:val="3"/>
    </w:pPr>
    <w:rPr>
      <w:rFonts w:ascii="Arial" w:eastAsia="Arial" w:hAnsi="Arial" w:cs="Arial"/>
      <w:b/>
      <w:bCs/>
      <w:sz w:val="22"/>
      <w:szCs w:val="28"/>
    </w:rPr>
  </w:style>
  <w:style w:type="paragraph" w:styleId="Heading5">
    <w:name w:val="heading 5"/>
    <w:basedOn w:val="Normal"/>
    <w:next w:val="Normal"/>
    <w:uiPriority w:val="9"/>
    <w:qFormat/>
    <w:pPr>
      <w:spacing w:after="60"/>
      <w:outlineLvl w:val="4"/>
    </w:pPr>
    <w:rPr>
      <w:rFonts w:ascii="Arial" w:eastAsia="Arial" w:hAnsi="Arial" w:cs="Arial"/>
      <w:b/>
      <w:bCs/>
      <w:iCs/>
      <w:sz w:val="20"/>
      <w:szCs w:val="26"/>
    </w:rPr>
  </w:style>
  <w:style w:type="paragraph" w:styleId="Heading6">
    <w:name w:val="heading 6"/>
    <w:basedOn w:val="Normal"/>
    <w:next w:val="Normal"/>
    <w:uiPriority w:val="9"/>
    <w:qFormat/>
    <w:pPr>
      <w:spacing w:after="60"/>
      <w:outlineLvl w:val="5"/>
    </w:pPr>
    <w:rPr>
      <w:rFonts w:ascii="Arial" w:eastAsia="Arial" w:hAnsi="Arial" w:cs="Arial"/>
      <w:b/>
      <w:bCs/>
      <w:szCs w:val="22"/>
    </w:rPr>
  </w:style>
  <w:style w:type="paragraph" w:styleId="Heading7">
    <w:name w:val="heading 7"/>
    <w:basedOn w:val="Normal"/>
    <w:next w:val="Normal"/>
    <w:uiPriority w:val="9"/>
    <w:qFormat/>
    <w:pPr>
      <w:spacing w:after="60"/>
      <w:outlineLvl w:val="6"/>
    </w:pPr>
    <w:rPr>
      <w:rFonts w:ascii="Arial" w:eastAsia="Arial" w:hAnsi="Arial" w:cs="Arial"/>
      <w:sz w:val="24"/>
    </w:rPr>
  </w:style>
  <w:style w:type="paragraph" w:styleId="Heading8">
    <w:name w:val="heading 8"/>
    <w:basedOn w:val="Normal"/>
    <w:next w:val="Normal"/>
    <w:uiPriority w:val="9"/>
    <w:qFormat/>
    <w:pPr>
      <w:spacing w:after="60"/>
      <w:outlineLvl w:val="7"/>
    </w:pPr>
    <w:rPr>
      <w:rFonts w:ascii="Arial" w:eastAsia="Arial" w:hAnsi="Arial" w:cs="Arial"/>
      <w:i/>
      <w:iCs/>
      <w:sz w:val="24"/>
    </w:rPr>
  </w:style>
  <w:style w:type="paragraph" w:styleId="Heading9">
    <w:name w:val="heading 9"/>
    <w:basedOn w:val="Normal"/>
    <w:next w:val="Normal"/>
    <w:uiPriority w:val="9"/>
    <w:qFormat/>
    <w:pPr>
      <w:spacing w:after="60"/>
      <w:outlineLvl w:val="8"/>
    </w:pPr>
    <w:rPr>
      <w:rFonts w:ascii="Arial" w:eastAsia="Arial" w:hAnsi="Arial" w:cs="Arial"/>
      <w:sz w:val="22"/>
      <w:szCs w:val="22"/>
    </w:rPr>
  </w:style>
  <w:style w:type="character" w:default="1" w:styleId="DefaultParagraphFont">
    <w:name w:val="Default Paragraph Font"/>
    <w:semiHidden/>
    <w:rPr>
      <w:rFonts w:ascii="Arial" w:eastAsia="Arial" w:hAnsi="Arial" w:cs="Arial"/>
      <w:sz w:val="20"/>
    </w:rPr>
  </w:style>
  <w:style w:type="table" w:default="1" w:styleId="TableNormal">
    <w:name w:val="Normal Table"/>
    <w:uiPriority w:val="99"/>
    <w:semiHidden/>
    <w:unhideWhenUsed/>
    <w:qFormat/>
    <w:rPr>
      <w:rFonts w:ascii="Arial" w:eastAsia="Arial" w:hAnsi="Arial" w:cs="Arial"/>
    </w:rPr>
    <w:tblPr>
      <w:tblInd w:w="0" w:type="dxa"/>
      <w:tblCellMar>
        <w:top w:w="0" w:type="dxa"/>
        <w:left w:w="108" w:type="dxa"/>
        <w:bottom w:w="0" w:type="dxa"/>
        <w:right w:w="108" w:type="dxa"/>
      </w:tblCellMar>
    </w:tblPr>
  </w:style>
  <w:style w:type="paragraph" w:styleId="Header">
    <w:name w:val="header"/>
    <w:basedOn w:val="Normal"/>
    <w:pPr>
      <w:tabs>
        <w:tab w:val="center" w:pos="4320"/>
        <w:tab w:val="right" w:pos="8640"/>
      </w:tabs>
    </w:pPr>
    <w:rPr>
      <w:rFonts w:ascii="Arial" w:eastAsia="Arial" w:hAnsi="Arial" w:cs="Arial"/>
    </w:rPr>
  </w:style>
  <w:style w:type="paragraph" w:styleId="Footer">
    <w:name w:val="footer"/>
    <w:basedOn w:val="Normal"/>
    <w:pPr>
      <w:tabs>
        <w:tab w:val="center" w:pos="4320"/>
        <w:tab w:val="right" w:pos="8640"/>
      </w:tabs>
    </w:pPr>
    <w:rPr>
      <w:rFonts w:ascii="Arial" w:eastAsia="Arial" w:hAnsi="Arial" w:cs="Arial"/>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ind w:left="1080" w:hanging="1080"/>
    </w:pPr>
    <w:rPr>
      <w:rFonts w:ascii="Arial" w:eastAsia="Arial" w:hAnsi="Arial" w:cs="Arial"/>
      <w:sz w:val="24"/>
    </w:rPr>
  </w:style>
  <w:style w:type="paragraph" w:customStyle="1" w:styleId="Heading0">
    <w:name w:val="Heading 0"/>
    <w:basedOn w:val="Heading1"/>
    <w:pPr>
      <w:numPr>
        <w:ilvl w:val="0"/>
        <w:numId w:val="0"/>
      </w:numPr>
    </w:pPr>
    <w:rPr>
      <w:rFonts w:ascii="Arial" w:eastAsia="Arial" w:hAnsi="Arial" w:cs="Arial"/>
      <w:sz w:val="32"/>
    </w:rPr>
  </w:style>
  <w:style w:type="paragraph" w:customStyle="1" w:styleId="NonHeading0">
    <w:name w:val="Non_Heading 0"/>
    <w:basedOn w:val="Heading0"/>
    <w:rPr>
      <w:rFonts w:ascii="Arial" w:eastAsia="Arial" w:hAnsi="Arial" w:cs="Arial"/>
    </w:rPr>
  </w:style>
  <w:style w:type="paragraph" w:customStyle="1" w:styleId="NonHeading1">
    <w:name w:val="Non_Heading 1"/>
    <w:basedOn w:val="Heading1"/>
    <w:pPr>
      <w:numPr>
        <w:ilvl w:val="0"/>
        <w:numId w:val="0"/>
      </w:numPr>
    </w:pPr>
    <w:rPr>
      <w:rFonts w:ascii="Arial" w:eastAsia="Arial" w:hAnsi="Arial" w:cs="Arial"/>
      <w:b/>
      <w:sz w:val="32"/>
    </w:rPr>
  </w:style>
  <w:style w:type="paragraph" w:customStyle="1" w:styleId="NonHeading2">
    <w:name w:val="Non_Heading 2"/>
    <w:basedOn w:val="Heading2"/>
    <w:pPr>
      <w:numPr>
        <w:ilvl w:val="0"/>
        <w:numId w:val="0"/>
      </w:numPr>
    </w:pPr>
    <w:rPr>
      <w:rFonts w:ascii="Arial" w:eastAsia="Arial" w:hAnsi="Arial" w:cs="Arial"/>
      <w:b/>
      <w:sz w:val="28"/>
    </w:rPr>
  </w:style>
  <w:style w:type="paragraph" w:customStyle="1" w:styleId="NonHeading3">
    <w:name w:val="Non_Heading 3"/>
    <w:basedOn w:val="Heading3"/>
    <w:pPr>
      <w:numPr>
        <w:ilvl w:val="0"/>
        <w:numId w:val="0"/>
      </w:numPr>
    </w:pPr>
    <w:rPr>
      <w:rFonts w:ascii="Arial" w:eastAsia="Arial" w:hAnsi="Arial" w:cs="Arial"/>
      <w:b/>
      <w:sz w:val="24"/>
    </w:rPr>
  </w:style>
  <w:style w:type="paragraph" w:customStyle="1" w:styleId="NonHeading4">
    <w:name w:val="Non_Heading 4"/>
    <w:basedOn w:val="Heading4"/>
    <w:pPr>
      <w:numPr>
        <w:ilvl w:val="0"/>
        <w:numId w:val="0"/>
      </w:numPr>
    </w:pPr>
    <w:rPr>
      <w:rFonts w:ascii="Arial" w:eastAsia="Arial" w:hAnsi="Arial" w:cs="Arial"/>
      <w:b/>
      <w:sz w:val="22"/>
    </w:rPr>
  </w:style>
  <w:style w:type="paragraph" w:customStyle="1" w:styleId="NonHeading5">
    <w:name w:val="Non_Heading 5"/>
    <w:basedOn w:val="Heading5"/>
    <w:pPr>
      <w:numPr>
        <w:ilvl w:val="0"/>
        <w:numId w:val="0"/>
      </w:numPr>
    </w:pPr>
    <w:rPr>
      <w:rFonts w:ascii="Arial" w:eastAsia="Arial" w:hAnsi="Arial" w:cs="Arial"/>
      <w:b/>
      <w:sz w:val="20"/>
    </w:rPr>
  </w:style>
  <w:style w:type="paragraph" w:customStyle="1" w:styleId="NonHeading6">
    <w:name w:val="Non_Heading 6"/>
    <w:basedOn w:val="Heading6"/>
    <w:pPr>
      <w:numPr>
        <w:ilvl w:val="0"/>
        <w:numId w:val="0"/>
      </w:numPr>
    </w:pPr>
    <w:rPr>
      <w:rFonts w:ascii="Arial" w:eastAsia="Arial" w:hAnsi="Arial" w:cs="Arial"/>
    </w:rPr>
  </w:style>
  <w:style w:type="paragraph" w:customStyle="1" w:styleId="NonHeading7">
    <w:name w:val="Non_Heading 7"/>
    <w:basedOn w:val="Heading7"/>
    <w:pPr>
      <w:numPr>
        <w:ilvl w:val="0"/>
        <w:numId w:val="0"/>
      </w:numPr>
    </w:pPr>
    <w:rPr>
      <w:rFonts w:ascii="Arial" w:eastAsia="Arial" w:hAnsi="Arial" w:cs="Arial"/>
    </w:rPr>
  </w:style>
  <w:style w:type="paragraph" w:customStyle="1" w:styleId="NonHeading8">
    <w:name w:val="Non_Heading 8"/>
    <w:basedOn w:val="Heading8"/>
    <w:pPr>
      <w:numPr>
        <w:ilvl w:val="0"/>
        <w:numId w:val="0"/>
      </w:numPr>
    </w:pPr>
    <w:rPr>
      <w:rFonts w:ascii="Arial" w:eastAsia="Arial" w:hAnsi="Arial" w:cs="Arial"/>
    </w:rPr>
  </w:style>
  <w:style w:type="paragraph" w:customStyle="1" w:styleId="RuleCitation">
    <w:name w:val="RuleCitation"/>
    <w:basedOn w:val="Normal"/>
    <w:next w:val="Normal"/>
    <w:rPr>
      <w:rFonts w:ascii="Arial" w:eastAsia="Arial" w:hAnsi="Arial" w:cs="Arial"/>
      <w:sz w:val="16"/>
    </w:rPr>
  </w:style>
  <w:style w:type="paragraph" w:customStyle="1" w:styleId="TableHeader">
    <w:name w:val="Table_Header"/>
    <w:basedOn w:val="Normal"/>
    <w:pPr>
      <w:spacing w:before="120"/>
    </w:pPr>
    <w:rPr>
      <w:rFonts w:ascii="Arial" w:eastAsia="Arial" w:hAnsi="Arial" w:cs="Arial"/>
      <w:b/>
    </w:rPr>
  </w:style>
  <w:style w:type="character" w:styleId="PageNumber">
    <w:name w:val="page number"/>
    <w:basedOn w:val="DefaultParagraphFont"/>
    <w:rPr>
      <w:rFonts w:ascii="Arial" w:eastAsia="Arial" w:hAnsi="Arial" w:cs="Arial"/>
    </w:rPr>
  </w:style>
  <w:style w:type="paragraph" w:customStyle="1" w:styleId="normal0">
    <w:name w:val="normal"/>
    <w:basedOn w:val="Normal"/>
    <w:rPr>
      <w:rFonts w:ascii="Arial" w:eastAsia="Arial" w:hAnsi="Arial" w:cs="Arial"/>
      <w:sz w:val="20"/>
    </w:rPr>
  </w:style>
  <w:style w:type="table" w:customStyle="1" w:styleId="strfreeform">
    <w:name w:val="str_free_form"/>
    <w:basedOn w:val="TableNormal"/>
    <w:rPr>
      <w:rFonts w:ascii="Arial" w:eastAsia="Arial" w:hAnsi="Arial" w:cs="Arial"/>
    </w:rPr>
    <w:tblPr/>
  </w:style>
  <w:style w:type="character" w:styleId="Hyperlink">
    <w:name w:val="Hyperlink"/>
    <w:basedOn w:val="DefaultParagraphFont"/>
    <w:uiPriority w:val="99"/>
    <w:rsid w:val="005832BD"/>
    <w:rPr>
      <w:rFonts w:ascii="Arial" w:eastAsia="Arial" w:hAnsi="Arial" w:cs="Arial"/>
      <w:color w:val="0563C1"/>
      <w:u w:val="single"/>
    </w:rPr>
  </w:style>
  <w:style w:type="character" w:styleId="Emphasis">
    <w:name w:val="Emphasis"/>
    <w:basedOn w:val="DefaultParagraphFont"/>
    <w:uiPriority w:val="20"/>
    <w:qFormat/>
    <w:rsid w:val="00506D7A"/>
    <w:rPr>
      <w:rFonts w:ascii="Arial" w:eastAsia="Arial" w:hAnsi="Arial" w:cs="Arial"/>
      <w:i/>
      <w:iCs/>
    </w:rPr>
  </w:style>
  <w:style w:type="character" w:styleId="Strong">
    <w:name w:val="Strong"/>
    <w:basedOn w:val="DefaultParagraphFont"/>
    <w:uiPriority w:val="22"/>
    <w:qFormat/>
    <w:rsid w:val="00506D7A"/>
    <w:rPr>
      <w:rFonts w:ascii="Arial" w:eastAsia="Arial" w:hAnsi="Arial" w:cs="Arial"/>
      <w:b/>
      <w:bCs/>
    </w:rPr>
  </w:style>
  <w:style w:type="paragraph" w:customStyle="1" w:styleId="fmtssstext">
    <w:name w:val="fmt_ssstext"/>
    <w:basedOn w:val="Normal"/>
    <w:rPr>
      <w:rFonts w:ascii="Arial" w:eastAsia="Arial" w:hAnsi="Arial" w:cs="Arial"/>
    </w:rPr>
  </w:style>
  <w:style w:type="paragraph" w:customStyle="1" w:styleId="fmtsssstext">
    <w:name w:val="fmt_sssstext"/>
    <w:basedOn w:val="Normal"/>
    <w:rPr>
      <w:rFonts w:ascii="Arial" w:eastAsia="Arial" w:hAnsi="Arial" w:cs="Arial"/>
    </w:rPr>
  </w:style>
  <w:style w:type="paragraph" w:styleId="PlainText">
    <w:name w:val="Plain Text"/>
    <w:basedOn w:val="Normal"/>
    <w:link w:val="PlainTextChar"/>
    <w:uiPriority w:val="99"/>
    <w:rsid w:val="0041372D"/>
    <w:pPr>
      <w:spacing w:after="0" w:line="240" w:lineRule="auto"/>
    </w:pPr>
    <w:rPr>
      <w:rFonts w:ascii="Arial" w:eastAsia="Arial" w:hAnsi="Arial" w:cs="Arial"/>
      <w:sz w:val="20"/>
      <w:szCs w:val="21"/>
    </w:rPr>
  </w:style>
  <w:style w:type="character" w:customStyle="1" w:styleId="PlainTextChar">
    <w:name w:val="Plain Text Char"/>
    <w:basedOn w:val="DefaultParagraphFont"/>
    <w:link w:val="PlainText"/>
    <w:uiPriority w:val="99"/>
    <w:rsid w:val="0041372D"/>
    <w:rPr>
      <w:rFonts w:ascii="Arial" w:eastAsia="Arial" w:hAnsi="Arial" w:cs="Arial"/>
      <w:sz w:val="21"/>
      <w:szCs w:val="21"/>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3">
    <w:name w:val="toc 3"/>
    <w:basedOn w:val="Normal"/>
    <w:next w:val="Normal"/>
    <w:autoRedefine/>
    <w:uiPriority w:val="39"/>
    <w:rsid w:val="000F3DF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20IARDLive@sec.gov" TargetMode="External" /><Relationship Id="rId11" Type="http://schemas.openxmlformats.org/officeDocument/2006/relationships/hyperlink" Target="https://www.sec.gov/rules/other/2020/ia-5463.pdf" TargetMode="External" /><Relationship Id="rId12" Type="http://schemas.openxmlformats.org/officeDocument/2006/relationships/hyperlink" Target="https://www.sec.gov/rules/other/2020/ia-5469.pdf" TargetMode="External" /><Relationship Id="rId13" Type="http://schemas.openxmlformats.org/officeDocument/2006/relationships/hyperlink" Target="https://insight2.tradepmr.com/best-execution-and-due-diligence" TargetMode="External" /><Relationship Id="rId14" Type="http://schemas.openxmlformats.org/officeDocument/2006/relationships/hyperlink" Target="https://www.schwab.com/legal/order-routing-1" TargetMode="External" /><Relationship Id="rId15" Type="http://schemas.openxmlformats.org/officeDocument/2006/relationships/hyperlink" Target="https://www.seic.com/ent/login-clients/sei-investments-distribution-co-rule-605-and-606-reports" TargetMode="External" /><Relationship Id="rId16" Type="http://schemas.openxmlformats.org/officeDocument/2006/relationships/hyperlink" Target="https://clearingcustody.fidelity.com/trade-execution-quality" TargetMode="External" /><Relationship Id="rId17" Type="http://schemas.openxmlformats.org/officeDocument/2006/relationships/hyperlink" Target="https://www.sec.gov/divisions/investment/13flists.htm" TargetMode="External" /><Relationship Id="rId18" Type="http://schemas.openxmlformats.org/officeDocument/2006/relationships/hyperlink" Target="http://www.iard.com/pdf/formADV-E.pdf" TargetMode="External" /><Relationship Id="rId19" Type="http://schemas.openxmlformats.org/officeDocument/2006/relationships/hyperlink" Target="http://www.sec.gov/divisions/investment/custody_faq_030510.htm" TargetMode="External" /><Relationship Id="rId2" Type="http://schemas.openxmlformats.org/officeDocument/2006/relationships/webSettings" Target="webSettings.xml" /><Relationship Id="rId20" Type="http://schemas.openxmlformats.org/officeDocument/2006/relationships/hyperlink" Target="http://www.opensecrets.org" TargetMode="External" /><Relationship Id="rId21" Type="http://schemas.openxmlformats.org/officeDocument/2006/relationships/hyperlink" Target="http://www.fec.gov/finance/disclosure/norindsea.shtml" TargetMode="External" /><Relationship Id="rId22" Type="http://schemas.openxmlformats.org/officeDocument/2006/relationships/hyperlink" Target="http://www.sec.gov/divisions/investment/pay-to-play-faq.htm" TargetMode="External" /><Relationship Id="rId23" Type="http://schemas.openxmlformats.org/officeDocument/2006/relationships/hyperlink" Target="https://www.sec.gov/investment/im-info-2017-03.pdf" TargetMode="External" /><Relationship Id="rId24" Type="http://schemas.openxmlformats.org/officeDocument/2006/relationships/hyperlink" Target="https://www.sec.gov/investment/Article/investment_about.html" TargetMode="External" /><Relationship Id="rId25" Type="http://schemas.openxmlformats.org/officeDocument/2006/relationships/hyperlink" Target="https://secsearch.sec.gov/search?utf8=%3F&amp;affiliate=secsearch&amp;query=EXAMS+Registration+Inquiries" TargetMode="External" /><Relationship Id="rId26" Type="http://schemas.openxmlformats.org/officeDocument/2006/relationships/hyperlink" Target="http://www.adviserinfo.sec.gov" TargetMode="External" /><Relationship Id="rId27" Type="http://schemas.openxmlformats.org/officeDocument/2006/relationships/hyperlink" Target="http://www.nfa.futures.org" TargetMode="External" /><Relationship Id="rId28" Type="http://schemas.openxmlformats.org/officeDocument/2006/relationships/hyperlink" Target="http://www.sec.gov/divisions/investment/pfrd/pfrdfaq.shtml" TargetMode="External" /><Relationship Id="rId29" Type="http://schemas.openxmlformats.org/officeDocument/2006/relationships/hyperlink" Target="https://www.bea.gov/" TargetMode="External" /><Relationship Id="rId3" Type="http://schemas.openxmlformats.org/officeDocument/2006/relationships/fontTable" Target="fontTable.xml" /><Relationship Id="rId30" Type="http://schemas.openxmlformats.org/officeDocument/2006/relationships/hyperlink" Target="http://www.sec.gov/about/offices/ocie/ocieoverview.pdf" TargetMode="External" /><Relationship Id="rId31" Type="http://schemas.openxmlformats.org/officeDocument/2006/relationships/hyperlink" Target="http://www.sec.gov/divisions/enforce/enforcementmanual.pdf" TargetMode="External" /><Relationship Id="rId32" Type="http://schemas.openxmlformats.org/officeDocument/2006/relationships/hyperlink" Target="https://www.sec.gov/about/divisions-offices" TargetMode="External" /><Relationship Id="rId33" Type="http://schemas.openxmlformats.org/officeDocument/2006/relationships/header" Target="header2.xml" /><Relationship Id="rId34" Type="http://schemas.openxmlformats.org/officeDocument/2006/relationships/footer" Target="footer2.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s://www.fincen.gov/resources/statutes-regulations/usa-patriot-act" TargetMode="External" /><Relationship Id="rId7" Type="http://schemas.openxmlformats.org/officeDocument/2006/relationships/hyperlink" Target="https://www.fincen.gov/resources/statutes-regulations/usa-patriot-act" TargetMode="External" /><Relationship Id="rId8" Type="http://schemas.openxmlformats.org/officeDocument/2006/relationships/hyperlink" Target="http://www.IRS.gov" TargetMode="External" /><Relationship Id="rId9" Type="http://schemas.openxmlformats.org/officeDocument/2006/relationships/hyperlink" Target="http://www.IR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167</TotalTime>
  <Pages>389</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14</cp:revision>
  <cp:lastPrinted>2026-07-16T17:18:07Z</cp:lastPrinted>
  <dcterms:created xsi:type="dcterms:W3CDTF">2026-07-16T17:18:07Z</dcterms:created>
  <dcterms:modified xsi:type="dcterms:W3CDTF">2026-07-16T17:18:07Z</dcterms:modified>
</cp:coreProperties>
</file>